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MSCAST</w:t>
      </w:r>
      <w:r>
        <w:t xml:space="preserve"> </w:t>
      </w:r>
      <w:r>
        <w:t xml:space="preserve">ERP</w:t>
      </w:r>
      <w:r>
        <w:t xml:space="preserve"> </w:t>
      </w:r>
      <w:r>
        <w:t xml:space="preserve">—</w:t>
      </w:r>
      <w:r>
        <w:t xml:space="preserve"> </w:t>
      </w:r>
      <w:r>
        <w:t xml:space="preserve">Overnight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32" w:name="X9fa4bc56f1aa659a37f91ad21b6bb3897868cdf"/>
    <w:p>
      <w:pPr>
        <w:pStyle w:val="Heading1"/>
      </w:pPr>
      <w:r>
        <w:t xml:space="preserve">MSCAST ERP - overnight implementation report</w:t>
      </w:r>
    </w:p>
    <w:p>
      <w:pPr>
        <w:pStyle w:val="FirstParagraph"/>
      </w:pPr>
      <w:r>
        <w:rPr>
          <w:bCs/>
          <w:b/>
        </w:rPr>
        <w:t xml:space="preserve">19 September 2026</w:t>
      </w:r>
      <w:r>
        <w:t xml:space="preserve"> </w:t>
      </w:r>
      <w:r>
        <w:t xml:space="preserve">· POC on ERPNext v16 · site</w:t>
      </w:r>
      <w:r>
        <w:t xml:space="preserve"> </w:t>
      </w:r>
      <w:r>
        <w:rPr>
          <w:rStyle w:val="VerbatimChar"/>
        </w:rPr>
        <w:t xml:space="preserve">frontend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X4bf8c62d024346ead4051c700e589d5c6c8e849"/>
      <w:r>
        <w:t xml:space="preserve">Read this first — what has changed since 19 September</w:t>
      </w:r>
      <w:bookmarkEnd w:id="20"/>
    </w:p>
    <w:p>
      <w:pPr>
        <w:pStyle w:val="BlockText"/>
      </w:pPr>
      <w:r>
        <w:rPr>
          <w:bCs/>
          <w:b/>
        </w:rPr>
        <w:t xml:space="preserve">This is a dated record of one night’s work, kept as written.</w:t>
      </w:r>
      <w:r>
        <w:t xml:space="preserve"> </w:t>
      </w:r>
      <w:r>
        <w:t xml:space="preserve">Its findings and defect list are history and are not edited. But several of its statements about the system are no longer true, and anyone reading it for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state should use these numbers instead: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This report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at 20 September, evening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 active workflows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Five</w:t>
            </w:r>
            <w:r>
              <w:t xml:space="preserve"> </w:t>
            </w:r>
            <w:r>
              <w:t xml:space="preserve">— a drawing release workflow was added, so a drawing cannot reach</w:t>
            </w:r>
            <w:r>
              <w:t xml:space="preserve"> </w:t>
            </w:r>
            <w:r>
              <w:rPr>
                <w:iCs/>
                <w:i/>
              </w:rPr>
              <w:t xml:space="preserve">Released for Manufacture</w:t>
            </w:r>
            <w:r>
              <w:t xml:space="preserve"> </w:t>
            </w:r>
            <w:r>
              <w:t xml:space="preserve">without customer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 automated 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</w:t>
            </w:r>
            <w:r>
              <w:t xml:space="preserve"> </w:t>
            </w:r>
            <w:r>
              <w:t xml:space="preserve">— four control checks were added, each because something got past the one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 department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 staff logins</w:t>
            </w:r>
            <w:r>
              <w:t xml:space="preserve"> </w:t>
            </w:r>
            <w:r>
              <w:t xml:space="preserve">(12 named people plus the site administrator), rebuilt with a real approval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BRM certified by the Purchase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by a</w:t>
            </w:r>
            <w:r>
              <w:t xml:space="preserve"> </w:t>
            </w:r>
            <w:r>
              <w:rPr>
                <w:bCs/>
                <w:b/>
              </w:rPr>
              <w:t xml:space="preserve">director</w:t>
            </w:r>
            <w:r>
              <w:t xml:space="preserve">. But see the row below — that does not make it three separate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director can create a BRM, certify it and mark it paid, alone.</w:t>
            </w:r>
            <w:r>
              <w:t xml:space="preserve"> </w:t>
            </w:r>
            <w:r>
              <w:t xml:space="preserve">Both directors hold</w:t>
            </w:r>
            <w:r>
              <w:t xml:space="preserve"> </w:t>
            </w:r>
            <w:r>
              <w:rPr>
                <w:rStyle w:val="VerbatimChar"/>
              </w:rPr>
              <w:t xml:space="preserve">Projects Manager</w:t>
            </w:r>
            <w:r>
              <w:t xml:space="preserve"> </w:t>
            </w:r>
            <w:r>
              <w:t xml:space="preserve">(which can create one),</w:t>
            </w:r>
            <w:r>
              <w:t xml:space="preserve"> </w:t>
            </w:r>
            <w:r>
              <w:rPr>
                <w:rStyle w:val="VerbatimChar"/>
              </w:rPr>
              <w:t xml:space="preserve">MSCAST Director</w:t>
            </w:r>
            <w:r>
              <w:t xml:space="preserve"> </w:t>
            </w:r>
            <w:r>
              <w:t xml:space="preserve">(which certifies) and</w:t>
            </w:r>
            <w:r>
              <w:t xml:space="preserve"> </w:t>
            </w:r>
            <w:r>
              <w:rPr>
                <w:rStyle w:val="VerbatimChar"/>
              </w:rPr>
              <w:t xml:space="preserve">Accounts Manager</w:t>
            </w:r>
            <w:r>
              <w:t xml:space="preserve"> </w:t>
            </w:r>
            <w:r>
              <w:t xml:space="preserve">(which marks it paid). Found on 20 September by a new check,</w:t>
            </w:r>
            <w:r>
              <w:t xml:space="preserve"> </w:t>
            </w:r>
            <w:r>
              <w:rPr>
                <w:rStyle w:val="VerbatimChar"/>
              </w:rPr>
              <w:t xml:space="preserve">T6g</w:t>
            </w:r>
            <w:r>
              <w:t xml:space="preserve">; three documents had claimed the opposite. The payment block itself is unaffected — no certified BRM, no payment, for anyone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 approved by the Purchase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by a</w:t>
            </w:r>
            <w:r>
              <w:t xml:space="preserve"> </w:t>
            </w:r>
            <w:r>
              <w:rPr>
                <w:bCs/>
                <w:b/>
              </w:rPr>
              <w:t xml:space="preserve">director</w:t>
            </w:r>
            <w:r>
              <w:t xml:space="preserve">, and sent for approval by</w:t>
            </w:r>
            <w:r>
              <w:t xml:space="preserve"> </w:t>
            </w:r>
            <w:r>
              <w:rPr>
                <w:rStyle w:val="VerbatimChar"/>
              </w:rPr>
              <w:t xml:space="preserve">Purchase User</w:t>
            </w:r>
            <w:r>
              <w:t xml:space="preserve">. Nobody holds both, so purchase orders genuinely do take two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attendance</w:t>
            </w:r>
            <w:r>
              <w:t xml:space="preserve"> </w:t>
            </w:r>
            <w:r>
              <w:t xml:space="preserve">“</w:t>
            </w:r>
            <w:r>
              <w:t xml:space="preserve">converted automatically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device pull is</w:t>
            </w:r>
            <w:r>
              <w:t xml:space="preserve"> </w:t>
            </w:r>
            <w:r>
              <w:rPr>
                <w:bCs/>
                <w:b/>
              </w:rPr>
              <w:t xml:space="preserve">switched off</w:t>
            </w:r>
            <w:r>
              <w:t xml:space="preserve">. Attendance is entered until it is enabled and proven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about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Installing or upgrading the app</w:t>
            </w:r>
            <w:r>
              <w:t xml:space="preserve"> </w:t>
            </w:r>
            <w:r>
              <w:rPr>
                <w:bCs/>
                <w:b/>
              </w:rPr>
              <w:t xml:space="preserve">overwrites configuration from the package</w:t>
            </w:r>
            <w:r>
              <w:t xml:space="preserve">. See the cutover runbook, section 5a — this is the most important thing learned since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automation</w:t>
            </w:r>
            <w:r>
              <w:t xml:space="preserve"> </w:t>
            </w:r>
            <w:r>
              <w:t xml:space="preserve">“</w:t>
            </w:r>
            <w:r>
              <w:t xml:space="preserve">needs a Google Cloud project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agent is</w:t>
            </w:r>
            <w:r>
              <w:t xml:space="preserve"> </w:t>
            </w:r>
            <w:r>
              <w:rPr>
                <w:bCs/>
                <w:b/>
              </w:rPr>
              <w:t xml:space="preserve">built and running</w:t>
            </w:r>
            <w:r>
              <w:t xml:space="preserve">: a 16-rule sweep at 06:00 and an AI-written morning note at 08:35, via a local router. No cloud project needed for the POC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demo administrator holds fourteen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held</w:t>
            </w:r>
            <w:r>
              <w:t xml:space="preserve"> </w:t>
            </w:r>
            <w:r>
              <w:rPr>
                <w:bCs/>
                <w:b/>
              </w:rPr>
              <w:t xml:space="preserve">41</w:t>
            </w:r>
            <w:r>
              <w:t xml:space="preserve">, not fourteen, and now holds</w:t>
            </w:r>
            <w:r>
              <w:t xml:space="preserve"> </w:t>
            </w:r>
            <w:r>
              <w:rPr>
                <w:rStyle w:val="VerbatimChar"/>
              </w:rPr>
              <w:t xml:space="preserve">System Manager</w:t>
            </w:r>
            <w:r>
              <w:t xml:space="preserve"> </w:t>
            </w:r>
            <w:r>
              <w:t xml:space="preserve">and nothing else. A second account — ordinary staff — was also found holding</w:t>
            </w:r>
            <w:r>
              <w:t xml:space="preserve"> </w:t>
            </w:r>
            <w:r>
              <w:rPr>
                <w:rStyle w:val="VerbatimChar"/>
              </w:rPr>
              <w:t xml:space="preserve">System Manager</w:t>
            </w:r>
            <w:r>
              <w:t xml:space="preserve"> </w:t>
            </w:r>
            <w:r>
              <w:t xml:space="preserve">and has had it removed</w:t>
            </w:r>
          </w:p>
        </w:tc>
      </w:tr>
    </w:tbl>
    <w:p>
      <w:pPr>
        <w:pStyle w:val="BlockText"/>
      </w:pPr>
      <w:r>
        <w:t xml:space="preserve">Current authoritative documents:</w:t>
      </w:r>
      <w:r>
        <w:t xml:space="preserve"> </w:t>
      </w:r>
      <w:r>
        <w:rPr>
          <w:iCs/>
          <w:i/>
        </w:rPr>
        <w:t xml:space="preserve">Client Setup Guide v2.2</w:t>
      </w:r>
      <w:r>
        <w:t xml:space="preserve">,</w:t>
      </w:r>
      <w:r>
        <w:t xml:space="preserve"> </w:t>
      </w:r>
      <w:r>
        <w:rPr>
          <w:iCs/>
          <w:i/>
        </w:rPr>
        <w:t xml:space="preserve">SOPs and Use Cases v2.1</w:t>
      </w:r>
      <w:r>
        <w:t xml:space="preserve">,</w:t>
      </w:r>
      <w:r>
        <w:t xml:space="preserve"> </w:t>
      </w:r>
      <w:r>
        <w:rPr>
          <w:iCs/>
          <w:i/>
        </w:rPr>
        <w:t xml:space="preserve">Role Cards v1.2</w:t>
      </w:r>
      <w:r>
        <w:t xml:space="preserve">,</w:t>
      </w:r>
      <w:r>
        <w:t xml:space="preserve"> </w:t>
      </w:r>
      <w:r>
        <w:rPr>
          <w:iCs/>
          <w:i/>
        </w:rPr>
        <w:t xml:space="preserve">Production Cutover Runbook</w:t>
      </w:r>
      <w:r>
        <w:t xml:space="preserve">,</w:t>
      </w:r>
      <w:r>
        <w:t xml:space="preserve"> </w:t>
      </w:r>
      <w:r>
        <w:rPr>
          <w:iCs/>
          <w:i/>
        </w:rPr>
        <w:t xml:space="preserve">Requirements Traceability v1.7</w:t>
      </w:r>
      <w:r>
        <w:t xml:space="preserve">. Current release:</w:t>
      </w:r>
      <w:r>
        <w:t xml:space="preserve"> </w:t>
      </w:r>
      <w:r>
        <w:rPr>
          <w:rStyle w:val="VerbatimChar"/>
          <w:bCs/>
          <w:b/>
        </w:rPr>
        <w:t xml:space="preserve">v0.9.0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headline"/>
    <w:p>
      <w:pPr>
        <w:pStyle w:val="Heading2"/>
      </w:pPr>
      <w:r>
        <w:t xml:space="preserve">Headline</w:t>
      </w:r>
    </w:p>
    <w:p>
      <w:pPr>
        <w:pStyle w:val="FirstParagraph"/>
      </w:pPr>
      <w:r>
        <w:rPr>
          <w:bCs/>
          <w:b/>
        </w:rPr>
        <w:t xml:space="preserve">All 97 requirements from MSCAST’s requirement document are now implemented.</w:t>
      </w:r>
      <w:r>
        <w:t xml:space="preserve"> </w:t>
      </w:r>
      <w:r>
        <w:t xml:space="preserve">Coverage went</w:t>
      </w:r>
      <w:r>
        <w:t xml:space="preserve"> </w:t>
      </w:r>
      <w:r>
        <w:t xml:space="preserve">53 → 86 →</w:t>
      </w:r>
      <w:r>
        <w:t xml:space="preserve"> </w:t>
      </w:r>
      <w:r>
        <w:rPr>
          <w:bCs/>
          <w:b/>
        </w:rPr>
        <w:t xml:space="preserve">97</w:t>
      </w:r>
      <w:r>
        <w:t xml:space="preserve"> </w:t>
      </w:r>
      <w:r>
        <w:t xml:space="preserve">across v1.3, v1.4 and v1.5 of the traceability matrix.</w:t>
      </w:r>
    </w:p>
    <w:p>
      <w:pPr>
        <w:pStyle w:val="BodyText"/>
      </w:pPr>
      <w:r>
        <w:rPr>
          <w:bCs/>
          <w:b/>
        </w:rPr>
        <w:t xml:space="preserve">23 of 23 automated checks pass.</w:t>
      </w:r>
      <w:r>
        <w:t xml:space="preserve"> </w:t>
      </w:r>
      <w:r>
        <w:t xml:space="preserve">That harness is new and is the more important half of the</w:t>
      </w:r>
      <w:r>
        <w:t xml:space="preserve"> </w:t>
      </w:r>
      <w:r>
        <w:t xml:space="preserve">night’s work — see</w:t>
      </w:r>
      <w:r>
        <w:t xml:space="preserve"> </w:t>
      </w:r>
      <w:r>
        <w:rPr>
          <w:iCs/>
          <w:i/>
        </w:rPr>
        <w:t xml:space="preserve">How this was verified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Six requirements rest on assumptions, because MSCAST and the CA haven’t answered. Every one of them</w:t>
      </w:r>
      <w:r>
        <w:t xml:space="preserve"> </w:t>
      </w:r>
      <w:r>
        <w:t xml:space="preserve">is stated in the matrix, and also written into the narration of the voucher inside the system, so</w:t>
      </w:r>
      <w:r>
        <w:t xml:space="preserve"> </w:t>
      </w:r>
      <w:r>
        <w:t xml:space="preserve">whoever reviews the books sees the assumption at the point it matters rather than in a document.</w:t>
      </w:r>
    </w:p>
    <w:p>
      <w:r>
        <w:pict>
          <v:rect style="width:0;height:1.5pt" o:hralign="center" o:hrstd="t" o:hr="t"/>
        </w:pict>
      </w:r>
    </w:p>
    <w:bookmarkEnd w:id="21"/>
    <w:bookmarkStart w:id="25" w:name="what-was-built"/>
    <w:p>
      <w:pPr>
        <w:pStyle w:val="Heading2"/>
      </w:pPr>
      <w:r>
        <w:t xml:space="preserve">What was built</w:t>
      </w:r>
    </w:p>
    <w:bookmarkStart w:id="22" w:name="X3582581f0277986df3d6bd528e7bb879be16624"/>
    <w:p>
      <w:pPr>
        <w:pStyle w:val="Heading3"/>
      </w:pPr>
      <w:r>
        <w:t xml:space="preserve">Accounting and statutory (the largest block)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exists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 III 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vertical format, note references, MSME/other split of trade payables, advances shown gross rather than netted.</w:t>
            </w:r>
            <w:r>
              <w:t xml:space="preserve"> </w:t>
            </w:r>
            <w:r>
              <w:rPr>
                <w:bCs/>
                <w:b/>
              </w:rPr>
              <w:t xml:space="preserve">Balances to the rupee</w:t>
            </w:r>
            <w:r>
              <w:t xml:space="preserve"> </w:t>
            </w:r>
            <w:r>
              <w:t xml:space="preserve">(₹1,58,71,795 both sides), nothing unclassified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 III P&amp;L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Revenue, changes in inventories and WIP, employee benefits, finance costs, depreciation, other expenses, current and deferred tax, EPS. Profit</w:t>
            </w:r>
            <w:r>
              <w:t xml:space="preserve"> </w:t>
            </w:r>
            <w:r>
              <w:rPr>
                <w:bCs/>
                <w:b/>
              </w:rPr>
              <w:t xml:space="preserve">ties exactly</w:t>
            </w:r>
            <w:r>
              <w:t xml:space="preserve"> </w:t>
            </w:r>
            <w:r>
              <w:t xml:space="preserve">to the ledger surplus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 amendment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receivable ageing, trade payable ageing split MSME/others, and the</w:t>
            </w:r>
            <w:r>
              <w:t xml:space="preserve"> </w:t>
            </w:r>
            <w:r>
              <w:rPr>
                <w:bCs/>
                <w:b/>
              </w:rPr>
              <w:t xml:space="preserve">eleven prescribed ratios</w:t>
            </w:r>
            <w:r>
              <w:t xml:space="preserve"> </w:t>
            </w:r>
            <w:r>
              <w:t xml:space="preserve">— guarded so that immaterial denominators show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  <w:r>
              <w:t xml:space="preserve"> </w:t>
            </w:r>
            <w:r>
              <w:t xml:space="preserve">instead of a meaningless</w:t>
            </w:r>
            <w:r>
              <w:t xml:space="preserve"> </w:t>
            </w:r>
            <w:r>
              <w:t xml:space="preserve">“</w:t>
            </w:r>
            <w:r>
              <w:t xml:space="preserve">ROE 100%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 to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notes: MSMED s.22 disclosure, related party (AS 18), contingent liabilities pulled from the live bank guarantees, CWIP ageing, EPS basis, audit-trail note, and the Schedule III negative disclosures (no benami, no struck-off dealings, no crypto, CSR not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tax ₹5,23,156 at 25.168% (s.115BAA) and deferred tax — DTA on the gratuity provision (s.43B, allowed on payment) against DTL on the depreciation timing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WIP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₹26,70,766 carried, with a report showing the build-up: bought-out billed + material issued + engineering hours at ₹450/hr + 12% works overhead, less the cost of the billed portion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GST on closing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by warehouse with HSN, value, embedded ITC, and the treatment note — separating stock at the job worker (ITC-04, one-year return rule) from stock on own premises</w:t>
            </w:r>
          </w:p>
        </w:tc>
      </w:tr>
    </w:tbl>
    <w:bookmarkEnd w:id="22"/>
    <w:bookmarkStart w:id="23" w:name="operations"/>
    <w:p>
      <w:pPr>
        <w:pStyle w:val="Heading3"/>
      </w:pPr>
      <w:r>
        <w:t xml:space="preserve">Operations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Billing and dispatch schedule</w:t>
      </w:r>
      <w:r>
        <w:t xml:space="preserve"> </w:t>
      </w:r>
      <w:r>
        <w:t xml:space="preserve">on the Project — 9 milestones across the two projects with planned dispatch date, billing %, value, status and an action note for procurement, plus a report they can work from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Payment receipt print</w:t>
      </w:r>
      <w:r>
        <w:t xml:space="preserve"> </w:t>
      </w:r>
      <w:r>
        <w:t xml:space="preserve">with amount in words and the allocation table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Finance scaling report</w:t>
      </w:r>
      <w:r>
        <w:t xml:space="preserve"> </w:t>
      </w:r>
      <w:r>
        <w:t xml:space="preserve">— order book and pipeline against scheduled collections, committed outflows, cash and the ₹2.5 Cr HDFC limit, with the projected 90-day headroom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Biometric attendance</w:t>
      </w:r>
      <w:r>
        <w:t xml:space="preserve"> </w:t>
      </w:r>
      <w:r>
        <w:t xml:space="preserve">— a shift with auto-attendance, 72 punches from device</w:t>
      </w:r>
      <w:r>
        <w:t xml:space="preserve"> </w:t>
      </w:r>
      <w:r>
        <w:rPr>
          <w:rStyle w:val="VerbatimChar"/>
        </w:rPr>
        <w:t xml:space="preserve">MSCAST-DOOR-01</w:t>
      </w:r>
      <w:r>
        <w:t xml:space="preserve">, converted automatically into Attendance, with an audit report reconciling punches to attendance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(Since superseded: the scheduled pull that would keep this current is switched off. The 72 punches and the reconciliation report are real; the automation behind them is not yet running.)</w:t>
      </w:r>
    </w:p>
    <w:bookmarkEnd w:id="23"/>
    <w:bookmarkStart w:id="24" w:name="controls"/>
    <w:p>
      <w:pPr>
        <w:pStyle w:val="Heading3"/>
      </w:pPr>
      <w:r>
        <w:t xml:space="preserve">Controls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Four active workflows</w:t>
      </w:r>
      <w:r>
        <w:t xml:space="preserve">: PCC approval, purchase order approval, BRM certification, project kick-off. The BRM workflow drives the same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 the payment block reads, so certifying through the workflow is what unlocks payment — no parallel truth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(Since superseded: five workflows. Drawing release was added, and the approving roles moved to the directors.)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Five department users</w:t>
      </w:r>
      <w:r>
        <w:t xml:space="preserve"> </w:t>
      </w:r>
      <w:r>
        <w:t xml:space="preserve">(accounts, purchase, design, stores, HR) on matching roles, so the demo never runs as Administrator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(Since superseded: 13 staff logins — 12 named people plus the site administrator — with a documented approval matrix. See Role Cards.)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Google Chat webhooks</w:t>
      </w:r>
      <w:r>
        <w:t xml:space="preserve"> </w:t>
      </w:r>
      <w:r>
        <w:t xml:space="preserve">for transactions above ₹5 L — configured, left disabled until you paste the space URL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how-this-was-verified"/>
    <w:p>
      <w:pPr>
        <w:pStyle w:val="Heading2"/>
      </w:pPr>
      <w:r>
        <w:t xml:space="preserve">How this was verified</w:t>
      </w:r>
    </w:p>
    <w:p>
      <w:pPr>
        <w:pStyle w:val="FirstParagraph"/>
      </w:pPr>
      <w:r>
        <w:t xml:space="preserve">The daily summary shipped to you yesterday with two wrong numbers. It ran without error and</w:t>
      </w:r>
      <w:r>
        <w:t xml:space="preserve"> </w:t>
      </w:r>
      <w:r>
        <w:t xml:space="preserve">returned plausible figures; the only reason it was caught is that you sent a screenshot. That is</w:t>
      </w:r>
      <w:r>
        <w:t xml:space="preserve"> </w:t>
      </w:r>
      <w:r>
        <w:t xml:space="preserve">not a repeatable quality process, so I built one.</w:t>
      </w:r>
    </w:p>
    <w:p>
      <w:pPr>
        <w:pStyle w:val="BodyText"/>
      </w:pPr>
      <w:r>
        <w:rPr>
          <w:rStyle w:val="VerbatimChar"/>
          <w:bCs/>
          <w:b/>
        </w:rPr>
        <w:t xml:space="preserve">seed/102_test_harness.py</w:t>
      </w:r>
      <w:r>
        <w:rPr>
          <w:bCs/>
          <w:b/>
        </w:rPr>
        <w:t xml:space="preserve"> </w:t>
      </w:r>
      <w:r>
        <w:rPr>
          <w:bCs/>
          <w:b/>
        </w:rPr>
        <w:t xml:space="preserve">— 23 checks, all passing.</w:t>
      </w:r>
      <w:r>
        <w:t xml:space="preserve"> </w:t>
      </w:r>
      <w:r>
        <w:t xml:space="preserve">The one that matters most:</w:t>
      </w:r>
    </w:p>
    <w:p>
      <w:pPr>
        <w:pStyle w:val="BlockText"/>
      </w:pPr>
      <w:r>
        <w:rPr>
          <w:bCs/>
          <w:b/>
        </w:rPr>
        <w:t xml:space="preserve">T1</w:t>
      </w:r>
      <w:r>
        <w:t xml:space="preserve"> </w:t>
      </w:r>
      <w:r>
        <w:t xml:space="preserve">parses every custom report’s SQL, finds every literal compared against a 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 = 'Approved'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 in ('Accepted')</w:t>
      </w:r>
      <w:r>
        <w:t xml:space="preserve">, …), looks up that field’s real Select options,</w:t>
      </w:r>
      <w:r>
        <w:t xml:space="preserve"> </w:t>
      </w:r>
      <w:r>
        <w:t xml:space="preserve">and fails if the literal isn’t one of them.</w:t>
      </w:r>
      <w:r>
        <w:t xml:space="preserve"> </w:t>
      </w:r>
      <w:r>
        <w:rPr>
          <w:bCs/>
          <w:b/>
        </w:rPr>
        <w:t xml:space="preserve">324 literal comparisons checked, 0 mismatched.</w:t>
      </w:r>
    </w:p>
    <w:p>
      <w:pPr>
        <w:pStyle w:val="FirstParagraph"/>
      </w:pPr>
      <w:r>
        <w:t xml:space="preserve">That check would have caught yesterday’s bug — the report compared against</w:t>
      </w:r>
      <w:r>
        <w:t xml:space="preserve"> </w:t>
      </w:r>
      <w:r>
        <w:rPr>
          <w:rStyle w:val="VerbatimChar"/>
        </w:rPr>
        <w:t xml:space="preserve">'Approved'</w:t>
      </w:r>
      <w:r>
        <w:t xml:space="preserve"> </w:t>
      </w:r>
      <w:r>
        <w:t xml:space="preserve">when the</w:t>
      </w:r>
      <w:r>
        <w:t xml:space="preserve"> </w:t>
      </w:r>
      <w:r>
        <w:t xml:space="preserve">field’s actual option is</w:t>
      </w:r>
      <w:r>
        <w:t xml:space="preserve"> </w:t>
      </w:r>
      <w:r>
        <w:rPr>
          <w:rStyle w:val="VerbatimChar"/>
        </w:rPr>
        <w:t xml:space="preserve">'Approved by Customer'</w:t>
      </w:r>
      <w:r>
        <w:t xml:space="preserve">, so it matched all nine drawings instead of two.</w:t>
      </w:r>
    </w:p>
    <w:p>
      <w:pPr>
        <w:pStyle w:val="BodyText"/>
      </w:pPr>
      <w:r>
        <w:t xml:space="preserve">The rest: every report executes; no report uses the container’s UTC date; every print format</w:t>
      </w:r>
      <w:r>
        <w:t xml:space="preserve"> </w:t>
      </w:r>
      <w:r>
        <w:t xml:space="preserve">renders; the trial balance nets to zero; the balance sheet balances; the P&amp;L ties to the ledger;</w:t>
      </w:r>
      <w:r>
        <w:t xml:space="preserve"> </w:t>
      </w:r>
      <w:r>
        <w:t xml:space="preserve">no ledger entry without a cost centre; the BRM payment block actually refuses an uncertified bill</w:t>
      </w:r>
      <w:r>
        <w:t xml:space="preserve"> </w:t>
      </w:r>
      <w:r>
        <w:t xml:space="preserve">(tested live and rolled back); workflows are complete; every stored Select value is a valid option;</w:t>
      </w:r>
      <w:r>
        <w:t xml:space="preserve"> </w:t>
      </w:r>
      <w:r>
        <w:t xml:space="preserve">every invoiced item has an HSN; GST head matches place of supply on every invoice; mail works and</w:t>
      </w:r>
      <w:r>
        <w:t xml:space="preserve"> </w:t>
      </w:r>
      <w:r>
        <w:t xml:space="preserve">no notification has a dead recipient; payroll and attendance are consistent.</w:t>
      </w:r>
    </w:p>
    <w:p>
      <w:pPr>
        <w:pStyle w:val="BlockText"/>
      </w:pPr>
      <w:r>
        <w:rPr>
          <w:iCs/>
          <w:i/>
        </w:rPr>
        <w:t xml:space="preserve">(Since extended 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27 checks</w:t>
      </w:r>
      <w:r>
        <w:rPr>
          <w:iCs/>
          <w:i/>
        </w:rPr>
        <w:t xml:space="preserve">, in three steps, and the sequence is worth reading because each</w:t>
      </w:r>
      <w:r>
        <w:rPr>
          <w:iCs/>
          <w:i/>
        </w:rPr>
        <w:t xml:space="preserve"> </w:t>
      </w:r>
      <w:r>
        <w:rPr>
          <w:iCs/>
          <w:i/>
        </w:rPr>
        <w:t xml:space="preserve">step exists only because the one before it missed something.</w:t>
      </w:r>
    </w:p>
    <w:p>
      <w:pPr>
        <w:pStyle w:val="BlockText"/>
      </w:pPr>
      <w:r>
        <w:rPr>
          <w:iCs/>
          <w:i/>
        </w:rPr>
        <w:t xml:space="preserve">First,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T6d</w:t>
      </w:r>
      <w:r>
        <w:rPr>
          <w:iCs/>
          <w:i/>
        </w:rPr>
        <w:t xml:space="preserve">. An app install silently moved cost-sheet approval and bill certification to the</w:t>
      </w:r>
      <w:r>
        <w:rPr>
          <w:iCs/>
          <w:i/>
        </w:rPr>
        <w:t xml:space="preserve"> </w:t>
      </w:r>
      <w:r>
        <w:rPr>
          <w:iCs/>
          <w:i/>
        </w:rPr>
        <w:t xml:space="preserve">wrong roles and this harness still passed, because it checked that workflows were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active and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complete</w:t>
      </w:r>
      <w:r>
        <w:rPr>
          <w:iCs/>
          <w:i/>
        </w:rPr>
        <w:t xml:space="preserve"> </w:t>
      </w:r>
      <w:r>
        <w:rPr>
          <w:iCs/>
          <w:i/>
        </w:rPr>
        <w:t xml:space="preserve">and never checked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who they gave authority to</w:t>
      </w:r>
      <w:r>
        <w:rPr>
          <w:iCs/>
          <w:i/>
        </w:rPr>
        <w:t xml:space="preserve">. T6d asserts the approval matrix</w:t>
      </w:r>
      <w:r>
        <w:rPr>
          <w:iCs/>
          <w:i/>
        </w:rPr>
        <w:t xml:space="preserve"> </w:t>
      </w:r>
      <w:r>
        <w:rPr>
          <w:iCs/>
          <w:i/>
        </w:rPr>
        <w:t xml:space="preserve">outright.</w:t>
      </w:r>
    </w:p>
    <w:p>
      <w:pPr>
        <w:pStyle w:val="BlockText"/>
      </w:pPr>
      <w:r>
        <w:rPr>
          <w:iCs/>
          <w:i/>
        </w:rPr>
        <w:t xml:space="preserve">Then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T6e</w:t>
      </w:r>
      <w:r>
        <w:rPr>
          <w:iCs/>
          <w:i/>
        </w:rPr>
        <w:t xml:space="preserve">, which asks whether any ordinary user can both raise and approve the same document.</w:t>
      </w:r>
      <w:r>
        <w:rPr>
          <w:iCs/>
          <w:i/>
        </w:rPr>
        <w:t xml:space="preserve"> </w:t>
      </w:r>
      <w:r>
        <w:rPr>
          <w:iCs/>
          <w:i/>
        </w:rPr>
        <w:t xml:space="preserve">It excludes System Manager holders, on the reasoning that someone who can do anything is not a</w:t>
      </w:r>
      <w:r>
        <w:rPr>
          <w:iCs/>
          <w:i/>
        </w:rPr>
        <w:t xml:space="preserve"> </w:t>
      </w:r>
      <w:r>
        <w:rPr>
          <w:iCs/>
          <w:i/>
        </w:rPr>
        <w:t xml:space="preserve">meaningful segregation breach.</w:t>
      </w:r>
    </w:p>
    <w:p>
      <w:pPr>
        <w:pStyle w:val="BlockText"/>
      </w:pPr>
      <w:r>
        <w:rPr>
          <w:iCs/>
          <w:i/>
        </w:rPr>
        <w:t xml:space="preserve">That exclusion turned out to be a blind spot, so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T6f</w:t>
      </w:r>
      <w:r>
        <w:rPr>
          <w:iCs/>
          <w:i/>
        </w:rPr>
        <w:t xml:space="preserve"> </w:t>
      </w:r>
      <w:r>
        <w:rPr>
          <w:iCs/>
          <w:i/>
        </w:rPr>
        <w:t xml:space="preserve">reports it instead of hiding it: who</w:t>
      </w:r>
      <w:r>
        <w:rPr>
          <w:iCs/>
          <w:i/>
        </w:rPr>
        <w:t xml:space="preserve"> </w:t>
      </w:r>
      <w:r>
        <w:rPr>
          <w:iCs/>
          <w:i/>
        </w:rPr>
        <w:t xml:space="preserve">holds System Manager, and what else they hold. It immediately found an operational staff account</w:t>
      </w:r>
      <w:r>
        <w:rPr>
          <w:iCs/>
          <w:i/>
        </w:rPr>
        <w:t xml:space="preserve"> </w:t>
      </w:r>
      <w:r>
        <w:rPr>
          <w:iCs/>
          <w:i/>
        </w:rPr>
        <w:t xml:space="preserve">carrying it, which bypassed every control in the system and which nothing had reported.</w:t>
      </w:r>
    </w:p>
    <w:p>
      <w:pPr>
        <w:pStyle w:val="BlockText"/>
      </w:pPr>
      <w:r>
        <w:rPr>
          <w:iCs/>
          <w:i/>
        </w:rPr>
        <w:t xml:space="preserve">Finally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T6g</w:t>
      </w:r>
      <w:r>
        <w:rPr>
          <w:iCs/>
          <w:i/>
        </w:rPr>
        <w:t xml:space="preserve">, added on 20 September. T6e compares workflow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transition</w:t>
      </w:r>
      <w:r>
        <w:rPr>
          <w:iCs/>
          <w:i/>
        </w:rPr>
        <w:t xml:space="preserve"> </w:t>
      </w:r>
      <w:r>
        <w:rPr>
          <w:iCs/>
          <w:i/>
        </w:rPr>
        <w:t xml:space="preserve">roles — but creating</w:t>
      </w:r>
      <w:r>
        <w:rPr>
          <w:iCs/>
          <w:i/>
        </w:rPr>
        <w:t xml:space="preserve"> </w:t>
      </w:r>
      <w:r>
        <w:rPr>
          <w:iCs/>
          <w:i/>
        </w:rPr>
        <w:t xml:space="preserve">a document is a permission, not a transition, so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prepare a BRM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was invisible to it. T6g asks the</w:t>
      </w:r>
      <w:r>
        <w:rPr>
          <w:iCs/>
          <w:i/>
        </w:rPr>
        <w:t xml:space="preserve"> </w:t>
      </w:r>
      <w:r>
        <w:rPr>
          <w:iCs/>
          <w:i/>
        </w:rPr>
        <w:t xml:space="preserve">auditor’s question: can one person create this document and then approve it? It found that a</w:t>
      </w:r>
      <w:r>
        <w:rPr>
          <w:iCs/>
          <w:i/>
        </w:rPr>
        <w:t xml:space="preserve"> </w:t>
      </w:r>
      <w:r>
        <w:rPr>
          <w:iCs/>
          <w:i/>
        </w:rPr>
        <w:t xml:space="preserve">director can create a BRM, certify it and mark it paid, alone — which three delivered documents</w:t>
      </w:r>
      <w:r>
        <w:rPr>
          <w:iCs/>
          <w:i/>
        </w:rPr>
        <w:t xml:space="preserve"> </w:t>
      </w:r>
      <w:r>
        <w:rPr>
          <w:iCs/>
          <w:i/>
        </w:rPr>
        <w:t xml:space="preserve">had explicitly said was impossible. Those documents are now corrected.</w:t>
      </w:r>
    </w:p>
    <w:p>
      <w:pPr>
        <w:pStyle w:val="BlockText"/>
      </w:pPr>
      <w:r>
        <w:rPr>
          <w:iCs/>
          <w:i/>
        </w:rPr>
        <w:t xml:space="preserve">Current result: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25 pass, 2 warn, 0 fail of 27</w:t>
      </w:r>
      <w:r>
        <w:rPr>
          <w:iCs/>
          <w:i/>
        </w:rPr>
        <w:t xml:space="preserve">. Both warnings are accepted positions put to</w:t>
      </w:r>
      <w:r>
        <w:rPr>
          <w:iCs/>
          <w:i/>
        </w:rPr>
        <w:t xml:space="preserve"> </w:t>
      </w:r>
      <w:r>
        <w:rPr>
          <w:iCs/>
          <w:i/>
        </w:rPr>
        <w:t xml:space="preserve">MSCAST as Q20 and Q21, not defects.)</w:t>
      </w:r>
    </w:p>
    <w:p>
      <w:pPr>
        <w:pStyle w:val="FirstParagraph"/>
      </w:pPr>
      <w:r>
        <w:t xml:space="preserve">Re-run it any time:</w:t>
      </w:r>
    </w:p>
    <w:p>
      <w:pPr>
        <w:pStyle w:val="SourceCode"/>
      </w:pPr>
      <w:r>
        <w:rPr>
          <w:rStyle w:val="NormalTok"/>
        </w:rPr>
        <w:t xml:space="preserve">wsl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Ubuntu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bash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MSCAST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erpnext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102_test_harness</w:t>
      </w:r>
    </w:p>
    <w:p>
      <w:r>
        <w:pict>
          <v:rect style="width:0;height:1.5pt" o:hralign="center" o:hrstd="t" o:hr="t"/>
        </w:pict>
      </w:r>
    </w:p>
    <w:bookmarkEnd w:id="26"/>
    <w:bookmarkStart w:id="27" w:name="what-the-work-found-and-fixed"/>
    <w:p>
      <w:pPr>
        <w:pStyle w:val="Heading2"/>
      </w:pPr>
      <w:r>
        <w:t xml:space="preserve">What the work found (and fixed)</w:t>
      </w:r>
    </w:p>
    <w:p>
      <w:pPr>
        <w:pStyle w:val="FirstParagraph"/>
      </w:pPr>
      <w:r>
        <w:t xml:space="preserve">Building against the books surfaced eight real defects. These are the valuable part of the night: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out by ₹86,400 — totals were being reconstructed from name filters instead of the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Totals now come from the ledger; presentation lines carry an explicit</w:t>
            </w:r>
            <w:r>
              <w:t xml:space="preserve"> </w:t>
            </w:r>
            <w:r>
              <w:rPr>
                <w:iCs/>
                <w:i/>
              </w:rPr>
              <w:t xml:space="preserve">unclassified</w:t>
            </w:r>
            <w:r>
              <w:t xml:space="preserve"> </w:t>
            </w:r>
            <w:r>
              <w:t xml:space="preserve">reconciling line so nothing can hide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Other expenses</w:t>
            </w:r>
            <w:r>
              <w:t xml:space="preserve">”</w:t>
            </w:r>
            <w:r>
              <w:t xml:space="preserve"> </w:t>
            </w:r>
            <w:r>
              <w:t xml:space="preserve">negative — expense filters weren’t constrained to expense accounts, so</w:t>
            </w:r>
            <w:r>
              <w:t xml:space="preserve"> </w:t>
            </w:r>
            <w:r>
              <w:rPr>
                <w:rStyle w:val="VerbatimChar"/>
              </w:rPr>
              <w:t xml:space="preserve">Purchase</w:t>
            </w:r>
            <w:r>
              <w:t xml:space="preserve">/</w:t>
            </w:r>
            <w:r>
              <w:rPr>
                <w:rStyle w:val="VerbatimChar"/>
              </w:rPr>
              <w:t xml:space="preserve">Material</w:t>
            </w:r>
            <w:r>
              <w:t xml:space="preserve"> </w:t>
            </w:r>
            <w:r>
              <w:t xml:space="preserve">matched balance-sheet 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filter now constrained by</w:t>
            </w:r>
            <w:r>
              <w:t xml:space="preserve"> </w:t>
            </w:r>
            <w:r>
              <w:rPr>
                <w:rStyle w:val="VerbatimChar"/>
              </w:rPr>
              <w:t xml:space="preserve">root_type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adjustment (−₹24.7 L) sitting in other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</w:t>
            </w:r>
            <w:r>
              <w:t xml:space="preserve"> </w:t>
            </w:r>
            <w:r>
              <w:rPr>
                <w:iCs/>
                <w:i/>
              </w:rPr>
              <w:t xml:space="preserve">changes in inventories</w:t>
            </w:r>
            <w:r>
              <w:t xml:space="preserve">, where Schedule III puts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 netted to zero against customer advances, producing a negative receivables-turnover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Party-wise gross: debit-balance parties are receivables, credit-balance parties are advances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 capital of ₹1,00,000 was nowhere in the ledger</w:t>
            </w:r>
            <w:r>
              <w:t xml:space="preserve"> </w:t>
            </w:r>
            <w:r>
              <w:t xml:space="preserve">— the share transfers registered the holding but posted no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entry posted; share capital now appears on the balance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PPE showed nil</w:t>
            </w:r>
            <w:r>
              <w:t xml:space="preserve"> </w:t>
            </w:r>
            <w:r>
              <w:t xml:space="preserve">— two assets were created as</w:t>
            </w:r>
            <w:r>
              <w:t xml:space="preserve"> </w:t>
            </w:r>
            <w:r>
              <w:t xml:space="preserve">“</w:t>
            </w:r>
            <w:r>
              <w:t xml:space="preserve">existing</w:t>
            </w:r>
            <w:r>
              <w:t xml:space="preserve">”</w:t>
            </w:r>
            <w:r>
              <w:t xml:space="preserve"> </w:t>
            </w:r>
            <w:r>
              <w:t xml:space="preserve">with no accounting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entry for ₹8,45,000, excluding the test bench whose cost is already in CWIP (that first attempt double-counted it; caught and reversed)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chart of accounts had</w:t>
            </w:r>
            <w:r>
              <w:t xml:space="preserve"> </w:t>
            </w:r>
            <w:r>
              <w:rPr>
                <w:bCs/>
                <w:b/>
              </w:rPr>
              <w:t xml:space="preserve">no plant-and-machinery head</w:t>
            </w:r>
            <w:r>
              <w:t xml:space="preserve">, so everything landed in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created, ₹6,05,000 reclassified, asset categories repointed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Shareholding was allocated to the wrong directors</w:t>
            </w:r>
            <w:r>
              <w:t xml:space="preserve">, and</w:t>
            </w:r>
            <w:r>
              <w:t xml:space="preserve"> </w:t>
            </w:r>
            <w:r>
              <w:rPr>
                <w:bCs/>
                <w:b/>
              </w:rPr>
              <w:t xml:space="preserve">the bank guarantees had no expiry date</w:t>
            </w:r>
            <w:r>
              <w:t xml:space="preserve"> </w:t>
            </w:r>
            <w:r>
              <w:t xml:space="preserve">— so the BG expiry alert could never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corrected; the ABG now expires 29 Oct, so the 30-day alert fires on 29 Sep. </w:t>
            </w:r>
            <w:r>
              <w:rPr>
                <w:iCs/>
                <w:i/>
              </w:rPr>
              <w:t xml:space="preserve">(Shareholdings were later replaced with unnamed Promoter A/B/C, because attributing invented percentages to real named people is not something a demonstration should do.)</w:t>
            </w:r>
          </w:p>
        </w:tc>
      </w:tr>
    </w:tbl>
    <w:p>
      <w:pPr>
        <w:pStyle w:val="BodyText"/>
      </w:pPr>
      <w:r>
        <w:t xml:space="preserve">Defects 5–8 would have been visible to a client or an auditor. None of them were visible from the</w:t>
      </w:r>
      <w:r>
        <w:t xml:space="preserve"> </w:t>
      </w:r>
      <w:r>
        <w:t xml:space="preserve">requirement list.</w:t>
      </w:r>
    </w:p>
    <w:p>
      <w:r>
        <w:pict>
          <v:rect style="width:0;height:1.5pt" o:hralign="center" o:hrstd="t" o:hr="t"/>
        </w:pict>
      </w:r>
    </w:p>
    <w:bookmarkEnd w:id="27"/>
    <w:bookmarkStart w:id="28" w:name="assumptions-i-made-please-confirm"/>
    <w:p>
      <w:pPr>
        <w:pStyle w:val="Heading2"/>
      </w:pPr>
      <w:r>
        <w:t xml:space="preserve">Assumptions I made — please confirm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should 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Schedule III presentation as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MSCAST is an SMC reporting under</w:t>
            </w:r>
            <w:r>
              <w:t xml:space="preserve"> </w:t>
            </w:r>
            <w:r>
              <w:rPr>
                <w:bCs/>
                <w:b/>
              </w:rPr>
              <w:t xml:space="preserve">AS with SMC exemptions</w:t>
            </w:r>
            <w:r>
              <w:t xml:space="preserve">, not Ind AS (correct for this size — Ind AS starts at ₹250 Cr net worth)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tax at</w:t>
            </w:r>
            <w:r>
              <w:t xml:space="preserve"> </w:t>
            </w:r>
            <w:r>
              <w:rPr>
                <w:bCs/>
                <w:b/>
              </w:rPr>
              <w:t xml:space="preserve">25.168%</w:t>
            </w:r>
            <w:r>
              <w:t xml:space="preserve"> </w:t>
            </w:r>
            <w:r>
              <w:t xml:space="preserve">under s.115BAA; the depreciation timing difference is an estimate pending the tax depreciation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WIP at cost on unbilled scope, completion measured by billing against contract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(decision D6)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Finance Scaling Management</w:t>
            </w:r>
            <w:r>
              <w:t xml:space="preserve">”</w:t>
            </w:r>
            <w:r>
              <w:t xml:space="preserve"> </w:t>
            </w:r>
            <w:r>
              <w:t xml:space="preserve">was never defined — read as</w:t>
            </w:r>
            <w:r>
              <w:t xml:space="preserve"> </w:t>
            </w:r>
            <w:r>
              <w:rPr>
                <w:iCs/>
                <w:i/>
              </w:rPr>
              <w:t xml:space="preserve">can the business fund the order book it is chasing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MSCAST (Q1)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device model given — modelled the standard push pattern; a real ESSL/Matrix/ZKTeco controller posts to the same endpoint and nothing downstream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MSCAST (Q6)</w:t>
            </w:r>
          </w:p>
        </w:tc>
      </w:tr>
    </w:tbl>
    <w:p>
      <w:pPr>
        <w:pStyle w:val="BodyText"/>
      </w:pPr>
      <w:r>
        <w:t xml:space="preserve">All six remain open as at 20 September. If any answer differs, the change is small and local in every case.</w:t>
      </w:r>
    </w:p>
    <w:p>
      <w:r>
        <w:pict>
          <v:rect style="width:0;height:1.5pt" o:hralign="center" o:hrstd="t" o:hr="t"/>
        </w:pict>
      </w:r>
    </w:p>
    <w:bookmarkEnd w:id="28"/>
    <w:bookmarkStart w:id="29" w:name="what-is-still-genuinely-outstanding"/>
    <w:p>
      <w:pPr>
        <w:pStyle w:val="Heading2"/>
      </w:pPr>
      <w:r>
        <w:t xml:space="preserve">What is still genuinely outstanding</w:t>
      </w:r>
    </w:p>
    <w:p>
      <w:pPr>
        <w:pStyle w:val="FirstParagraph"/>
      </w:pPr>
      <w:r>
        <w:t xml:space="preserve">Nothing on the requirement list. What remains is the gap between a POC and production: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Previous-year comparatives</w:t>
      </w:r>
      <w:r>
        <w:t xml:space="preserve"> </w:t>
      </w:r>
      <w:r>
        <w:t xml:space="preserve">are blank until the Tally opening balances are migrated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Opening data migration</w:t>
      </w:r>
      <w:r>
        <w:t xml:space="preserve"> </w:t>
      </w:r>
      <w:r>
        <w:t xml:space="preserve">from Tally — masters, open POs/SOs, stock, retention, BGs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Production hosting</w:t>
      </w:r>
      <w:r>
        <w:t xml:space="preserve"> </w:t>
      </w:r>
      <w:r>
        <w:t xml:space="preserve">— VPS, HTTPS, real users and passwords, daily India-hosted backups (Companies (Accounts) Rules r.3(5))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Google Chat webhooks</w:t>
      </w:r>
      <w:r>
        <w:t xml:space="preserve"> </w:t>
      </w:r>
      <w:r>
        <w:t xml:space="preserve">need the space URL to be enabled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Gemini automation layer</w:t>
      </w:r>
      <w:r>
        <w:t xml:space="preserve"> </w:t>
      </w:r>
      <w:r>
        <w:t xml:space="preserve">from the phased plan — needs a Google Cloud project (decision D5)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(Since built. The exception sweep and the AI morning briefing both run, through a local model router rather than a cloud project. A cloud key is only needed when the system moves to a server that cannot reach that router — a configuration change, not a build.)</w:t>
      </w:r>
    </w:p>
    <w:p>
      <w:pPr>
        <w:pStyle w:val="FirstParagraph"/>
      </w:pPr>
      <w:r>
        <w:t xml:space="preserve">Added since, and not on the original list: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The demonstration administrator account holds fourteen roles</w:t>
      </w:r>
      <w:r>
        <w:t xml:space="preserve"> </w:t>
      </w:r>
      <w:r>
        <w:t xml:space="preserve">including every manager role. Convenient for a demo, a hole in the separation of duties on a live system. Must be cut back before real data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(Since closed, and the figure was wrong: it held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41</w:t>
      </w:r>
      <w:r>
        <w:rPr>
          <w:iCs/>
          <w:i/>
        </w:rPr>
        <w:t xml:space="preserve">, not fourteen. It now holds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System Manager</w:t>
      </w:r>
      <w:r>
        <w:rPr>
          <w:iCs/>
          <w:i/>
        </w:rPr>
        <w:t xml:space="preserve"> </w:t>
      </w:r>
      <w:r>
        <w:rPr>
          <w:iCs/>
          <w:i/>
        </w:rPr>
        <w:t xml:space="preserve">and nothing else. Auditing it turned up a second and worse case — an ordinary staff account also holding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System Manager</w:t>
      </w:r>
      <w:r>
        <w:rPr>
          <w:iCs/>
          <w:i/>
        </w:rPr>
        <w:t xml:space="preserve">, which bypasses every control in the system. Removed. Both are now asserted on every build by T6f, because a fresh install recreates the first one.)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The Administrator password</w:t>
      </w:r>
      <w:r>
        <w:t xml:space="preserve"> </w:t>
      </w:r>
      <w:r>
        <w:t xml:space="preserve">set during the POC must be rotated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(Still open, deliberately. This is a POC on a laptop; it becomes mandatory the moment the system moves to a server or carries real data.)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Deployment discipline</w:t>
      </w:r>
      <w:r>
        <w:t xml:space="preserve"> </w:t>
      </w:r>
      <w:r>
        <w:t xml:space="preserve">— deploy from a tagged release, never a copied folder, and read the post-deploy verification output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The segregation of duties around supplier bills</w:t>
      </w:r>
      <w:r>
        <w:t xml:space="preserve"> </w:t>
      </w:r>
      <w:r>
        <w:t xml:space="preserve">is weaker than three of these documents claimed, and the decision now sits with MSCAST as Q21 in the traceability matrix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(Added 20 September, from T6g.)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reset-poc.sh</w:t>
      </w:r>
      <w:r>
        <w:rPr>
          <w:bCs/>
          <w:b/>
        </w:rPr>
        <w:t xml:space="preserve"> </w:t>
      </w:r>
      <w:r>
        <w:rPr>
          <w:bCs/>
          <w:b/>
        </w:rPr>
        <w:t xml:space="preserve">has not been run end to end</w:t>
      </w:r>
      <w:r>
        <w:t xml:space="preserve"> </w:t>
      </w:r>
      <w:r>
        <w:t xml:space="preserve">since the four most recent seed scripts joined it. Each was verified individually against the live site, but the claim that the system rebuilds from nothing is currently untested</w:t>
      </w:r>
    </w:p>
    <w:p>
      <w:r>
        <w:pict>
          <v:rect style="width:0;height:1.5pt" o:hralign="center" o:hrstd="t" o:hr="t"/>
        </w:pict>
      </w:r>
    </w:p>
    <w:bookmarkEnd w:id="29"/>
    <w:bookmarkStart w:id="30" w:name="where-things-are"/>
    <w:p>
      <w:pPr>
        <w:pStyle w:val="Heading2"/>
      </w:pPr>
      <w:r>
        <w:t xml:space="preserve">Where things are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github.com/cb1-tech/mscast</w:t>
            </w:r>
            <w:r>
              <w:t xml:space="preserve"> </w:t>
            </w:r>
            <w:r>
              <w:t xml:space="preserve">— release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v0.9.0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Installable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mscast_erp/</w:t>
            </w:r>
            <w:r>
              <w:t xml:space="preserve"> </w:t>
            </w:r>
            <w:r>
              <w:t xml:space="preserve">in that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erpnext-poc/seed/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102</w:t>
            </w:r>
            <w:r>
              <w:t xml:space="preserve"> </w:t>
            </w:r>
            <w:r>
              <w:t xml:space="preserve">is the test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Rebuild from scratch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erpnext-poc/scripts/reset-poc.sh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Client Setup Guide v2.2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SOPs v2.1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Role Cards v1.2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Cutover Runbook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Traceability v1.7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Independent Review</w:t>
            </w:r>
            <w:r>
              <w:t xml:space="preserve"> </w:t>
            </w:r>
            <w:r>
              <w:t xml:space="preserve">— in the project and in</w:t>
            </w:r>
            <w:r>
              <w:t xml:space="preserve"> </w:t>
            </w:r>
            <w:r>
              <w:rPr>
                <w:rStyle w:val="VerbatimChar"/>
              </w:rPr>
              <w:t xml:space="preserve">ERP Plan\</w:t>
            </w:r>
          </w:p>
        </w:tc>
      </w:tr>
    </w:tbl>
    <w:bookmarkEnd w:id="30"/>
    <w:bookmarkStart w:id="31" w:name="suggested-first-fifteen-minutes"/>
    <w:p>
      <w:pPr>
        <w:pStyle w:val="Heading2"/>
      </w:pPr>
      <w:r>
        <w:t xml:space="preserve">Suggested first fifteen minutes</w:t>
      </w:r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MSCAST Balance Sheet (Schedule III)</w:t>
      </w:r>
      <w:r>
        <w:t xml:space="preserve"> </w:t>
      </w:r>
      <w:r>
        <w:t xml:space="preserve">and confirm it balances.</w:t>
      </w:r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MSCAST Notes to Accounts</w:t>
      </w:r>
      <w:r>
        <w:t xml:space="preserve"> </w:t>
      </w:r>
      <w:r>
        <w:t xml:space="preserve">— note 6 is the MSMED disclosure your auditor will ask for first.</w:t>
      </w:r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MSCAST Schedule III - Ratios</w:t>
      </w:r>
      <w:r>
        <w:t xml:space="preserve"> </w:t>
      </w:r>
      <w:r>
        <w:t xml:space="preserve">and see which show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and why.</w:t>
      </w:r>
    </w:p>
    <w:p>
      <w:pPr>
        <w:numPr>
          <w:ilvl w:val="0"/>
          <w:numId w:val="1005"/>
        </w:numPr>
        <w:pStyle w:val="Compact"/>
      </w:pPr>
      <w:r>
        <w:t xml:space="preserve">Open a</w:t>
      </w:r>
      <w:r>
        <w:t xml:space="preserve"> </w:t>
      </w:r>
      <w:r>
        <w:rPr>
          <w:bCs/>
          <w:b/>
        </w:rPr>
        <w:t xml:space="preserve">Purchase Order</w:t>
      </w:r>
      <w:r>
        <w:t xml:space="preserve"> </w:t>
      </w:r>
      <w:r>
        <w:t xml:space="preserve">and watch the approval workflow bar appear.</w:t>
      </w:r>
    </w:p>
    <w:p>
      <w:pPr>
        <w:numPr>
          <w:ilvl w:val="0"/>
          <w:numId w:val="1005"/>
        </w:numPr>
        <w:pStyle w:val="Compact"/>
      </w:pPr>
      <w:r>
        <w:t xml:space="preserve">Try to pay an uncertified supplier bill and watch the BRM block refuse it.</w:t>
      </w:r>
    </w:p>
    <w:p>
      <w:pPr>
        <w:numPr>
          <w:ilvl w:val="0"/>
          <w:numId w:val="1005"/>
        </w:numPr>
        <w:pStyle w:val="Compact"/>
      </w:pPr>
      <w:r>
        <w:t xml:space="preserve">Open a</w:t>
      </w:r>
      <w:r>
        <w:t xml:space="preserve"> </w:t>
      </w:r>
      <w:r>
        <w:rPr>
          <w:bCs/>
          <w:b/>
        </w:rPr>
        <w:t xml:space="preserve">Drawing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Draft</w:t>
      </w:r>
      <w:r>
        <w:t xml:space="preserve"> </w:t>
      </w:r>
      <w:r>
        <w:t xml:space="preserve">and try to release it for manufacture — the system will not offer it.</w:t>
      </w:r>
    </w:p>
    <w:p>
      <w:pPr>
        <w:numPr>
          <w:ilvl w:val="0"/>
          <w:numId w:val="1005"/>
        </w:numPr>
        <w:pStyle w:val="Compact"/>
      </w:pPr>
      <w:r>
        <w:t xml:space="preserve">Run the test harness and watch 27 checks report</w:t>
      </w:r>
      <w:r>
        <w:t xml:space="preserve"> </w:t>
      </w:r>
      <w:r>
        <w:rPr>
          <w:bCs/>
          <w:b/>
        </w:rPr>
        <w:t xml:space="preserve">25 pass, 2 expected warnings, 0 failures</w:t>
      </w:r>
      <w:r>
        <w:t xml:space="preserve"> </w:t>
      </w:r>
      <w:r>
        <w:t xml:space="preserve">— then read what the two warnings say, because they are the honest part.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MSCAST ERP — Overnight Implementation Report</dc:title>
  <dc:creator/>
  <cp:keywords/>
  <dcterms:created xsi:type="dcterms:W3CDTF">2026-09-20T09:52:59Z</dcterms:created>
  <dcterms:modified xsi:type="dcterms:W3CDTF">2026-09-20T09:52:59Z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