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MSCAST</w:t>
      </w:r>
      <w:r>
        <w:t xml:space="preserve"> </w:t>
      </w:r>
      <w:r>
        <w:t xml:space="preserve">ERP</w:t>
      </w:r>
      <w:r>
        <w:t xml:space="preserve"> </w:t>
      </w:r>
      <w:r>
        <w:t xml:space="preserve">—</w:t>
      </w:r>
      <w:r>
        <w:t xml:space="preserve"> </w:t>
      </w:r>
      <w:r>
        <w:t xml:space="preserve">Operating</w:t>
      </w:r>
      <w:r>
        <w:t xml:space="preserve"> </w:t>
      </w:r>
      <w:r>
        <w:t xml:space="preserve">Recommendations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20" w:name="mscast-erp-operating-recommendations"/>
    <w:p>
      <w:pPr>
        <w:pStyle w:val="Heading1"/>
      </w:pPr>
      <w:r>
        <w:t xml:space="preserve">MSCAST ERP — Operating Recommendations</w:t>
      </w:r>
    </w:p>
    <w:p>
      <w:pPr>
        <w:pStyle w:val="FirstParagraph"/>
      </w:pPr>
      <w:r>
        <w:rPr>
          <w:bCs/>
          <w:b/>
        </w:rPr>
        <w:t xml:space="preserve">For:</w:t>
      </w:r>
      <w:r>
        <w:t xml:space="preserve"> </w:t>
      </w:r>
      <w:r>
        <w:t xml:space="preserve">MSCAST Engineering Pvt Ltd ·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2.0 ·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21 September 2026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rules for accurate entries and system administration. Each rule targets an error that produces no warning: the system keeps working and totals still add up.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13"/>
        <w:gridCol w:w="530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Whoever enters transactions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Whoever closes the books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Whoever administers the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Everyone — the short version, for pinning up</w:t>
            </w:r>
          </w:p>
        </w:tc>
      </w:tr>
    </w:tbl>
    <w:p>
      <w:pPr>
        <w:pStyle w:val="BodyText"/>
      </w:pPr>
      <w:r>
        <w:t xml:space="preserve">Procedures (how staff do the work): doc 06 (</w:t>
      </w:r>
      <w:r>
        <w:rPr>
          <w:iCs/>
          <w:i/>
        </w:rPr>
        <w:t xml:space="preserve">SOPs and Use Cases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0"/>
    <w:bookmarkStart w:id="29" w:name="part-a-entering-transactions"/>
    <w:p>
      <w:pPr>
        <w:pStyle w:val="Heading1"/>
      </w:pPr>
      <w:r>
        <w:t xml:space="preserve">Part A — Entering transactions</w:t>
      </w:r>
    </w:p>
    <w:bookmarkStart w:id="21" w:name="X55ad9dc85ac9ddb95046aeee6201fc048565d1b"/>
    <w:p>
      <w:pPr>
        <w:pStyle w:val="Heading2"/>
      </w:pPr>
      <w:r>
        <w:t xml:space="preserve">A1. Opening balances go to the opening account, never to an adjustment account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Rule:</w:t>
      </w:r>
      <w:r>
        <w:t xml:space="preserve"> </w:t>
      </w:r>
      <w:r>
        <w:t xml:space="preserve">when bringing in opening balances (stock, assets, anything carried over from Tally), set the difference account to</w:t>
      </w:r>
      <w:r>
        <w:t xml:space="preserve"> </w:t>
      </w:r>
      <w:r>
        <w:rPr>
          <w:rStyle w:val="VerbatimChar"/>
          <w:bCs/>
          <w:b/>
        </w:rPr>
        <w:t xml:space="preserve">1910 Temporary Opening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t xml:space="preserve">It is an asset account, so the entry stays on the balance sheet; the opening trial balance entry clears 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a Stock Entry posts its counterpart to the difference account, whose default is</w:t>
      </w:r>
      <w:r>
        <w:t xml:space="preserve"> </w:t>
      </w:r>
      <w:r>
        <w:rPr>
          <w:bCs/>
          <w:b/>
        </w:rPr>
        <w:t xml:space="preserve">Stock Adjustment</w:t>
      </w:r>
      <w:r>
        <w:t xml:space="preserve"> </w:t>
      </w:r>
      <w:r>
        <w:t xml:space="preserve">— an</w:t>
      </w:r>
      <w:r>
        <w:t xml:space="preserve"> </w:t>
      </w:r>
      <w:r>
        <w:rPr>
          <w:bCs/>
          <w:b/>
        </w:rPr>
        <w:t xml:space="preserve">expense</w:t>
      </w:r>
      <w:r>
        <w:t xml:space="preserve"> </w:t>
      </w:r>
      <w:r>
        <w:t xml:space="preserve">account.</w:t>
      </w:r>
    </w:p>
    <w:p>
      <w:pPr>
        <w:numPr>
          <w:ilvl w:val="1"/>
          <w:numId w:val="1003"/>
        </w:numPr>
        <w:pStyle w:val="Compact"/>
      </w:pPr>
      <w:r>
        <w:t xml:space="preserve">A credit there reads as reduced costs: profit is overstated, the tax provision is computed on it, and every profit ratio is wrong.</w:t>
      </w:r>
    </w:p>
    <w:p>
      <w:pPr>
        <w:numPr>
          <w:ilvl w:val="1"/>
          <w:numId w:val="1003"/>
        </w:numPr>
        <w:pStyle w:val="Compact"/>
      </w:pPr>
      <w:r>
        <w:t xml:space="preserve">The balance sheet still balances and nothing is flagged.</w:t>
      </w:r>
    </w:p>
    <w:p>
      <w:pPr>
        <w:numPr>
          <w:ilvl w:val="1"/>
          <w:numId w:val="1003"/>
        </w:numPr>
        <w:pStyle w:val="Compact"/>
      </w:pPr>
      <w:r>
        <w:t xml:space="preserve">Example (POC data): two opening-stock entries credited</w:t>
      </w:r>
      <w:r>
        <w:t xml:space="preserve"> </w:t>
      </w:r>
      <w:r>
        <w:rPr>
          <w:bCs/>
          <w:b/>
        </w:rPr>
        <w:t xml:space="preserve">₹24,74,400</w:t>
      </w:r>
      <w:r>
        <w:t xml:space="preserve"> </w:t>
      </w:r>
      <w:r>
        <w:t xml:space="preserve">to Stock Adjustment.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How to spot it:</w:t>
      </w:r>
      <w:r>
        <w:t xml:space="preserve"> </w:t>
      </w:r>
      <w:r>
        <w:t xml:space="preserve">in the Statement of Profit and Loss, look for any line that is</w:t>
      </w:r>
      <w:r>
        <w:t xml:space="preserve"> </w:t>
      </w:r>
      <w:r>
        <w:rPr>
          <w:iCs/>
          <w:i/>
        </w:rPr>
        <w:t xml:space="preserve">negative when it should be positive</w:t>
      </w:r>
      <w:r>
        <w:t xml:space="preserve">. A negative expense is almost always a wrong posting.</w:t>
      </w:r>
    </w:p>
    <w:bookmarkEnd w:id="21"/>
    <w:bookmarkStart w:id="22" w:name="X8b74c72ca44a2ee19c750e8d9e1b7273c06984d"/>
    <w:p>
      <w:pPr>
        <w:pStyle w:val="Heading2"/>
      </w:pPr>
      <w:r>
        <w:t xml:space="preserve">A2. Retention only where a contract calls for it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Rule:</w:t>
      </w:r>
    </w:p>
    <w:p>
      <w:pPr>
        <w:numPr>
          <w:ilvl w:val="1"/>
          <w:numId w:val="1005"/>
        </w:numPr>
        <w:pStyle w:val="Compact"/>
      </w:pPr>
      <w:r>
        <w:t xml:space="preserve">Reclassify to Retention Receivable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where the sales order carries a retention percentage (</w:t>
      </w:r>
      <w:r>
        <w:rPr>
          <w:rStyle w:val="VerbatimChar"/>
        </w:rPr>
        <w:t xml:space="preserve">Sales Order.retention_percent</w:t>
      </w:r>
      <w:r>
        <w:t xml:space="preserve">). No retention clause = no retention.</w:t>
      </w:r>
    </w:p>
    <w:p>
      <w:pPr>
        <w:numPr>
          <w:ilvl w:val="1"/>
          <w:numId w:val="1005"/>
        </w:numPr>
        <w:pStyle w:val="Compact"/>
      </w:pPr>
      <w:r>
        <w:t xml:space="preserve">Post it</w:t>
      </w:r>
      <w:r>
        <w:t xml:space="preserve"> </w:t>
      </w:r>
      <w:r>
        <w:rPr>
          <w:bCs/>
          <w:b/>
        </w:rPr>
        <w:t xml:space="preserve">against the invoice</w:t>
      </w:r>
      <w:r>
        <w:t xml:space="preserve"> </w:t>
      </w:r>
      <w:r>
        <w:t xml:space="preserve">it relates to, with the customer on both lines.</w:t>
      </w:r>
    </w:p>
    <w:p>
      <w:pPr>
        <w:numPr>
          <w:ilvl w:val="1"/>
          <w:numId w:val="1005"/>
        </w:numPr>
        <w:pStyle w:val="Compact"/>
      </w:pPr>
      <w:r>
        <w:t xml:space="preserve">Retention on a</w:t>
      </w:r>
      <w:r>
        <w:t xml:space="preserve"> </w:t>
      </w:r>
      <w:r>
        <w:rPr>
          <w:bCs/>
          <w:b/>
        </w:rPr>
        <w:t xml:space="preserve">spares sale is unusual</w:t>
      </w:r>
      <w:r>
        <w:t xml:space="preserve"> </w:t>
      </w:r>
      <w:r>
        <w:t xml:space="preserve">— question it before posting.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At month end</w:t>
      </w:r>
      <w:r>
        <w:t xml:space="preserve">, compare the Retention Receivable ledger with the</w:t>
      </w:r>
      <w:r>
        <w:t xml:space="preserve"> </w:t>
      </w:r>
      <w:r>
        <w:rPr>
          <w:iCs/>
          <w:i/>
        </w:rPr>
        <w:t xml:space="preserve">Retention and Certificates</w:t>
      </w:r>
      <w:r>
        <w:t xml:space="preserve"> </w:t>
      </w:r>
      <w:r>
        <w:t xml:space="preserve">report (which calculates entitlement from</w:t>
      </w:r>
      <w:r>
        <w:t xml:space="preserve"> </w:t>
      </w:r>
      <w:r>
        <w:rPr>
          <w:rStyle w:val="VerbatimChar"/>
        </w:rPr>
        <w:t xml:space="preserve">Sales Order.retention_percent</w:t>
      </w:r>
      <w:r>
        <w:t xml:space="preserve">). A customer in one and not the other means one is wrong.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retention is money MSCAST is owed but cannot yet collect. Against the wrong customer, it is chased from the wrong person and released against the wrong certificate. Without a contract behind it, it is not an asset.</w:t>
      </w:r>
    </w:p>
    <w:p>
      <w:pPr>
        <w:numPr>
          <w:ilvl w:val="1"/>
          <w:numId w:val="1006"/>
        </w:numPr>
        <w:pStyle w:val="Compact"/>
      </w:pPr>
      <w:r>
        <w:t xml:space="preserve">Example (POC data): ₹1,81,248 (exactly 10% of the invoice, correct party, correct invoice) was reclassified for a spares customer with no project and no retention clause. Every field was consistent; the entry was still wrong.</w:t>
      </w:r>
    </w:p>
    <w:bookmarkEnd w:id="22"/>
    <w:bookmarkStart w:id="23" w:name="X43105cfaa347b079b7b59ba5d430b50e625e809"/>
    <w:p>
      <w:pPr>
        <w:pStyle w:val="Heading2"/>
      </w:pPr>
      <w:r>
        <w:t xml:space="preserve">A3. Not every document belongs to a project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Rule:</w:t>
      </w:r>
      <w:r>
        <w:t xml:space="preserve"> </w:t>
      </w:r>
      <w:r>
        <w:t xml:space="preserve">a project goes on a document only when the work is</w:t>
      </w:r>
      <w:r>
        <w:t xml:space="preserve"> </w:t>
      </w:r>
      <w:r>
        <w:rPr>
          <w:iCs/>
          <w:i/>
        </w:rPr>
        <w:t xml:space="preserve">for that project</w:t>
      </w:r>
      <w:r>
        <w:t xml:space="preserve">. Spares, utilities, insurance, travel and office costs usually are not.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Do not force a project</w:t>
      </w:r>
      <w:r>
        <w:t xml:space="preserve"> </w:t>
      </w:r>
      <w:r>
        <w:t xml:space="preserve">onto spares sales, non-project purchases or administrative expenses.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a wrong project link corrupts the project MIS, the WIP valuation and the closure report, and is harder to find than a blank field.</w:t>
      </w:r>
    </w:p>
    <w:p>
      <w:pPr>
        <w:numPr>
          <w:ilvl w:val="1"/>
          <w:numId w:val="1008"/>
        </w:numPr>
        <w:pStyle w:val="Compact"/>
      </w:pPr>
      <w:r>
        <w:t xml:space="preserve">Example (POC data): a delivery note for 8 mould tubes sold as spares, with no project and no sales order, is correct as it stands.</w:t>
      </w:r>
    </w:p>
    <w:bookmarkEnd w:id="23"/>
    <w:bookmarkStart w:id="24" w:name="X25f0469e2beb4ecc588b93b3193418e2a06b772"/>
    <w:p>
      <w:pPr>
        <w:pStyle w:val="Heading2"/>
      </w:pPr>
      <w:r>
        <w:t xml:space="preserve">A4. TDS is deducted on the amount excluding GST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Rule:</w:t>
      </w:r>
      <w:r>
        <w:t xml:space="preserve"> </w:t>
      </w:r>
      <w:r>
        <w:t xml:space="preserve">where GST is shown separately on the invoice, TDS is computed on the value</w:t>
      </w:r>
      <w:r>
        <w:t xml:space="preserve"> </w:t>
      </w:r>
      <w:r>
        <w:rPr>
          <w:bCs/>
          <w:b/>
        </w:rPr>
        <w:t xml:space="preserve">excluding GST</w:t>
      </w:r>
      <w:r>
        <w:t xml:space="preserve"> </w:t>
      </w:r>
      <w:r>
        <w:t xml:space="preserve">(CBDT Circular 23/2017). Under s.194C: 2% of the net.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247"/>
        <w:gridCol w:w="4672"/>
      </w:tblGrid>
      <w:tr>
        <w:tc>
          <w:tcPr/>
          <w:p>
            <w:pPr>
              <w:pStyle w:val="Compact"/>
              <w:jc w:val="left"/>
            </w:pPr>
            <w:r>
              <w:t xml:space="preserve">Net (before GST)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₹5,16,000.00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CGST 9% + SGST 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₹92,880.00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₹6,08,880.00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TDS at 2% of the net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₹10,320.00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Payable after TDS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₹5,98,560.00</w:t>
            </w:r>
          </w:p>
        </w:tc>
      </w:tr>
    </w:tbl>
    <w:p>
      <w:pPr>
        <w:numPr>
          <w:ilvl w:val="0"/>
          <w:numId w:val="1010"/>
        </w:numPr>
        <w:pStyle w:val="Compact"/>
      </w:pPr>
      <w:r>
        <w:t xml:space="preserve">Deducting on the</w:t>
      </w:r>
      <w:r>
        <w:t xml:space="preserve"> </w:t>
      </w:r>
      <w:r>
        <w:rPr>
          <w:bCs/>
          <w:b/>
        </w:rPr>
        <w:t xml:space="preserve">gross</w:t>
      </w:r>
      <w:r>
        <w:t xml:space="preserve"> </w:t>
      </w:r>
      <w:r>
        <w:t xml:space="preserve">over-deducts and irritates suppliers.</w:t>
      </w:r>
    </w:p>
    <w:p>
      <w:pPr>
        <w:numPr>
          <w:ilvl w:val="0"/>
          <w:numId w:val="1010"/>
        </w:numPr>
        <w:pStyle w:val="Compact"/>
      </w:pPr>
      <w:r>
        <w:t xml:space="preserve">Checking the rate against the</w:t>
      </w:r>
      <w:r>
        <w:t xml:space="preserve"> </w:t>
      </w:r>
      <w:r>
        <w:rPr>
          <w:bCs/>
          <w:b/>
        </w:rPr>
        <w:t xml:space="preserve">amount payable after TDS</w:t>
      </w:r>
      <w:r>
        <w:t xml:space="preserve"> </w:t>
      </w:r>
      <w:r>
        <w:t xml:space="preserve">makes a correct deduction look wrong; deducting on that figure under-deducts and leaves MSCAST liable for the shortfall.</w:t>
      </w:r>
    </w:p>
    <w:bookmarkEnd w:id="24"/>
    <w:bookmarkStart w:id="25" w:name="a5.-one-naming-series-per-document-type"/>
    <w:p>
      <w:pPr>
        <w:pStyle w:val="Heading2"/>
      </w:pPr>
      <w:r>
        <w:t xml:space="preserve">A5. One naming series per document type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Rule:</w:t>
      </w:r>
      <w:r>
        <w:t xml:space="preserve"> </w:t>
      </w:r>
      <w:r>
        <w:t xml:space="preserve">pick the series once.</w:t>
      </w:r>
      <w:r>
        <w:t xml:space="preserve"> </w:t>
      </w:r>
      <w:r>
        <w:rPr>
          <w:bCs/>
          <w:b/>
        </w:rPr>
        <w:t xml:space="preserve">Never accept ERPNext’s default when creating a document by hand.</w:t>
      </w:r>
    </w:p>
    <w:p>
      <w:pPr>
        <w:numPr>
          <w:ilvl w:val="1"/>
          <w:numId w:val="1012"/>
        </w:numPr>
        <w:pStyle w:val="Compact"/>
      </w:pPr>
      <w:r>
        <w:t xml:space="preserve">MSCAST sales invoices:</w:t>
      </w:r>
      <w:r>
        <w:t xml:space="preserve"> </w:t>
      </w:r>
      <w:r>
        <w:rPr>
          <w:rStyle w:val="VerbatimChar"/>
        </w:rPr>
        <w:t xml:space="preserve">SINV-26-</w:t>
      </w:r>
      <w:r>
        <w:t xml:space="preserve">. ERPNext’s default:</w:t>
      </w:r>
      <w:r>
        <w:t xml:space="preserve"> </w:t>
      </w:r>
      <w:r>
        <w:rPr>
          <w:rStyle w:val="VerbatimChar"/>
        </w:rPr>
        <w:t xml:space="preserve">ACC-SINV-2026-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two series in one company means reports filtering or sorting by number miss records, and the auditor’s question</w:t>
      </w:r>
      <w:r>
        <w:t xml:space="preserve"> </w:t>
      </w:r>
      <w:r>
        <w:t xml:space="preserve">“</w:t>
      </w:r>
      <w:r>
        <w:t xml:space="preserve">is this the complete set of invoices for the year?</w:t>
      </w:r>
      <w:r>
        <w:t xml:space="preserve">”</w:t>
      </w:r>
      <w:r>
        <w:t xml:space="preserve"> </w:t>
      </w:r>
      <w:r>
        <w:t xml:space="preserve">cannot be answered from the numbering.</w:t>
      </w:r>
    </w:p>
    <w:bookmarkEnd w:id="25"/>
    <w:bookmarkStart w:id="26" w:name="X7fe206fbe723c7ac5e55166f43afeb6559c0a28"/>
    <w:p>
      <w:pPr>
        <w:pStyle w:val="Heading2"/>
      </w:pPr>
      <w:r>
        <w:t xml:space="preserve">A6. Master data is created by the function that owns it, before the first transaction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Suppliers:</w:t>
      </w:r>
      <w:r>
        <w:t xml:space="preserve"> </w:t>
      </w:r>
      <w:r>
        <w:t xml:space="preserve">GSTIN and, where applicable,</w:t>
      </w:r>
      <w:r>
        <w:t xml:space="preserve"> </w:t>
      </w:r>
      <w:r>
        <w:rPr>
          <w:bCs/>
          <w:b/>
        </w:rPr>
        <w:t xml:space="preserve">Udyam number with MSME class</w:t>
      </w:r>
      <w:r>
        <w:t xml:space="preserve">, at creation, in writing from the supplier. Without it the 45-day clock cannot run, and a bill past day 45 is a disallowed expense under s.43B(h).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Items:</w:t>
      </w:r>
      <w:r>
        <w:t xml:space="preserve"> </w:t>
      </w:r>
      <w:r>
        <w:rPr>
          <w:bCs/>
          <w:b/>
        </w:rPr>
        <w:t xml:space="preserve">HSN/SAC code</w:t>
      </w:r>
      <w:r>
        <w:t xml:space="preserve"> </w:t>
      </w:r>
      <w:r>
        <w:t xml:space="preserve">at creation. Without it no GST invoice can be submitted.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Customers:</w:t>
      </w:r>
      <w:r>
        <w:t xml:space="preserve"> </w:t>
      </w:r>
      <w:r>
        <w:t xml:space="preserve">GSTIN and correct state before the first quotation.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Search before creating.</w:t>
      </w:r>
      <w:r>
        <w:t xml:space="preserve"> </w:t>
      </w:r>
      <w:r>
        <w:t xml:space="preserve">“</w:t>
      </w:r>
      <w:r>
        <w:t xml:space="preserve">Suvarna Copper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Suvarna Copper Moulds Pvt Ltd</w:t>
      </w:r>
      <w:r>
        <w:t xml:space="preserve">”</w:t>
      </w:r>
      <w:r>
        <w:t xml:space="preserve"> </w:t>
      </w:r>
      <w:r>
        <w:t xml:space="preserve">as two suppliers = two ledgers, two ageing lines, and a wrong MSME position on both.</w:t>
      </w:r>
    </w:p>
    <w:bookmarkEnd w:id="26"/>
    <w:bookmarkStart w:id="27" w:name="Xa4fabc4675998e6648a1b96f358e3b627ee95ab"/>
    <w:p>
      <w:pPr>
        <w:pStyle w:val="Heading2"/>
      </w:pPr>
      <w:r>
        <w:t xml:space="preserve">A7. Enter transactions the day they happen</w:t>
      </w:r>
    </w:p>
    <w:p>
      <w:pPr>
        <w:numPr>
          <w:ilvl w:val="0"/>
          <w:numId w:val="1014"/>
        </w:numPr>
        <w:pStyle w:val="Compact"/>
      </w:pPr>
      <w:r>
        <w:t xml:space="preserve">Every control compares documents against each other; a bill entered 3 weeks late is outside every control for those 3 weeks.</w:t>
      </w:r>
    </w:p>
    <w:p>
      <w:pPr>
        <w:numPr>
          <w:ilvl w:val="0"/>
          <w:numId w:val="1014"/>
        </w:numPr>
        <w:pStyle w:val="Compact"/>
      </w:pPr>
      <w:r>
        <w:t xml:space="preserve">A system updated daily shows the business as it is; one updated at month end shows what somebody remembered.</w:t>
      </w:r>
    </w:p>
    <w:bookmarkEnd w:id="27"/>
    <w:bookmarkStart w:id="28" w:name="X39ad9d4e5a1a6dbeaba0d888e0b2e8417f3f77b"/>
    <w:p>
      <w:pPr>
        <w:pStyle w:val="Heading2"/>
      </w:pPr>
      <w:r>
        <w:t xml:space="preserve">A8. The BRM exemption is for bills that cannot be certified — nothing else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 control:</w:t>
      </w:r>
      <w:r>
        <w:t xml:space="preserve"> </w:t>
      </w:r>
      <w:r>
        <w:t xml:space="preserve">no supplier is paid without a</w:t>
      </w:r>
      <w:r>
        <w:t xml:space="preserve"> </w:t>
      </w:r>
      <w:r>
        <w:rPr>
          <w:bCs/>
          <w:b/>
        </w:rPr>
        <w:t xml:space="preserve">certified BRM</w:t>
      </w:r>
      <w:r>
        <w:t xml:space="preserve">. Refused in software on every route — Payment Entry, Journal Entry, and an advance with no invoice behind it — for everyone, directors included.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 exemption:</w:t>
      </w:r>
      <w:r>
        <w:t xml:space="preserve"> </w:t>
      </w:r>
      <w:r>
        <w:t xml:space="preserve">tick</w:t>
      </w:r>
      <w:r>
        <w:t xml:space="preserve"> </w:t>
      </w:r>
      <w:r>
        <w:rPr>
          <w:bCs/>
          <w:b/>
        </w:rPr>
        <w:t xml:space="preserve">Exempt from BRM certification</w:t>
      </w:r>
      <w:r>
        <w:t xml:space="preserve"> </w:t>
      </w:r>
      <w:r>
        <w:t xml:space="preserve">on the supplier record only for suppliers whose bills have no purchase order, inspection or delivery to certify:</w:t>
      </w:r>
      <w:r>
        <w:t xml:space="preserve"> </w:t>
      </w:r>
      <w:r>
        <w:rPr>
          <w:bCs/>
          <w:b/>
        </w:rPr>
        <w:t xml:space="preserve">electricity, water, rent, telephone, statutory payments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How to use it:</w:t>
      </w:r>
    </w:p>
    <w:p>
      <w:pPr>
        <w:numPr>
          <w:ilvl w:val="1"/>
          <w:numId w:val="1016"/>
        </w:numPr>
        <w:pStyle w:val="Compact"/>
      </w:pPr>
      <w:r>
        <w:t xml:space="preserve">Tick it when the supplier is created, never to release a stuck payment.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It applies to the supplier, not the bill:</w:t>
      </w:r>
      <w:r>
        <w:t xml:space="preserve"> </w:t>
      </w:r>
      <w:r>
        <w:t xml:space="preserve">once ticked,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bill from that supplier is payable without a certificate. Never tick a supplier who also sells goods or services against a purchase order.</w:t>
      </w:r>
    </w:p>
    <w:p>
      <w:pPr>
        <w:numPr>
          <w:ilvl w:val="1"/>
          <w:numId w:val="1016"/>
        </w:numPr>
        <w:pStyle w:val="Compact"/>
      </w:pPr>
      <w:r>
        <w:t xml:space="preserve">A utility supplier who later supplies materials must be</w:t>
      </w:r>
      <w:r>
        <w:t xml:space="preserve"> </w:t>
      </w:r>
      <w:r>
        <w:rPr>
          <w:bCs/>
          <w:b/>
        </w:rPr>
        <w:t xml:space="preserve">unticked</w:t>
      </w:r>
      <w:r>
        <w:t xml:space="preserve">, or split into two supplier records.</w:t>
      </w:r>
    </w:p>
    <w:p>
      <w:pPr>
        <w:numPr>
          <w:ilvl w:val="1"/>
          <w:numId w:val="1016"/>
        </w:numPr>
        <w:pStyle w:val="Compact"/>
      </w:pPr>
      <w:r>
        <w:t xml:space="preserve">Report the count of exempt suppliers in the monthly review (B2). It should be small and change rarely. At POC handover:</w:t>
      </w:r>
      <w:r>
        <w:t xml:space="preserve"> </w:t>
      </w:r>
      <w:r>
        <w:rPr>
          <w:bCs/>
          <w:b/>
        </w:rPr>
        <w:t xml:space="preserve">0 of 15</w:t>
      </w:r>
      <w:r>
        <w:t xml:space="preserve"> </w:t>
      </w:r>
      <w:r>
        <w:t xml:space="preserve">suppliers ticked. MSCAST is to supply the list of BRM-exempt suppliers (open item).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 refused payment is the control working.</w:t>
      </w:r>
      <w:r>
        <w:t xml:space="preserve"> </w:t>
      </w:r>
      <w:r>
        <w:t xml:space="preserve">Raise and certify the BRM; do not exempt the supplier. Procedure: doc 06, SOP-07.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part-b-closing-the-books"/>
    <w:p>
      <w:pPr>
        <w:pStyle w:val="Heading1"/>
      </w:pPr>
      <w:r>
        <w:t xml:space="preserve">Part B — Closing the books</w:t>
      </w:r>
    </w:p>
    <w:bookmarkStart w:id="30" w:name="b1.-the-month-end-sequence-in-order"/>
    <w:p>
      <w:pPr>
        <w:pStyle w:val="Heading2"/>
      </w:pPr>
      <w:r>
        <w:t xml:space="preserve">B1. The month-end sequence, in order</w:t>
      </w:r>
    </w:p>
    <w:p>
      <w:pPr>
        <w:numPr>
          <w:ilvl w:val="0"/>
          <w:numId w:val="1017"/>
        </w:numPr>
        <w:pStyle w:val="Compact"/>
      </w:pPr>
      <w:r>
        <w:t xml:space="preserve">Book every supplier invoice for the month.</w:t>
      </w:r>
    </w:p>
    <w:p>
      <w:pPr>
        <w:numPr>
          <w:ilvl w:val="0"/>
          <w:numId w:val="1017"/>
        </w:numPr>
        <w:pStyle w:val="Compact"/>
      </w:pPr>
      <w:r>
        <w:t xml:space="preserve">Reconcile the bank.</w:t>
      </w:r>
    </w:p>
    <w:p>
      <w:pPr>
        <w:numPr>
          <w:ilvl w:val="0"/>
          <w:numId w:val="1017"/>
        </w:numPr>
        <w:pStyle w:val="Compact"/>
      </w:pPr>
      <w:r>
        <w:t xml:space="preserve">Reconcile GSTR-2B against the purchase register. Resolve mismatches with suppliers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filing.</w:t>
      </w:r>
    </w:p>
    <w:p>
      <w:pPr>
        <w:numPr>
          <w:ilvl w:val="0"/>
          <w:numId w:val="1017"/>
        </w:numPr>
        <w:pStyle w:val="Compact"/>
      </w:pPr>
      <w:r>
        <w:t xml:space="preserve">File GSTR-1 and GSTR-3B. Deposit TDS.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Check the MSME 45-day report.</w:t>
      </w:r>
      <w:r>
        <w:t xml:space="preserve"> </w:t>
      </w:r>
      <w:r>
        <w:t xml:space="preserve">Anything past day 45 is a s.43B(h) disallowance — pay it, or accept the tax cost knowingly.</w:t>
      </w:r>
    </w:p>
    <w:p>
      <w:pPr>
        <w:numPr>
          <w:ilvl w:val="0"/>
          <w:numId w:val="1017"/>
        </w:numPr>
        <w:pStyle w:val="Compact"/>
      </w:pPr>
      <w:r>
        <w:t xml:space="preserve">Update project WIP.</w:t>
      </w:r>
    </w:p>
    <w:p>
      <w:pPr>
        <w:numPr>
          <w:ilvl w:val="0"/>
          <w:numId w:val="1017"/>
        </w:numPr>
        <w:pStyle w:val="Compact"/>
      </w:pPr>
      <w:r>
        <w:t xml:space="preserve">Post provisions: depreciation, gratuity, known liabilities.</w:t>
      </w:r>
    </w:p>
    <w:p>
      <w:pPr>
        <w:numPr>
          <w:ilvl w:val="0"/>
          <w:numId w:val="1017"/>
        </w:numPr>
        <w:pStyle w:val="Compact"/>
      </w:pPr>
      <w:r>
        <w:t xml:space="preserve">Review the Schedule III statements. Confirm the trial balance nets to zero and profit ties to the ledger.</w:t>
      </w:r>
    </w:p>
    <w:p>
      <w:pPr>
        <w:numPr>
          <w:ilvl w:val="0"/>
          <w:numId w:val="1017"/>
        </w:numPr>
        <w:pStyle w:val="Compact"/>
      </w:pPr>
      <w:r>
        <w:t xml:space="preserve">Review the project MIS.</w:t>
      </w:r>
    </w:p>
    <w:bookmarkEnd w:id="30"/>
    <w:bookmarkStart w:id="31" w:name="X7d018d34593a0d9d3bc7e37615abc76399c4cd0"/>
    <w:p>
      <w:pPr>
        <w:pStyle w:val="Heading2"/>
      </w:pPr>
      <w:r>
        <w:t xml:space="preserve">B2. Three numbers to check every month, before anything else</w:t>
      </w:r>
    </w:p>
    <w:p>
      <w:pPr>
        <w:pStyle w:val="FirstParagraph"/>
      </w:pPr>
      <w:r>
        <w:t xml:space="preserve">Each can be wrong while the totals look right.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92"/>
        <w:gridCol w:w="52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Any negative expense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credit in an expense account is nearly always a wrong posting (A1)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Retention Receivable, by 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with the</w:t>
            </w:r>
            <w:r>
              <w:t xml:space="preserve"> </w:t>
            </w:r>
            <w:r>
              <w:rPr>
                <w:iCs/>
                <w:i/>
              </w:rPr>
              <w:t xml:space="preserve">Retention and Certificates</w:t>
            </w:r>
            <w:r>
              <w:t xml:space="preserve"> </w:t>
            </w:r>
            <w:r>
              <w:t xml:space="preserve">report. Different customers in each = one is wrong (A2)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Trade receivables gross, not netted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advances netted against receivables give a meaningless ageing and a negative turnover ratio</w:t>
            </w:r>
          </w:p>
        </w:tc>
      </w:tr>
    </w:tbl>
    <w:p>
      <w:pPr>
        <w:pStyle w:val="BodyText"/>
      </w:pPr>
      <w:r>
        <w:t xml:space="preserve">Also report the count of BRM-exempt suppliers (A8).</w:t>
      </w:r>
    </w:p>
    <w:bookmarkEnd w:id="31"/>
    <w:bookmarkStart w:id="32" w:name="Xf7de779252774e6b0e10cf409811649edff010b"/>
    <w:p>
      <w:pPr>
        <w:pStyle w:val="Heading2"/>
      </w:pPr>
      <w:r>
        <w:t xml:space="preserve">B3. Provisions follow the final profit, not a draft of it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Order:</w:t>
      </w:r>
      <w:r>
        <w:t xml:space="preserve"> </w:t>
      </w:r>
      <w:r>
        <w:t xml:space="preserve">make every correction → then provide for tax → then produce the statements.</w:t>
      </w:r>
    </w:p>
    <w:p>
      <w:pPr>
        <w:numPr>
          <w:ilvl w:val="0"/>
          <w:numId w:val="1018"/>
        </w:numPr>
        <w:pStyle w:val="Compact"/>
      </w:pPr>
      <w:r>
        <w:t xml:space="preserve">Any change to profit (reclassification, correction, payroll change) means the</w:t>
      </w:r>
      <w:r>
        <w:t xml:space="preserve"> </w:t>
      </w:r>
      <w:r>
        <w:rPr>
          <w:bCs/>
          <w:b/>
        </w:rPr>
        <w:t xml:space="preserve">tax provision is recomputed afterwards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Example (POC data): after the opening-stock correction (A1) the provision was recomputed: ₹15,32,737 at 25.168% on profit before tax of ₹60,90,022.</w:t>
      </w:r>
    </w:p>
    <w:bookmarkEnd w:id="32"/>
    <w:bookmarkStart w:id="33" w:name="X837d9f619c0b128d3daf2b4b67626d5ad54f17a"/>
    <w:p>
      <w:pPr>
        <w:pStyle w:val="Heading2"/>
      </w:pPr>
      <w:r>
        <w:t xml:space="preserve">B4. Statutory applicability is a question of fact, not of headcount alone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96"/>
        <w:gridCol w:w="2613"/>
        <w:gridCol w:w="3009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Gratuity</w:t>
            </w:r>
            <w:r>
              <w:t xml:space="preserve"> </w:t>
            </w:r>
            <w:r>
              <w:t xml:space="preserve">(Payment of Gratuity Act, s.1(3))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10+ 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Once applicable, continues under s.1(3A)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ESI</w:t>
            </w:r>
            <w:r>
              <w:t xml:space="preserve"> </w:t>
            </w:r>
            <w:r>
              <w:t xml:space="preserve">(ESI Act, s.1(5))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10+ in Maharashtra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Employees earning up to ₹21,000/month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EPF</w:t>
            </w:r>
            <w:r>
              <w:t xml:space="preserve"> </w:t>
            </w:r>
            <w:r>
              <w:t xml:space="preserve">(EPF &amp; MP Act, s.1(3))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20+ 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below</w:t>
            </w:r>
          </w:p>
        </w:tc>
      </w:tr>
    </w:tbl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Current position:</w:t>
      </w:r>
      <w:r>
        <w:t xml:space="preserve"> </w:t>
      </w:r>
      <w:r>
        <w:t xml:space="preserve">MSCAST has under 20 employees and no employee has a UAN, so PF has been removed from payroll at MSCAST’s instruction.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The EPF exception:</w:t>
      </w:r>
      <w:r>
        <w:t xml:space="preserve"> </w:t>
      </w:r>
      <w:r>
        <w:t xml:space="preserve">under s.1(5), an establishment once covered</w:t>
      </w:r>
      <w:r>
        <w:t xml:space="preserve"> </w:t>
      </w:r>
      <w:r>
        <w:rPr>
          <w:bCs/>
          <w:b/>
        </w:rPr>
        <w:t xml:space="preserve">stays covered</w:t>
      </w:r>
      <w:r>
        <w:t xml:space="preserve"> </w:t>
      </w:r>
      <w:r>
        <w:t xml:space="preserve">even if headcount falls below 20. If MSCAST has ever held an EPF establishment code, stopping PF is non-compliance; s.14B damages and s.7Q interest follow.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Action:</w:t>
      </w:r>
      <w:r>
        <w:t xml:space="preserve"> </w:t>
      </w:r>
      <w:r>
        <w:t xml:space="preserve">the CA confirms there is no continuing EPF coverage under s.1(5) (open question B6)</w:t>
      </w:r>
      <w:r>
        <w:t xml:space="preserve"> </w:t>
      </w:r>
      <w:r>
        <w:rPr>
          <w:bCs/>
          <w:b/>
        </w:rPr>
        <w:t xml:space="preserve">before the first real payroll run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The system refuses to remove PF if any employee record carries a UAN (the visible sign of registration).</w:t>
      </w:r>
    </w:p>
    <w:bookmarkEnd w:id="33"/>
    <w:bookmarkStart w:id="34" w:name="Xe3c9a0dad493089fef82b66c3ac7607488ba66b"/>
    <w:p>
      <w:pPr>
        <w:pStyle w:val="Heading2"/>
      </w:pPr>
      <w:r>
        <w:t xml:space="preserve">B5. Assumptions are written where the reader meets them</w:t>
      </w:r>
    </w:p>
    <w:p>
      <w:pPr>
        <w:numPr>
          <w:ilvl w:val="0"/>
          <w:numId w:val="1020"/>
        </w:numPr>
        <w:pStyle w:val="Compact"/>
      </w:pPr>
      <w:r>
        <w:t xml:space="preserve">Six accounting positions rest on assumptions MSCAST and the CA have not yet confirmed:</w:t>
      </w:r>
    </w:p>
    <w:p>
      <w:pPr>
        <w:numPr>
          <w:ilvl w:val="1"/>
          <w:numId w:val="1021"/>
        </w:numPr>
        <w:pStyle w:val="Compact"/>
      </w:pPr>
      <w:r>
        <w:t xml:space="preserve">Schedule III presentation</w:t>
      </w:r>
    </w:p>
    <w:p>
      <w:pPr>
        <w:numPr>
          <w:ilvl w:val="1"/>
          <w:numId w:val="1021"/>
        </w:numPr>
        <w:pStyle w:val="Compact"/>
      </w:pPr>
      <w:r>
        <w:t xml:space="preserve">AS/SMC basis</w:t>
      </w:r>
    </w:p>
    <w:p>
      <w:pPr>
        <w:numPr>
          <w:ilvl w:val="1"/>
          <w:numId w:val="1021"/>
        </w:numPr>
        <w:pStyle w:val="Compact"/>
      </w:pPr>
      <w:r>
        <w:t xml:space="preserve">s.115BAA tax election</w:t>
      </w:r>
    </w:p>
    <w:p>
      <w:pPr>
        <w:numPr>
          <w:ilvl w:val="1"/>
          <w:numId w:val="1021"/>
        </w:numPr>
        <w:pStyle w:val="Compact"/>
      </w:pPr>
      <w:r>
        <w:t xml:space="preserve">WIP valuation method</w:t>
      </w:r>
    </w:p>
    <w:p>
      <w:pPr>
        <w:numPr>
          <w:ilvl w:val="1"/>
          <w:numId w:val="1021"/>
        </w:numPr>
        <w:pStyle w:val="Compact"/>
      </w:pPr>
      <w:r>
        <w:t xml:space="preserve">what</w:t>
      </w:r>
      <w:r>
        <w:t xml:space="preserve"> </w:t>
      </w:r>
      <w:r>
        <w:t xml:space="preserve">“</w:t>
      </w:r>
      <w:r>
        <w:t xml:space="preserve">finance scaling</w:t>
      </w:r>
      <w:r>
        <w:t xml:space="preserve">”</w:t>
      </w:r>
      <w:r>
        <w:t xml:space="preserve"> </w:t>
      </w:r>
      <w:r>
        <w:t xml:space="preserve">means</w:t>
      </w:r>
    </w:p>
    <w:p>
      <w:pPr>
        <w:numPr>
          <w:ilvl w:val="1"/>
          <w:numId w:val="1021"/>
        </w:numPr>
        <w:pStyle w:val="Compact"/>
      </w:pPr>
      <w:r>
        <w:t xml:space="preserve">biometric device pattern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Rule:</w:t>
      </w:r>
      <w:r>
        <w:t xml:space="preserve"> </w:t>
      </w:r>
      <w:r>
        <w:t xml:space="preserve">each is written into the narration of the voucher it affects.</w:t>
      </w:r>
      <w:r>
        <w:t xml:space="preserve"> </w:t>
      </w:r>
      <w:r>
        <w:rPr>
          <w:bCs/>
          <w:b/>
        </w:rPr>
        <w:t xml:space="preserve">Keep doing that</w:t>
      </w:r>
      <w:r>
        <w:t xml:space="preserve"> </w:t>
      </w:r>
      <w:r>
        <w:t xml:space="preserve">— the auditor reads voucher narrations, not policy notes.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part-c-administering-the-system"/>
    <w:p>
      <w:pPr>
        <w:pStyle w:val="Heading1"/>
      </w:pPr>
      <w:r>
        <w:t xml:space="preserve">Part C — Administering the system</w:t>
      </w:r>
    </w:p>
    <w:bookmarkStart w:id="36" w:name="Xf6e90dbd972d48f230f566a1ef5a9649c63540d"/>
    <w:p>
      <w:pPr>
        <w:pStyle w:val="Heading2"/>
      </w:pPr>
      <w:r>
        <w:t xml:space="preserve">C1. Business rules live in the package, not in the screens</w:t>
      </w:r>
    </w:p>
    <w:p>
      <w:pPr>
        <w:numPr>
          <w:ilvl w:val="0"/>
          <w:numId w:val="1022"/>
        </w:numPr>
        <w:pStyle w:val="Compact"/>
      </w:pPr>
      <w:r>
        <w:t xml:space="preserve">A workflow, approval role, notification or print format changed</w:t>
      </w:r>
      <w:r>
        <w:t xml:space="preserve"> </w:t>
      </w:r>
      <w:r>
        <w:rPr>
          <w:bCs/>
          <w:b/>
        </w:rPr>
        <w:t xml:space="preserve">in the ERPNext screens is temporary</w:t>
      </w:r>
      <w:r>
        <w:t xml:space="preserve">: every install and upgrade re-imports the package configuration and overwrites the database.</w:t>
      </w:r>
    </w:p>
    <w:p>
      <w:pPr>
        <w:numPr>
          <w:ilvl w:val="0"/>
          <w:numId w:val="1022"/>
        </w:numPr>
        <w:pStyle w:val="Compact"/>
      </w:pPr>
      <w:r>
        <w:t xml:space="preserve">Installing from an out-of-date copy silently reverts approval rules (for example, cost-sheet approval moves to a system role and bill certification back to the Purchase Manager); everything keeps working and ordinary checks pass.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Rule:</w:t>
      </w:r>
      <w:r>
        <w:t xml:space="preserve"> </w:t>
      </w:r>
      <w:r>
        <w:t xml:space="preserve">an approval changes in the repository (github.com/cb1-tech/mscast, app</w:t>
      </w:r>
      <w:r>
        <w:t xml:space="preserve"> </w:t>
      </w:r>
      <w:r>
        <w:rPr>
          <w:rStyle w:val="VerbatimChar"/>
        </w:rPr>
        <w:t xml:space="preserve">mscast_erp</w:t>
      </w:r>
      <w:r>
        <w:t xml:space="preserve">) and is deployed.</w:t>
      </w:r>
    </w:p>
    <w:p>
      <w:pPr>
        <w:numPr>
          <w:ilvl w:val="0"/>
          <w:numId w:val="1022"/>
        </w:numPr>
        <w:pStyle w:val="Compact"/>
      </w:pPr>
      <w:r>
        <w:t xml:space="preserve">After every install and upgrade, the system verifies 6 control transitions and repairs any that differ, with a banner.</w:t>
      </w:r>
      <w:r>
        <w:t xml:space="preserve"> </w:t>
      </w:r>
      <w:r>
        <w:rPr>
          <w:bCs/>
          <w:b/>
        </w:rPr>
        <w:t xml:space="preserve">A repair banner is not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handled</w:t>
      </w:r>
      <w:r>
        <w:rPr>
          <w:bCs/>
          <w:b/>
        </w:rPr>
        <w:t xml:space="preserve">”</w:t>
      </w:r>
      <w:r>
        <w:t xml:space="preserve">: it means the deployed package and what MSCAST agreed differ — reconcile them.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The package carries only MSCAST’s configuration.</w:t>
      </w:r>
      <w:r>
        <w:t xml:space="preserve"> </w:t>
      </w:r>
      <w:r>
        <w:t xml:space="preserve">It re-applies what it carries on every upgrade, so another application’s configuration in it would undo that application’s next release. MSCAST customisations are marked with module</w:t>
      </w:r>
      <w:r>
        <w:t xml:space="preserve"> </w:t>
      </w:r>
      <w:r>
        <w:rPr>
          <w:iCs/>
          <w:i/>
        </w:rPr>
        <w:t xml:space="preserve">MSCAST</w:t>
      </w:r>
      <w:r>
        <w:t xml:space="preserve">; everything else is left to the application that owns it.</w:t>
      </w:r>
    </w:p>
    <w:p>
      <w:pPr>
        <w:numPr>
          <w:ilvl w:val="0"/>
          <w:numId w:val="1022"/>
        </w:numPr>
        <w:pStyle w:val="Compact"/>
      </w:pPr>
      <w:r>
        <w:t xml:space="preserve">Deploy procedure: doc 05, Step 12, and doc 08.</w:t>
      </w:r>
    </w:p>
    <w:bookmarkEnd w:id="36"/>
    <w:bookmarkStart w:id="37" w:name="c2.-roles-are-a-control-and-they-drift"/>
    <w:p>
      <w:pPr>
        <w:pStyle w:val="Heading2"/>
      </w:pPr>
      <w:r>
        <w:t xml:space="preserve">C2. Roles are a control, and they drift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Nobody who does day-to-day work holds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System Manager</w:t>
      </w:r>
      <w:r>
        <w:t xml:space="preserve"> </w:t>
      </w:r>
      <w:r>
        <w:t xml:space="preserve">— it bypasses every control in the system.</w:t>
      </w:r>
    </w:p>
    <w:p>
      <w:pPr>
        <w:numPr>
          <w:ilvl w:val="0"/>
          <w:numId w:val="1023"/>
        </w:numPr>
        <w:pStyle w:val="Compact"/>
      </w:pPr>
      <w:r>
        <w:t xml:space="preserve">A fresh install recreates the over-privileged setup-wizard administrator (41 roles in the POC) every time. Cutting it back to</w:t>
      </w:r>
      <w:r>
        <w:t xml:space="preserve"> </w:t>
      </w:r>
      <w:r>
        <w:rPr>
          <w:rStyle w:val="VerbatimChar"/>
        </w:rPr>
        <w:t xml:space="preserve">System Manager</w:t>
      </w:r>
      <w:r>
        <w:t xml:space="preserve"> </w:t>
      </w:r>
      <w:r>
        <w:t xml:space="preserve">only is a deployment step, not a one-off.</w:t>
      </w:r>
    </w:p>
    <w:p>
      <w:pPr>
        <w:numPr>
          <w:ilvl w:val="0"/>
          <w:numId w:val="1023"/>
        </w:numPr>
        <w:pStyle w:val="Compact"/>
      </w:pPr>
      <w:r>
        <w:t xml:space="preserve">Review the role list</w:t>
      </w:r>
      <w:r>
        <w:t xml:space="preserve"> </w:t>
      </w:r>
      <w:r>
        <w:rPr>
          <w:bCs/>
          <w:b/>
        </w:rPr>
        <w:t xml:space="preserve">quarterly</w:t>
      </w:r>
      <w:r>
        <w:t xml:space="preserve">. Roles accumulate; they are never removed by accident.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Change permissions in the package, not the screens.</w:t>
      </w:r>
      <w:r>
        <w:t xml:space="preserve"> </w:t>
      </w:r>
      <w:r>
        <w:t xml:space="preserve">The permission matrix lives in the application and is re-applied on every upgrade.</w:t>
      </w:r>
    </w:p>
    <w:p>
      <w:pPr>
        <w:numPr>
          <w:ilvl w:val="1"/>
          <w:numId w:val="1024"/>
        </w:numPr>
        <w:pStyle w:val="Compact"/>
      </w:pPr>
      <w:r>
        <w:t xml:space="preserve">Adding one custom permission row to a document type replaces all its standard rows, so other roles can lose access (in the POC, the managing director could not open the kick-offs he approves).</w:t>
      </w:r>
    </w:p>
    <w:p>
      <w:pPr>
        <w:numPr>
          <w:ilvl w:val="1"/>
          <w:numId w:val="1024"/>
        </w:numPr>
        <w:pStyle w:val="Compact"/>
      </w:pPr>
      <w:r>
        <w:t xml:space="preserve">After any permission change, log in</w:t>
      </w:r>
      <w:r>
        <w:t xml:space="preserve"> </w:t>
      </w:r>
      <w:r>
        <w:rPr>
          <w:bCs/>
          <w:b/>
        </w:rPr>
        <w:t xml:space="preserve">as the approver</w:t>
      </w:r>
      <w:r>
        <w:t xml:space="preserve"> </w:t>
      </w:r>
      <w:r>
        <w:t xml:space="preserve">and open the document. Build check</w:t>
      </w:r>
      <w:r>
        <w:t xml:space="preserve"> </w:t>
      </w:r>
      <w:r>
        <w:rPr>
          <w:rStyle w:val="VerbatimChar"/>
        </w:rPr>
        <w:t xml:space="preserve">T6k</w:t>
      </w:r>
      <w:r>
        <w:t xml:space="preserve"> </w:t>
      </w:r>
      <w:r>
        <w:t xml:space="preserve">tests this.</w:t>
      </w:r>
    </w:p>
    <w:bookmarkEnd w:id="37"/>
    <w:bookmarkStart w:id="38" w:name="X7e70dfc8d41ffd3ce03c6ed33014fb29f3428c7"/>
    <w:p>
      <w:pPr>
        <w:pStyle w:val="Heading2"/>
      </w:pPr>
      <w:r>
        <w:t xml:space="preserve">C3.</w:t>
      </w:r>
      <w:r>
        <w:t xml:space="preserve"> </w:t>
      </w:r>
      <w:r>
        <w:t xml:space="preserve">“</w:t>
      </w:r>
      <w:r>
        <w:t xml:space="preserve">Configured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runs</w:t>
      </w:r>
      <w:r>
        <w:t xml:space="preserve">”</w:t>
      </w:r>
      <w:r>
        <w:t xml:space="preserve"> </w:t>
      </w:r>
      <w:r>
        <w:t xml:space="preserve">are different claims</w:t>
      </w:r>
    </w:p>
    <w:p>
      <w:pPr>
        <w:numPr>
          <w:ilvl w:val="0"/>
          <w:numId w:val="1025"/>
        </w:numPr>
        <w:pStyle w:val="Compact"/>
      </w:pPr>
      <w:r>
        <w:t xml:space="preserve">A scheduled job can be enabled, correctly configured, work when run by hand — and never run on schedule (for example, if the scheduler cannot load the application).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Check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last_execution</w:t>
      </w:r>
      <w:r>
        <w:rPr>
          <w:bCs/>
          <w:b/>
        </w:rPr>
        <w:t xml:space="preserve"> </w:t>
      </w:r>
      <w:r>
        <w:rPr>
          <w:bCs/>
          <w:b/>
        </w:rPr>
        <w:t xml:space="preserve">on every scheduled job</w:t>
      </w:r>
      <w:r>
        <w:t xml:space="preserve">, not just that the scheduler process is alive. Build check</w:t>
      </w:r>
      <w:r>
        <w:t xml:space="preserve"> </w:t>
      </w:r>
      <w:r>
        <w:rPr>
          <w:rStyle w:val="VerbatimChar"/>
        </w:rPr>
        <w:t xml:space="preserve">T9f</w:t>
      </w:r>
      <w:r>
        <w:t xml:space="preserve"> </w:t>
      </w:r>
      <w:r>
        <w:t xml:space="preserve">tests this.</w:t>
      </w:r>
    </w:p>
    <w:bookmarkEnd w:id="38"/>
    <w:bookmarkStart w:id="39" w:name="c4.-test-the-backup-not-the-backup-job"/>
    <w:p>
      <w:pPr>
        <w:pStyle w:val="Heading2"/>
      </w:pPr>
      <w:r>
        <w:t xml:space="preserve">C4. Test the backup, not the backup job</w:t>
      </w:r>
    </w:p>
    <w:p>
      <w:pPr>
        <w:numPr>
          <w:ilvl w:val="0"/>
          <w:numId w:val="1026"/>
        </w:numPr>
        <w:pStyle w:val="Compact"/>
      </w:pPr>
      <w:r>
        <w:t xml:space="preserve">Restore a backup before go-live and once a year after.</w:t>
      </w:r>
      <w:r>
        <w:t xml:space="preserve"> </w:t>
      </w:r>
      <w:r>
        <w:rPr>
          <w:bCs/>
          <w:b/>
        </w:rPr>
        <w:t xml:space="preserve">Record how long the restore took</w:t>
      </w:r>
      <w:r>
        <w:t xml:space="preserve"> </w:t>
      </w:r>
      <w:r>
        <w:t xml:space="preserve">— that is the recovery time MSCAST actually has.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The encryption key is not in the database backup.</w:t>
      </w:r>
      <w:r>
        <w:t xml:space="preserve"> </w:t>
      </w:r>
      <w:r>
        <w:t xml:space="preserve">Keep it with the backups, protected like a password;</w:t>
      </w:r>
      <w:r>
        <w:t xml:space="preserve"> </w:t>
      </w:r>
      <w:r>
        <w:rPr>
          <w:rStyle w:val="VerbatimChar"/>
        </w:rPr>
        <w:t xml:space="preserve">restore-key.sh</w:t>
      </w:r>
      <w:r>
        <w:t xml:space="preserve"> </w:t>
      </w:r>
      <w:r>
        <w:t xml:space="preserve">puts it back. Without it the restored system looks healthy but cannot send email.</w:t>
      </w:r>
    </w:p>
    <w:p>
      <w:pPr>
        <w:numPr>
          <w:ilvl w:val="0"/>
          <w:numId w:val="1026"/>
        </w:numPr>
        <w:pStyle w:val="Compact"/>
      </w:pPr>
      <w:r>
        <w:t xml:space="preserve">Also outside the database (not carried by a restore):</w:t>
      </w:r>
      <w:r>
        <w:t xml:space="preserve"> </w:t>
      </w:r>
      <w:r>
        <w:rPr>
          <w:rStyle w:val="VerbatimChar"/>
        </w:rPr>
        <w:t xml:space="preserve">server_script_enabled</w:t>
      </w:r>
      <w:r>
        <w:t xml:space="preserve"> </w:t>
      </w:r>
      <w:r>
        <w:t xml:space="preserve">(bench-wide) and</w:t>
      </w:r>
      <w:r>
        <w:t xml:space="preserve"> </w:t>
      </w:r>
      <w:r>
        <w:rPr>
          <w:rStyle w:val="VerbatimChar"/>
        </w:rPr>
        <w:t xml:space="preserve">host_name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t xml:space="preserve">After any restore, send a test email and confirm it arrives.</w:t>
      </w:r>
    </w:p>
    <w:p>
      <w:pPr>
        <w:numPr>
          <w:ilvl w:val="0"/>
          <w:numId w:val="1026"/>
        </w:numPr>
        <w:pStyle w:val="Compact"/>
      </w:pPr>
      <w:r>
        <w:t xml:space="preserve">Rule 3(5), Companies (Accounts) Rules: the server and its daily backups must both be physically in India.</w:t>
      </w:r>
    </w:p>
    <w:p>
      <w:pPr>
        <w:numPr>
          <w:ilvl w:val="0"/>
          <w:numId w:val="1026"/>
        </w:numPr>
        <w:pStyle w:val="Compact"/>
      </w:pPr>
      <w:r>
        <w:t xml:space="preserve">s.128(5): books and audit trail kept for 8 financial years. Daily backups may rotate at 30 days; monthly backups may not.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part-d-the-short-version"/>
    <w:p>
      <w:pPr>
        <w:pStyle w:val="Heading1"/>
      </w:pPr>
      <w:r>
        <w:t xml:space="preserve">Part D — The short version</w:t>
      </w:r>
    </w:p>
    <w:p>
      <w:pPr>
        <w:pStyle w:val="FirstParagraph"/>
      </w:pPr>
      <w:r>
        <w:t xml:space="preserve">Pin this up.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Opening balances go 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1910 Temporary Opening</w:t>
      </w:r>
      <w:r>
        <w:t xml:space="preserve">, never to Stock Adjustment.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A negative expense line is a wrong posting</w:t>
      </w:r>
      <w:r>
        <w:t xml:space="preserve"> </w:t>
      </w:r>
      <w:r>
        <w:t xml:space="preserve">until proven otherwise.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Retention only where the sales order has a retention clause</w:t>
      </w:r>
      <w:r>
        <w:t xml:space="preserve">, against the invoice, same customer both sides.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Do not force a project</w:t>
      </w:r>
      <w:r>
        <w:t xml:space="preserve"> </w:t>
      </w:r>
      <w:r>
        <w:t xml:space="preserve">onto spares, utilities or admin costs.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TDS is 2% of the net, excluding GST</w:t>
      </w:r>
      <w:r>
        <w:t xml:space="preserve"> </w:t>
      </w:r>
      <w:r>
        <w:t xml:space="preserve">— not the gross, not the amount payable.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One naming series</w:t>
      </w:r>
      <w:r>
        <w:t xml:space="preserve"> </w:t>
      </w:r>
      <w:r>
        <w:t xml:space="preserve">per document type. Never accept the default.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Udyam number at supplier creation. HSN at item creation.</w:t>
      </w:r>
      <w:r>
        <w:t xml:space="preserve"> </w:t>
      </w:r>
      <w:r>
        <w:t xml:space="preserve">Neither can be added usefully later.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No certified BRM, no payment.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BRM-exempt</w:t>
      </w:r>
      <w:r>
        <w:t xml:space="preserve"> </w:t>
      </w:r>
      <w:r>
        <w:t xml:space="preserve">tick is for electricity, rent and statutory bills only — never to clear a stuck payment.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Enter it the day it happens.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Correct first, then provide for tax, then produce the statements.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Never change an approval rule through the screens</w:t>
      </w:r>
      <w:r>
        <w:t xml:space="preserve"> </w:t>
      </w:r>
      <w:r>
        <w:t xml:space="preserve">— it is reverted at the next upgrade.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Nobody operational holds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System Manager</w:t>
      </w:r>
      <w:r>
        <w:rPr>
          <w:bCs/>
          <w:b/>
        </w:rPr>
        <w:t xml:space="preserve">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Read the morning note.</w:t>
      </w:r>
      <w:r>
        <w:t xml:space="preserve"> </w:t>
      </w:r>
      <w:r>
        <w:t xml:space="preserve">An item appearing 6 mornings running is a procedure not being followed, not a document needing fixing.</w:t>
      </w:r>
    </w:p>
    <w:p>
      <w:r>
        <w:pict>
          <v:rect style="width:0;height:1.5pt" o:hralign="center" o:hrstd="t" o:hr="t"/>
        </w:pict>
      </w:r>
    </w:p>
    <w:bookmarkStart w:id="41" w:name="build-checks-behind-these-rules"/>
    <w:p>
      <w:pPr>
        <w:pStyle w:val="Heading2"/>
      </w:pPr>
      <w:r>
        <w:t xml:space="preserve">Build checks behind these rules</w:t>
      </w:r>
    </w:p>
    <w:p>
      <w:pPr>
        <w:pStyle w:val="FirstParagraph"/>
      </w:pPr>
      <w:r>
        <w:t xml:space="preserve">The build checks assert these on every deployment; a failure stops the release. Full check list: the POC README (</w:t>
      </w:r>
      <w:r>
        <w:rPr>
          <w:iCs/>
          <w:i/>
        </w:rPr>
        <w:t xml:space="preserve">POC README</w:t>
      </w:r>
      <w:r>
        <w:t xml:space="preserve">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21"/>
        <w:gridCol w:w="4752"/>
        <w:gridCol w:w="1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T5a</w:t>
            </w:r>
            <w:r>
              <w:t xml:space="preserve">–</w:t>
            </w:r>
            <w:r>
              <w:rPr>
                <w:rStyle w:val="VerbatimChar"/>
              </w:rPr>
              <w:t xml:space="preserve">T5d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Trial balance nets to zero; balance sheet balances; profit ties to the ledger; no entry without a cost centre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T6a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payment without a certified BRM, by anyone, on any of six routes (incl. payment entry, journal entry, advance without a reference, amount above the certificate). A certified bill and a BRM-exempt supplier still 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T6c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payment control is in the application package, not a screen-edited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T6d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approval authority sits where MSCAST put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T6e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T6g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one person can raise and approve, or create and approve, the same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T6f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administrators hold</w:t>
            </w:r>
            <w:r>
              <w:t xml:space="preserve"> </w:t>
            </w:r>
            <w:r>
              <w:rPr>
                <w:rStyle w:val="VerbatimChar"/>
              </w:rPr>
              <w:t xml:space="preserve">System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T6h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Auditor login cannot change anything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T6i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role can raise the documents its role card describes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T6j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guarded workflow state is guarded on every route into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T6k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Whoever can approve a document can open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T7c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invoiced item carries an HSN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GST head matches the place of supply on every invoice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T9f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enabled scheduled job has actually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</w:tr>
    </w:tbl>
    <w:p>
      <w:pPr>
        <w:pStyle w:val="BodyText"/>
      </w:pPr>
      <w:r>
        <w:rPr>
          <w:bCs/>
          <w:b/>
        </w:rPr>
        <w:t xml:space="preserve">Current result:</w:t>
      </w:r>
      <w:r>
        <w:t xml:space="preserve"> </w:t>
      </w:r>
      <w:r>
        <w:t xml:space="preserve">42 checks.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DEV:</w:t>
      </w:r>
      <w:r>
        <w:t xml:space="preserve"> </w:t>
      </w:r>
      <w:r>
        <w:t xml:space="preserve">40 PASS, 2 WARN, 0 FAIL. The warnings (</w:t>
      </w:r>
      <w:r>
        <w:rPr>
          <w:rStyle w:val="VerbatimChar"/>
        </w:rPr>
        <w:t xml:space="preserve">T6e</w:t>
      </w:r>
      <w:r>
        <w:t xml:space="preserve">,</w:t>
      </w:r>
      <w:r>
        <w:t xml:space="preserve"> </w:t>
      </w:r>
      <w:r>
        <w:rPr>
          <w:rStyle w:val="VerbatimChar"/>
        </w:rPr>
        <w:t xml:space="preserve">T6g</w:t>
      </w:r>
      <w:r>
        <w:t xml:space="preserve">) are director self-approval positions awaiting MSCAST’s answers to Q20 and Q21 — not defects.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Live POC:</w:t>
      </w:r>
      <w:r>
        <w:t xml:space="preserve"> </w:t>
      </w:r>
      <w:r>
        <w:t xml:space="preserve">the same, 40 PASS, 2 WARN, 0 FAIL. MSCAST’s own administrators (Aiqaz and Arham Chandankeri) are listed in site config</w:t>
      </w:r>
      <w:r>
        <w:t xml:space="preserve"> </w:t>
      </w:r>
      <w:r>
        <w:rPr>
          <w:rStyle w:val="VerbatimChar"/>
        </w:rPr>
        <w:t xml:space="preserve">mscast_admins</w:t>
      </w:r>
      <w:r>
        <w:t xml:space="preserve">, so</w:t>
      </w:r>
      <w:r>
        <w:t xml:space="preserve"> </w:t>
      </w:r>
      <w:r>
        <w:rPr>
          <w:rStyle w:val="VerbatimChar"/>
        </w:rPr>
        <w:t xml:space="preserve">T6f</w:t>
      </w:r>
      <w:r>
        <w:t xml:space="preserve"> </w:t>
      </w:r>
      <w:r>
        <w:t xml:space="preserve">accepts them and still warns about anyone else.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1F386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1F386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1F386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1F386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MSCAST ERP — Operating Recommendations</dc:title>
  <dc:creator/>
  <cp:keywords/>
  <dcterms:created xsi:type="dcterms:W3CDTF">2026-09-21T13:47:49Z</dcterms:created>
  <dcterms:modified xsi:type="dcterms:W3CDTF">2026-09-21T13:47:49Z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