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056FCE67" w:rsidR="00B86EB3" w:rsidRDefault="0017454F">
      <w:pPr>
        <w:rPr>
          <w:b/>
        </w:rPr>
      </w:pPr>
      <w:r w:rsidRPr="007A4FDA">
        <w:rPr>
          <w:b/>
        </w:rPr>
        <w:t xml:space="preserve">S2 </w:t>
      </w:r>
      <w:r w:rsidR="00002306">
        <w:rPr>
          <w:b/>
        </w:rPr>
        <w:t xml:space="preserve">Additional </w:t>
      </w:r>
      <w:r w:rsidRPr="007A4FDA">
        <w:rPr>
          <w:b/>
        </w:rPr>
        <w:t>Simulation</w:t>
      </w:r>
      <w:r w:rsidR="00002306">
        <w:rPr>
          <w:b/>
        </w:rPr>
        <w:t>s</w:t>
      </w:r>
      <w:r w:rsidR="002900D4">
        <w:rPr>
          <w:b/>
        </w:rPr>
        <w:t xml:space="preserve"> </w:t>
      </w:r>
      <w:r w:rsidR="005E6321">
        <w:rPr>
          <w:b/>
        </w:rPr>
        <w:t>using AIC as a decision rule</w:t>
      </w:r>
    </w:p>
    <w:p w14:paraId="187BDFA0" w14:textId="5994BF32" w:rsidR="008828A7" w:rsidRPr="007A4FDA" w:rsidRDefault="008828A7">
      <w:pPr>
        <w:rPr>
          <w:b/>
        </w:rPr>
      </w:pPr>
      <w:r>
        <w:rPr>
          <w:b/>
        </w:rPr>
        <w:t>Methods</w:t>
      </w:r>
    </w:p>
    <w:p w14:paraId="078A8E62" w14:textId="3D9809EE" w:rsidR="008828A7" w:rsidRDefault="00105D01" w:rsidP="005E6321">
      <w:r>
        <w:t xml:space="preserve">In this appendix, we present </w:t>
      </w:r>
      <w:r w:rsidR="00856094">
        <w:t xml:space="preserve">a detailed examination of the behavior of </w:t>
      </w:r>
      <w:r w:rsidR="000D7E87">
        <w:t xml:space="preserve">the regime shift detector’s (RSD) </w:t>
      </w:r>
      <w:r w:rsidR="00856094">
        <w:t xml:space="preserve"> </w:t>
      </w:r>
      <w:r w:rsidR="005E6321">
        <w:t>behaviour using an alternate information criterion with less conservative behavior- AIC. In our initial calibrations of the RSD model, we found that, generally, AIC was more sensitive at picking up breaks in time series, but also tended to over-fit, likely because model complexity is not penalized as severely by this criterion than the AICc. However, we conducted the same complete simulation and case study analysis as described in the paper using AIC as well, and we present the results herein.</w:t>
      </w:r>
    </w:p>
    <w:p w14:paraId="6C80C469" w14:textId="280A3BC5" w:rsidR="0017454F" w:rsidRPr="005439BE" w:rsidRDefault="005E6321" w:rsidP="0017454F">
      <w:pPr>
        <w:rPr>
          <w:i/>
        </w:rPr>
      </w:pPr>
      <w:r w:rsidRPr="005439BE">
        <w:rPr>
          <w:i/>
        </w:rPr>
        <w:t>Simulation study</w:t>
      </w:r>
    </w:p>
    <w:p w14:paraId="5E6A2319" w14:textId="5408CD8D" w:rsidR="005E6321" w:rsidRDefault="005E6321" w:rsidP="005E6321">
      <w:r>
        <w:t xml:space="preserve">We examined the regime shift detector’s performance for all test scenarios outlined above from two perspectives. First, we evaluated the ability of the model to detect scenario initialization conditions within the </w:t>
      </w:r>
      <w:r w:rsidR="003D374E">
        <w:t xml:space="preserve">set of equivalent break point </w:t>
      </w:r>
      <w:r>
        <w:t xml:space="preserve">combinations (Fig </w:t>
      </w:r>
      <w:r>
        <w:t>S2-</w:t>
      </w:r>
      <w:r>
        <w:t>1). Then, we examined the performance of the singular top-ranked break point combination in greater depth (Fig.</w:t>
      </w:r>
      <w:r>
        <w:t xml:space="preserve"> S2-</w:t>
      </w:r>
      <w:r>
        <w:t xml:space="preserve"> 2). We also examined the performance of the break-point weighting tool from the perspective of its average and ‘worst-case’ weightings of correct and erroneous break points (Figs. </w:t>
      </w:r>
      <w:r>
        <w:t>S2-</w:t>
      </w:r>
      <w:r>
        <w:t xml:space="preserve">3, </w:t>
      </w:r>
      <w:r>
        <w:t>S2-</w:t>
      </w:r>
      <w:r>
        <w:t>4).</w:t>
      </w:r>
    </w:p>
    <w:p w14:paraId="63B1C3DB" w14:textId="30FEA360" w:rsidR="00C94435" w:rsidRDefault="005E6321" w:rsidP="005E6321">
      <w:r>
        <w:t xml:space="preserve">In general, </w:t>
      </w:r>
      <w:r>
        <w:t xml:space="preserve">The AIC-based model sets were dramatically less likely to </w:t>
      </w:r>
      <w:r w:rsidR="00C94435">
        <w:t xml:space="preserve">identify </w:t>
      </w:r>
      <w:r>
        <w:t>initiation conditions within the equivalently performing  break point combination sets</w:t>
      </w:r>
      <w:r w:rsidR="00C94435">
        <w:t xml:space="preserve"> in comparison to the AICc based RSD. The performance associated the most complex parameterizations tested stayed about the same, but the performance associated with all parameterizations was &lt;</w:t>
      </w:r>
      <w:r>
        <w:t xml:space="preserve">70% (Fig. </w:t>
      </w:r>
      <w:r w:rsidR="00C94435">
        <w:t>S2-</w:t>
      </w:r>
      <w:r>
        <w:t xml:space="preserve">1). However, the model’s absolute top-ranked break point combination </w:t>
      </w:r>
      <w:r w:rsidR="00C94435">
        <w:t xml:space="preserve">for AIC performed nearly identically to the patterns we observed in response to our parameterization conditions for AICc </w:t>
      </w:r>
      <w:r w:rsidR="00C94435">
        <w:t xml:space="preserve"> (Fig. S2- 2). </w:t>
      </w:r>
      <w:r w:rsidR="00C94435">
        <w:t>Thus, using AIC and evaluating the top model only is likely to have a similar success rate to using AICc:however, additional insights can be gained from evaluating the equivalent model set using</w:t>
      </w:r>
      <w:r w:rsidR="005D5CAB">
        <w:t xml:space="preserve"> the RSD with</w:t>
      </w:r>
      <w:r w:rsidR="00C94435">
        <w:t xml:space="preserve"> AICc, but not AIC</w:t>
      </w:r>
      <w:r w:rsidR="005D5CAB">
        <w:t xml:space="preserve">. Throughout the analysis, we observed the same general patterns around the RSD’s performance in parameter space- a decreased performance with increasing experimental noise, extreme values of r, small changes in K, large changes in r, and longer time series length </w:t>
      </w:r>
      <w:r w:rsidR="005D5CAB">
        <w:t>(Figs. S2-</w:t>
      </w:r>
      <w:r w:rsidR="005D5CAB">
        <w:t>1</w:t>
      </w:r>
      <w:r w:rsidR="005D5CAB">
        <w:t>, S2-</w:t>
      </w:r>
      <w:r w:rsidR="005D5CAB">
        <w:t>2</w:t>
      </w:r>
      <w:r w:rsidR="005D5CAB">
        <w:t>).</w:t>
      </w:r>
    </w:p>
    <w:p w14:paraId="44263D73" w14:textId="2175B682" w:rsidR="005E6321" w:rsidRDefault="005D5CAB" w:rsidP="005E6321">
      <w:r>
        <w:t>When we conducted the weight analysis to determine the performance of the RSD using AIC on break weights, w</w:t>
      </w:r>
      <w:r w:rsidR="005E6321">
        <w:t>e found tha</w:t>
      </w:r>
      <w:r>
        <w:t>t, like</w:t>
      </w:r>
      <w:r w:rsidR="00611052">
        <w:t xml:space="preserve"> with AICc,</w:t>
      </w:r>
      <w:r w:rsidR="005E6321">
        <w:t xml:space="preserve"> in the vast majority of parameterization cases, the average weight of a ‘true’ break (i.e. one that was intentionally simulated in the data) typically exceeded a value of 0.8</w:t>
      </w:r>
      <w:r>
        <w:t>,</w:t>
      </w:r>
      <w:r w:rsidR="005E6321">
        <w:t xml:space="preserve"> (Fig. </w:t>
      </w:r>
      <w:r>
        <w:t xml:space="preserve">S2- </w:t>
      </w:r>
      <w:r w:rsidR="005E6321">
        <w:t xml:space="preserve">3), </w:t>
      </w:r>
      <w:r>
        <w:t>but unlike the analysis with AICc, erroneous breaks had higher average weights</w:t>
      </w:r>
      <w:r w:rsidR="005E6321">
        <w:t xml:space="preserve">. </w:t>
      </w:r>
      <w:r>
        <w:t>F</w:t>
      </w:r>
      <w:r w:rsidR="005E6321">
        <w:t>rom a ‘worst-case’ perspective: i.e. the minimum weights we observe for ‘true’ break points, and simultaneously, the maximum weights we’d expect to observe for erroneous break points</w:t>
      </w:r>
      <w:r>
        <w:t>, however, w</w:t>
      </w:r>
      <w:r w:rsidR="003D374E">
        <w:t>eights of true and erroneous breaks were less clearly separated</w:t>
      </w:r>
      <w:r w:rsidR="005E6321">
        <w:t xml:space="preserve"> (Fig. </w:t>
      </w:r>
      <w:r>
        <w:t>S2-</w:t>
      </w:r>
      <w:r w:rsidR="005E6321">
        <w:t xml:space="preserve">4). In general, even in these conditions, the lowest weight observed for a ‘true’ break was generally higher than the highest weight observed for an erroneous break, but the </w:t>
      </w:r>
      <w:r w:rsidR="003D374E">
        <w:t>values often overlapped</w:t>
      </w:r>
      <w:r w:rsidR="005E6321">
        <w:t xml:space="preserve"> (Fig. </w:t>
      </w:r>
      <w:r w:rsidR="003D374E">
        <w:t>S2-</w:t>
      </w:r>
      <w:r w:rsidR="005E6321">
        <w:t xml:space="preserve">4). </w:t>
      </w:r>
    </w:p>
    <w:p w14:paraId="7A4741DD" w14:textId="46E48F63" w:rsidR="003D374E" w:rsidRPr="005439BE" w:rsidRDefault="003D374E" w:rsidP="005E6321">
      <w:pPr>
        <w:rPr>
          <w:i/>
        </w:rPr>
      </w:pPr>
      <w:bookmarkStart w:id="0" w:name="_GoBack"/>
      <w:r w:rsidRPr="005439BE">
        <w:rPr>
          <w:i/>
        </w:rPr>
        <w:t>Case study- ladybeetles</w:t>
      </w:r>
    </w:p>
    <w:bookmarkEnd w:id="0"/>
    <w:p w14:paraId="0297E47B" w14:textId="11644419" w:rsidR="003D374E" w:rsidRDefault="00DD3497" w:rsidP="003D374E">
      <w:r>
        <w:t>As with the RSD analysis using AICc, the AIC based analysis found t</w:t>
      </w:r>
      <w:r w:rsidR="003D374E">
        <w:t>wo break points, one occurring after 2000 and one occurring after 2005, in the top</w:t>
      </w:r>
      <w:r w:rsidR="003D374E">
        <w:t xml:space="preserve"> </w:t>
      </w:r>
      <w:r w:rsidR="003D374E">
        <w:t xml:space="preserve">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w:t>
      </w:r>
      <w:r>
        <w:lastRenderedPageBreak/>
        <w:t xml:space="preserve">the context of the AIC analysis, we would thus conclude unambiguous support for the break occurring at 2000 and moderate evidence for the break at 2005.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08F5B9C9" w:rsidR="00541483" w:rsidRDefault="00541483" w:rsidP="00541483">
      <w:r>
        <w:t xml:space="preserve">For the monarch butterflies, using AIC as the information criterion in the RSD resulted in a much more complex result, compared to AICc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 and thus we conclude there is weak evidence for a break at 1998, fairly strong evidence for a break at 2003, and moderate evidence for a break at 2008.</w:t>
      </w:r>
    </w:p>
    <w:p w14:paraId="4E953F5C" w14:textId="4EAC82D0" w:rsidR="00541483" w:rsidRDefault="00541483" w:rsidP="003D374E"/>
    <w:p w14:paraId="4B234FF6" w14:textId="376CE4D3" w:rsidR="00541483" w:rsidRDefault="0040365B" w:rsidP="003D374E">
      <w:r>
        <w:rPr>
          <w:noProof/>
        </w:rPr>
        <w:lastRenderedPageBreak/>
        <w:drawing>
          <wp:inline distT="0" distB="0" distL="0" distR="0" wp14:anchorId="6793497E" wp14:editId="34F6162E">
            <wp:extent cx="5054860" cy="5778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42E12.tmp"/>
                    <pic:cNvPicPr/>
                  </pic:nvPicPr>
                  <pic:blipFill>
                    <a:blip r:embed="rId5">
                      <a:extLst>
                        <a:ext uri="{28A0092B-C50C-407E-A947-70E740481C1C}">
                          <a14:useLocalDpi xmlns:a14="http://schemas.microsoft.com/office/drawing/2010/main" val="0"/>
                        </a:ext>
                      </a:extLst>
                    </a:blip>
                    <a:stretch>
                      <a:fillRect/>
                    </a:stretch>
                  </pic:blipFill>
                  <pic:spPr>
                    <a:xfrm>
                      <a:off x="0" y="0"/>
                      <a:ext cx="5054860" cy="5778797"/>
                    </a:xfrm>
                    <a:prstGeom prst="rect">
                      <a:avLst/>
                    </a:prstGeom>
                  </pic:spPr>
                </pic:pic>
              </a:graphicData>
            </a:graphic>
          </wp:inline>
        </w:drawing>
      </w:r>
    </w:p>
    <w:p w14:paraId="07A82375" w14:textId="5FBDA1F3" w:rsidR="0040365B" w:rsidRDefault="0040365B" w:rsidP="0040365B">
      <w:r>
        <w:t xml:space="preserve">Figure </w:t>
      </w:r>
      <w:r>
        <w:t>S2-</w:t>
      </w:r>
      <w:r>
        <w:t xml:space="preserve">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(Using AIC instead of AICc)</w:t>
      </w:r>
      <w:r w:rsidRPr="006062E6">
        <w:rPr>
          <w:b/>
        </w:rPr>
        <w:t>.</w:t>
      </w:r>
      <w:r>
        <w:t xml:space="preserve"> Proportion of results where initial conditions were detected by the top break point combination (circles) or within the equivalent model set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 </w:t>
      </w:r>
    </w:p>
    <w:p w14:paraId="08FACCCF" w14:textId="6193DA5F" w:rsidR="0040365B" w:rsidRDefault="0040365B" w:rsidP="0040365B">
      <w:r>
        <w:rPr>
          <w:noProof/>
        </w:rPr>
        <w:lastRenderedPageBreak/>
        <w:drawing>
          <wp:inline distT="0" distB="0" distL="0" distR="0" wp14:anchorId="002D50D2" wp14:editId="52078B2F">
            <wp:extent cx="5048509" cy="5778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E2BD.tmp"/>
                    <pic:cNvPicPr/>
                  </pic:nvPicPr>
                  <pic:blipFill>
                    <a:blip r:embed="rId6">
                      <a:extLst>
                        <a:ext uri="{28A0092B-C50C-407E-A947-70E740481C1C}">
                          <a14:useLocalDpi xmlns:a14="http://schemas.microsoft.com/office/drawing/2010/main" val="0"/>
                        </a:ext>
                      </a:extLst>
                    </a:blip>
                    <a:stretch>
                      <a:fillRect/>
                    </a:stretch>
                  </pic:blipFill>
                  <pic:spPr>
                    <a:xfrm>
                      <a:off x="0" y="0"/>
                      <a:ext cx="5048509" cy="5778797"/>
                    </a:xfrm>
                    <a:prstGeom prst="rect">
                      <a:avLst/>
                    </a:prstGeom>
                  </pic:spPr>
                </pic:pic>
              </a:graphicData>
            </a:graphic>
          </wp:inline>
        </w:drawing>
      </w:r>
    </w:p>
    <w:p w14:paraId="58650171" w14:textId="06736AA9" w:rsidR="0040365B" w:rsidRDefault="0040365B" w:rsidP="0040365B">
      <w:r>
        <w:t>Figure S2-2</w:t>
      </w:r>
      <w:r w:rsidRPr="006F7244">
        <w:t>:</w:t>
      </w:r>
      <w:r w:rsidRPr="00A47D1F">
        <w:rPr>
          <w:b/>
        </w:rPr>
        <w:t xml:space="preserve"> </w:t>
      </w:r>
      <w:r w:rsidRPr="006062E6">
        <w:rPr>
          <w:b/>
        </w:rPr>
        <w:t xml:space="preserve">Performance </w:t>
      </w:r>
      <w:r>
        <w:rPr>
          <w:b/>
        </w:rPr>
        <w:t>the top ranked break point combination selected by 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Pr>
          <w:b/>
        </w:rPr>
        <w:t>(Using AIC instead of AICc)</w:t>
      </w:r>
      <w:r w:rsidRPr="006062E6">
        <w:rPr>
          <w:b/>
        </w:rPr>
        <w:t>.</w:t>
      </w:r>
      <w:r>
        <w:t xml:space="preserve"> Proportion of results where initial conditions were detected by the top break point combination (circles) or contained within the parameter set of the top break point combination (i.e. scenario conditions detected, plus additional break points found;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7">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35F51FE5" w14:textId="16B4DE81" w:rsidR="0040365B" w:rsidRDefault="0040365B" w:rsidP="0040365B">
      <w:r>
        <w:t>Figure</w:t>
      </w:r>
      <w:r w:rsidRPr="0040365B">
        <w:t xml:space="preserve"> </w:t>
      </w:r>
      <w:r>
        <w:t>S2-3</w:t>
      </w:r>
      <w:r w:rsidRPr="006F7244">
        <w:t>:</w:t>
      </w:r>
      <w:r w:rsidRPr="00A47D1F">
        <w:rPr>
          <w:b/>
        </w:rPr>
        <w:t xml:space="preserve"> </w:t>
      </w:r>
      <w:r>
        <w:rPr>
          <w:b/>
        </w:rPr>
        <w:t>Average break weight of break points found under varying parameterization conditions</w:t>
      </w:r>
      <w:r>
        <w:rPr>
          <w:b/>
        </w:rPr>
        <w:t xml:space="preserve"> </w:t>
      </w:r>
      <w:r>
        <w:rPr>
          <w:b/>
        </w:rPr>
        <w:t xml:space="preserve">(Using </w:t>
      </w:r>
      <w:r>
        <w:rPr>
          <w:b/>
        </w:rPr>
        <w:t xml:space="preserve"> </w:t>
      </w:r>
      <w:r>
        <w:rPr>
          <w:b/>
        </w:rPr>
        <w:t>AIC instead of AICc)</w:t>
      </w:r>
      <w:r>
        <w:rPr>
          <w:b/>
        </w:rPr>
        <w:t xml:space="preserve"> </w:t>
      </w:r>
      <w:r w:rsidRPr="006062E6">
        <w:rPr>
          <w:b/>
        </w:rPr>
        <w:t>.</w:t>
      </w:r>
      <w:r>
        <w:t xml:space="preserve"> Break weight is computed based on a modification of “Relative Variable Importance” formula, where each break point is multiplied by the Akaike weight of each model in which it appears. Average weights of break points identified by the regime shift detector model reflecting true parameterization conditions (circles) or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284C8069" w14:textId="77777777" w:rsidR="000C2D93" w:rsidRDefault="000C2D93" w:rsidP="0040365B"/>
    <w:p w14:paraId="17D577D9" w14:textId="02744815" w:rsidR="0040365B" w:rsidRDefault="000C2D93" w:rsidP="0040365B">
      <w:r>
        <w:rPr>
          <w:noProof/>
        </w:rPr>
        <w:lastRenderedPageBreak/>
        <w:drawing>
          <wp:inline distT="0" distB="0" distL="0" distR="0" wp14:anchorId="41FDF052" wp14:editId="099CC992">
            <wp:extent cx="5016758" cy="5753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34C888.tmp"/>
                    <pic:cNvPicPr/>
                  </pic:nvPicPr>
                  <pic:blipFill>
                    <a:blip r:embed="rId8">
                      <a:extLst>
                        <a:ext uri="{28A0092B-C50C-407E-A947-70E740481C1C}">
                          <a14:useLocalDpi xmlns:a14="http://schemas.microsoft.com/office/drawing/2010/main" val="0"/>
                        </a:ext>
                      </a:extLst>
                    </a:blip>
                    <a:stretch>
                      <a:fillRect/>
                    </a:stretch>
                  </pic:blipFill>
                  <pic:spPr>
                    <a:xfrm>
                      <a:off x="0" y="0"/>
                      <a:ext cx="5016758" cy="5753396"/>
                    </a:xfrm>
                    <a:prstGeom prst="rect">
                      <a:avLst/>
                    </a:prstGeom>
                  </pic:spPr>
                </pic:pic>
              </a:graphicData>
            </a:graphic>
          </wp:inline>
        </w:drawing>
      </w:r>
      <w:r w:rsidR="0040365B">
        <w:t>Figure S2-4</w:t>
      </w:r>
      <w:r w:rsidR="0040365B" w:rsidRPr="006F7244">
        <w:t>:</w:t>
      </w:r>
      <w:r w:rsidR="0040365B" w:rsidRPr="00A47D1F">
        <w:rPr>
          <w:b/>
        </w:rPr>
        <w:t xml:space="preserve"> </w:t>
      </w:r>
      <w:r w:rsidR="0040365B">
        <w:rPr>
          <w:b/>
        </w:rPr>
        <w:t>‘Worst-case’ break weight of break points found under varying parameterization conditions</w:t>
      </w:r>
      <w:r w:rsidR="0040365B">
        <w:rPr>
          <w:b/>
        </w:rPr>
        <w:t xml:space="preserve"> </w:t>
      </w:r>
      <w:r w:rsidR="0040365B">
        <w:rPr>
          <w:b/>
        </w:rPr>
        <w:t>(Using AIC instead of AICc)</w:t>
      </w:r>
      <w:r w:rsidR="0040365B">
        <w:rPr>
          <w:b/>
        </w:rPr>
        <w:t xml:space="preserve"> </w:t>
      </w:r>
      <w:r w:rsidR="0040365B" w:rsidRPr="006062E6">
        <w:rPr>
          <w:b/>
        </w:rPr>
        <w:t>.</w:t>
      </w:r>
      <w:r w:rsidR="0040365B">
        <w:t xml:space="preserve"> Break weight is computed based on a modification of “Relative Variable Importance” formula, where each break point is multiplied by the Akaike weight of each model in which it appears. Minimum weights of break points identified by the regime shift detector model reflecting true parameterization conditions (circles) and maximum weights of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286AD7DF" w14:textId="77777777" w:rsidR="005E6321" w:rsidRDefault="005E6321" w:rsidP="0017454F"/>
    <w:sectPr w:rsidR="005E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C2D93"/>
    <w:rsid w:val="000D7E87"/>
    <w:rsid w:val="00105D01"/>
    <w:rsid w:val="0017454F"/>
    <w:rsid w:val="00202E5D"/>
    <w:rsid w:val="002900D4"/>
    <w:rsid w:val="002B0836"/>
    <w:rsid w:val="003D374E"/>
    <w:rsid w:val="0040365B"/>
    <w:rsid w:val="00541483"/>
    <w:rsid w:val="005439BE"/>
    <w:rsid w:val="005D5CAB"/>
    <w:rsid w:val="005E6321"/>
    <w:rsid w:val="00611052"/>
    <w:rsid w:val="00741117"/>
    <w:rsid w:val="007A4FDA"/>
    <w:rsid w:val="00815EA3"/>
    <w:rsid w:val="00856094"/>
    <w:rsid w:val="008828A7"/>
    <w:rsid w:val="009D67FD"/>
    <w:rsid w:val="00A04712"/>
    <w:rsid w:val="00B570CE"/>
    <w:rsid w:val="00B86EB3"/>
    <w:rsid w:val="00C94435"/>
    <w:rsid w:val="00D33FCF"/>
    <w:rsid w:val="00DD3497"/>
    <w:rsid w:val="00DF32A7"/>
    <w:rsid w:val="00E551EC"/>
    <w:rsid w:val="00ED10F7"/>
    <w:rsid w:val="00F1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9</cp:revision>
  <dcterms:created xsi:type="dcterms:W3CDTF">2018-06-04T20:45:00Z</dcterms:created>
  <dcterms:modified xsi:type="dcterms:W3CDTF">2018-12-21T16:34:00Z</dcterms:modified>
</cp:coreProperties>
</file>