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C862713"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773485A4" w14:textId="7EFFB7EC"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w:t>
      </w:r>
      <w:r w:rsidRPr="0014050F">
        <w:t>case studies</w:t>
      </w:r>
      <w:r w:rsidR="00D93CA5">
        <w:t>:</w:t>
      </w:r>
      <w:r w:rsidR="00F40045">
        <w:t xml:space="preserve"> the </w:t>
      </w:r>
      <w:r w:rsidR="00B35270">
        <w:t xml:space="preserve">invasion of </w:t>
      </w:r>
      <w:r w:rsidR="006350AB">
        <w:t xml:space="preserve">the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2FF4874F" w14:textId="61AE39DC" w:rsidR="00DA72A4" w:rsidRDefault="00493C01" w:rsidP="00493C01">
      <w:r w:rsidRPr="0014050F">
        <w:t xml:space="preserve">3: We found that under low </w:t>
      </w:r>
      <w:r w:rsidR="00F40045">
        <w:t xml:space="preserve">environmental/sampling </w:t>
      </w:r>
      <w:r w:rsidR="00BB5C7E">
        <w:t>noise</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accuracy</w:t>
      </w:r>
      <w:r w:rsidR="00F66560">
        <w:t xml:space="preserve">, with the most complex parameterization conditions (i.e. time series with many break points) least likely to be detected by the model.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62CC4D08"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w:t>
      </w:r>
      <w:r w:rsidR="00E06798">
        <w:t xml:space="preserve">changing </w:t>
      </w:r>
      <w:r w:rsidR="00B35270">
        <w:t xml:space="preserve">management practices affecting the availability of hostplants in their summer breeding grounds. </w:t>
      </w:r>
    </w:p>
    <w:p w14:paraId="267DAE0E" w14:textId="7DEB9E3B"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 xml:space="preserve">etector has the potential to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18C5250"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DDC6A63" w:rsidR="00493C01" w:rsidRDefault="00493C01" w:rsidP="00493C01">
      <w:r>
        <w:t xml:space="preserve">Density dependent tools for modelling population time series were developed and championed during the 1950s and 60s. Examples include the Ricker and Beverton-Holt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 xml:space="preserve">s (Bjørnstad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67AB3393"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DC13D1"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7240809C" w:rsidR="00493C01" w:rsidRPr="00DA72A4" w:rsidRDefault="00493C01" w:rsidP="004628BA">
      <w:r>
        <w:lastRenderedPageBreak/>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or a given time series, the RSD model produces a set of top performing break point combinations for cases in which model fits produce equivalent AICc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Akaike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AICc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7B7EF7C2"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xml:space="preserve">, a random value was selected from a normal curve of mean 0 </w:t>
      </w:r>
      <w:r>
        <w:lastRenderedPageBreak/>
        <w:t>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bookmarkStart w:id="0" w:name="_GoBack"/>
      <w:bookmarkEnd w:id="0"/>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77777777" w:rsidR="00493C01" w:rsidRDefault="00493C01" w:rsidP="00493C01">
      <w:pPr>
        <w:rPr>
          <w:b/>
        </w:rPr>
      </w:pPr>
      <w:r>
        <w:rPr>
          <w:b/>
        </w:rPr>
        <w:t>Applications</w:t>
      </w:r>
    </w:p>
    <w:p w14:paraId="5F4E3EFB" w14:textId="3928341F" w:rsidR="00493C01" w:rsidRDefault="00493C01" w:rsidP="00493C01">
      <w:r>
        <w:lastRenderedPageBreak/>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3DD1C68"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AICc=-18.02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5E3398"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lastRenderedPageBreak/>
        <w:t>Monarch butterflies in Mexican overwintering grounds</w:t>
      </w:r>
    </w:p>
    <w:p w14:paraId="589226B1" w14:textId="409D3B57"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D74F97">
        <w:t xml:space="preserve">model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7315B310"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w:t>
      </w:r>
      <w:r>
        <w:lastRenderedPageBreak/>
        <w:t xml:space="preserve">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r w:rsidR="003F34F4" w:rsidRPr="00BC62D0">
        <w:rPr>
          <w:i/>
        </w:rPr>
        <w:t>r</w:t>
      </w:r>
      <w:r w:rsidR="003F34F4">
        <w:t xml:space="preserve"> </w:t>
      </w:r>
      <w:r w:rsidR="00812DF3">
        <w:t>are</w:t>
      </w:r>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02CE91AA" w14:textId="5A5887BB" w:rsidR="00202BBB" w:rsidRDefault="00A542EC">
      <w:pPr>
        <w:rPr>
          <w:b/>
        </w:rPr>
      </w:pPr>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lastRenderedPageBreak/>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r w:rsidR="00202BBB">
        <w:rPr>
          <w:b/>
        </w:rPr>
        <w:br w:type="page"/>
      </w:r>
    </w:p>
    <w:p w14:paraId="7480F7EF" w14:textId="5BEF34EF" w:rsidR="00493C01" w:rsidRPr="00633A5C" w:rsidRDefault="00493C01" w:rsidP="00493C01">
      <w:pPr>
        <w:rPr>
          <w:b/>
        </w:rPr>
      </w:pPr>
      <w:r w:rsidRPr="00633A5C">
        <w:rPr>
          <w:b/>
        </w:rPr>
        <w:lastRenderedPageBreak/>
        <w:t>References</w:t>
      </w:r>
    </w:p>
    <w:p w14:paraId="7C0711F8" w14:textId="77777777" w:rsidR="00553C76" w:rsidRDefault="00493C01" w:rsidP="006F7B30">
      <w:pPr>
        <w:pStyle w:val="Bibliography"/>
      </w:pPr>
      <w:r>
        <w:fldChar w:fldCharType="begin"/>
      </w:r>
      <w:r w:rsidR="00312392">
        <w:instrText xml:space="preserve"> ADDIN ZOTERO_BIBL {"uncited":[],"omitted":[],"custom":[]} CSL_BIBLIOGRAPHY </w:instrText>
      </w:r>
      <w:r>
        <w:fldChar w:fldCharType="separate"/>
      </w:r>
      <w:r w:rsidR="00553C76">
        <w:rPr>
          <w:b/>
          <w:bCs/>
        </w:rPr>
        <w:t>Bahlai, C. A., M. Colunga-Garcia, S. H. Gage, and D. A. Landis</w:t>
      </w:r>
      <w:r w:rsidR="00553C76">
        <w:t xml:space="preserve">. </w:t>
      </w:r>
      <w:r w:rsidR="00553C76">
        <w:rPr>
          <w:b/>
          <w:bCs/>
        </w:rPr>
        <w:t>2013</w:t>
      </w:r>
      <w:r w:rsidR="00553C76">
        <w:t>. Long term functional dynamics of an aphidophagous coccinellid community are unchanged in response to repeated invasion. PLoS One. 8: e83407.</w:t>
      </w:r>
    </w:p>
    <w:p w14:paraId="3649641C" w14:textId="77777777" w:rsidR="00553C76" w:rsidRDefault="00553C76" w:rsidP="006F7B30">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8925A51" w14:textId="77777777" w:rsidR="00553C76" w:rsidRDefault="00553C76" w:rsidP="006F7B30">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619FAE97" w14:textId="77777777" w:rsidR="00553C76" w:rsidRDefault="00553C76" w:rsidP="006F7B30">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45F9B68A" w14:textId="77777777" w:rsidR="00553C76" w:rsidRDefault="00553C76" w:rsidP="006F7B30">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7DCA440" w14:textId="77777777" w:rsidR="00553C76" w:rsidRDefault="00553C76" w:rsidP="006F7B30">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0695F61B" w14:textId="77777777" w:rsidR="00553C76" w:rsidRDefault="00553C76" w:rsidP="006F7B30">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420F2EE5" w14:textId="77777777" w:rsidR="00553C76" w:rsidRDefault="00553C76" w:rsidP="006F7B30">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5B86CCCC" w14:textId="77777777" w:rsidR="00553C76" w:rsidRDefault="00553C76" w:rsidP="006F7B30">
      <w:pPr>
        <w:pStyle w:val="Bibliography"/>
      </w:pPr>
      <w:r>
        <w:rPr>
          <w:b/>
          <w:bCs/>
        </w:rPr>
        <w:t>Beverton, R. J., and S. J. Holt</w:t>
      </w:r>
      <w:r>
        <w:t xml:space="preserve">. </w:t>
      </w:r>
      <w:r>
        <w:rPr>
          <w:b/>
          <w:bCs/>
        </w:rPr>
        <w:t>1957</w:t>
      </w:r>
      <w:r>
        <w:t>. On the dynamics of exploited fish populations. Springer Science &amp; Business Media.</w:t>
      </w:r>
    </w:p>
    <w:p w14:paraId="5D6BA47F" w14:textId="77777777" w:rsidR="00553C76" w:rsidRDefault="00553C76" w:rsidP="006F7B30">
      <w:pPr>
        <w:pStyle w:val="Bibliography"/>
      </w:pPr>
      <w:r>
        <w:rPr>
          <w:b/>
          <w:bCs/>
        </w:rPr>
        <w:t>Bjørnstad, O. N., and B. T. Grenfell</w:t>
      </w:r>
      <w:r>
        <w:t xml:space="preserve">. </w:t>
      </w:r>
      <w:r>
        <w:rPr>
          <w:b/>
          <w:bCs/>
        </w:rPr>
        <w:t>2001</w:t>
      </w:r>
      <w:r>
        <w:t>. Noisy Clockwork: Time Series Analysis of Population Fluctuations in Animals. Science. 293: 638.</w:t>
      </w:r>
    </w:p>
    <w:p w14:paraId="059275AE" w14:textId="77777777" w:rsidR="00553C76" w:rsidRDefault="00553C76" w:rsidP="006F7B30">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EB94A02" w14:textId="77777777" w:rsidR="00553C76" w:rsidRDefault="00553C76" w:rsidP="006F7B30">
      <w:pPr>
        <w:pStyle w:val="Bibliography"/>
      </w:pPr>
      <w:r>
        <w:rPr>
          <w:b/>
          <w:bCs/>
        </w:rPr>
        <w:t>Braun, J. V., and H.-G. Muller</w:t>
      </w:r>
      <w:r>
        <w:t xml:space="preserve">. </w:t>
      </w:r>
      <w:r>
        <w:rPr>
          <w:b/>
          <w:bCs/>
        </w:rPr>
        <w:t>1998</w:t>
      </w:r>
      <w:r>
        <w:t>. Statistical Methods for DNA Sequence Segmentation. Statistical Science. 13: 142–162.</w:t>
      </w:r>
    </w:p>
    <w:p w14:paraId="0559189B" w14:textId="77777777" w:rsidR="00553C76" w:rsidRDefault="00553C76" w:rsidP="006F7B30">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461198AC" w14:textId="77777777" w:rsidR="00553C76" w:rsidRDefault="00553C76" w:rsidP="006F7B30">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C1AD853" w14:textId="77777777" w:rsidR="00553C76" w:rsidRDefault="00553C76" w:rsidP="006F7B30">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CE9B9D4" w14:textId="77777777" w:rsidR="00553C76" w:rsidRDefault="00553C76" w:rsidP="006F7B30">
      <w:pPr>
        <w:pStyle w:val="Bibliography"/>
      </w:pPr>
      <w:r>
        <w:rPr>
          <w:b/>
          <w:bCs/>
        </w:rPr>
        <w:t>Carpenter, S. R., W. A. Brock, J. J. Cole, J. F. Kitchell, and M. L. Pace</w:t>
      </w:r>
      <w:r>
        <w:t xml:space="preserve">. </w:t>
      </w:r>
      <w:r>
        <w:rPr>
          <w:b/>
          <w:bCs/>
        </w:rPr>
        <w:t>2008</w:t>
      </w:r>
      <w:r>
        <w:t>. Leading indicators of trophic cascades. Ecology Letters. 11: 128–138.</w:t>
      </w:r>
    </w:p>
    <w:p w14:paraId="4D8AAD0B" w14:textId="77777777" w:rsidR="00553C76" w:rsidRDefault="00553C76" w:rsidP="006F7B30">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5C1D4D38" w14:textId="77777777" w:rsidR="00553C76" w:rsidRDefault="00553C76" w:rsidP="006F7B30">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6B284F75" w14:textId="77777777" w:rsidR="00553C76" w:rsidRDefault="00553C76" w:rsidP="006F7B30">
      <w:pPr>
        <w:pStyle w:val="Bibliography"/>
      </w:pPr>
      <w:r>
        <w:rPr>
          <w:b/>
          <w:bCs/>
        </w:rPr>
        <w:t>Duke, S. O., and S. B. Powles</w:t>
      </w:r>
      <w:r>
        <w:t xml:space="preserve">. </w:t>
      </w:r>
      <w:r>
        <w:rPr>
          <w:b/>
          <w:bCs/>
        </w:rPr>
        <w:t>2009</w:t>
      </w:r>
      <w:r>
        <w:t>. Glyphosate-resistant crops and weeds: now and in the future. AgBioForum. 12: 346–357.</w:t>
      </w:r>
    </w:p>
    <w:p w14:paraId="047D2DD9" w14:textId="77777777" w:rsidR="00553C76" w:rsidRDefault="00553C76" w:rsidP="006F7B30">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51549880" w14:textId="77777777" w:rsidR="00553C76" w:rsidRDefault="00553C76" w:rsidP="006F7B30">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56B48F5" w14:textId="77777777" w:rsidR="00553C76" w:rsidRDefault="00553C76" w:rsidP="006F7B30">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6FDAAC67" w14:textId="77777777" w:rsidR="00553C76" w:rsidRDefault="00553C76" w:rsidP="006F7B30">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314DD9C" w14:textId="77777777" w:rsidR="00553C76" w:rsidRDefault="00553C76" w:rsidP="006F7B30">
      <w:pPr>
        <w:pStyle w:val="Bibliography"/>
      </w:pPr>
      <w:r>
        <w:rPr>
          <w:b/>
          <w:bCs/>
        </w:rPr>
        <w:t>Hall, A. R., D. R. Osborn, and N. Sakkas</w:t>
      </w:r>
      <w:r>
        <w:t xml:space="preserve">. </w:t>
      </w:r>
      <w:r>
        <w:rPr>
          <w:b/>
          <w:bCs/>
        </w:rPr>
        <w:t>2013</w:t>
      </w:r>
      <w:r>
        <w:t>. Inference on Structural Breaks using Information Criteria. The Manchester School. 81: 54–81.</w:t>
      </w:r>
    </w:p>
    <w:p w14:paraId="42867C9E" w14:textId="77777777" w:rsidR="00553C76" w:rsidRDefault="00553C76" w:rsidP="006F7B30">
      <w:pPr>
        <w:pStyle w:val="Bibliography"/>
      </w:pPr>
      <w:r>
        <w:rPr>
          <w:b/>
          <w:bCs/>
        </w:rPr>
        <w:t>Hare, S. R., and N. J. Mantua</w:t>
      </w:r>
      <w:r>
        <w:t xml:space="preserve">. </w:t>
      </w:r>
      <w:r>
        <w:rPr>
          <w:b/>
          <w:bCs/>
        </w:rPr>
        <w:t>2000</w:t>
      </w:r>
      <w:r>
        <w:t>. Empirical evidence for North Pacific regime shifts in 1977 and 1989. Progress in Oceanography. 47: 103–145.</w:t>
      </w:r>
    </w:p>
    <w:p w14:paraId="3C679629" w14:textId="77777777" w:rsidR="00553C76" w:rsidRDefault="00553C76" w:rsidP="006F7B30">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CF877C9" w14:textId="77777777" w:rsidR="00553C76" w:rsidRDefault="00553C76" w:rsidP="006F7B30">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3185282" w14:textId="77777777" w:rsidR="00553C76" w:rsidRDefault="00553C76" w:rsidP="006F7B30">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2721FBB4" w14:textId="77777777" w:rsidR="00553C76" w:rsidRDefault="00553C76" w:rsidP="006F7B30">
      <w:pPr>
        <w:pStyle w:val="Bibliography"/>
      </w:pPr>
      <w:r>
        <w:rPr>
          <w:b/>
          <w:bCs/>
        </w:rPr>
        <w:t>Killick, R., and I. Eckley</w:t>
      </w:r>
      <w:r>
        <w:t xml:space="preserve">. </w:t>
      </w:r>
      <w:r>
        <w:rPr>
          <w:b/>
          <w:bCs/>
        </w:rPr>
        <w:t>2014</w:t>
      </w:r>
      <w:r>
        <w:t>. changepoint: An R package for changepoint analysis. Journal of Statistical Software. 58: 1–19.</w:t>
      </w:r>
    </w:p>
    <w:p w14:paraId="5DC1DDE3" w14:textId="77777777" w:rsidR="00553C76" w:rsidRDefault="00553C76" w:rsidP="006F7B30">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16A41D3" w14:textId="77777777" w:rsidR="00553C76" w:rsidRDefault="00553C76" w:rsidP="006F7B30">
      <w:pPr>
        <w:pStyle w:val="Bibliography"/>
      </w:pPr>
      <w:r>
        <w:rPr>
          <w:b/>
          <w:bCs/>
        </w:rPr>
        <w:t>Lovett, J.</w:t>
      </w:r>
      <w:r>
        <w:t xml:space="preserve"> </w:t>
      </w:r>
      <w:r>
        <w:rPr>
          <w:b/>
          <w:bCs/>
        </w:rPr>
        <w:t>2017</w:t>
      </w:r>
      <w:r>
        <w:t>. Monarch Population Status.</w:t>
      </w:r>
    </w:p>
    <w:p w14:paraId="146C3F3B" w14:textId="77777777" w:rsidR="00553C76" w:rsidRDefault="00553C76" w:rsidP="006F7B30">
      <w:pPr>
        <w:pStyle w:val="Bibliography"/>
      </w:pPr>
      <w:r>
        <w:rPr>
          <w:b/>
          <w:bCs/>
        </w:rPr>
        <w:t>May, R. M.</w:t>
      </w:r>
      <w:r>
        <w:t xml:space="preserve"> </w:t>
      </w:r>
      <w:r>
        <w:rPr>
          <w:b/>
          <w:bCs/>
        </w:rPr>
        <w:t>1976</w:t>
      </w:r>
      <w:r>
        <w:t>. Simple mathematical models with very complicated dynamics. Nature. 261: 459–467.</w:t>
      </w:r>
    </w:p>
    <w:p w14:paraId="17C26C6A" w14:textId="77777777" w:rsidR="00553C76" w:rsidRDefault="00553C76" w:rsidP="006F7B30">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18C5D7E8" w14:textId="77777777" w:rsidR="00553C76" w:rsidRDefault="00553C76" w:rsidP="006F7B30">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8F89800" w14:textId="77777777" w:rsidR="00553C76" w:rsidRDefault="00553C76" w:rsidP="006F7B30">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73EC2518" w14:textId="77777777" w:rsidR="00553C76" w:rsidRDefault="00553C76" w:rsidP="006F7B30">
      <w:pPr>
        <w:pStyle w:val="Bibliography"/>
      </w:pPr>
      <w:r>
        <w:rPr>
          <w:b/>
          <w:bCs/>
        </w:rPr>
        <w:t>R Development Core Team</w:t>
      </w:r>
      <w:r>
        <w:t xml:space="preserve">. </w:t>
      </w:r>
      <w:r>
        <w:rPr>
          <w:b/>
          <w:bCs/>
        </w:rPr>
        <w:t>2017</w:t>
      </w:r>
      <w:r>
        <w:t>. R: A Language and Environment for Statistical Computing 3.3.3. R Foundation for Statistical Computing.</w:t>
      </w:r>
    </w:p>
    <w:p w14:paraId="4557F58A" w14:textId="77777777" w:rsidR="00553C76" w:rsidRDefault="00553C76" w:rsidP="006F7B30">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A7397A8" w14:textId="77777777" w:rsidR="00553C76" w:rsidRDefault="00553C76" w:rsidP="006F7B30">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8DF0C9" w14:textId="77777777" w:rsidR="00553C76" w:rsidRDefault="00553C76" w:rsidP="006F7B30">
      <w:pPr>
        <w:pStyle w:val="Bibliography"/>
      </w:pPr>
      <w:r>
        <w:rPr>
          <w:b/>
          <w:bCs/>
        </w:rPr>
        <w:t>Ricker, W. E.</w:t>
      </w:r>
      <w:r>
        <w:t xml:space="preserve"> </w:t>
      </w:r>
      <w:r>
        <w:rPr>
          <w:b/>
          <w:bCs/>
        </w:rPr>
        <w:t>1954</w:t>
      </w:r>
      <w:r>
        <w:t>. Stock and Recruitment. J. Fish. Res. Bd. Can. 11: 559–623.</w:t>
      </w:r>
    </w:p>
    <w:p w14:paraId="235AFFF3" w14:textId="77777777" w:rsidR="00553C76" w:rsidRDefault="00553C76" w:rsidP="006F7B30">
      <w:pPr>
        <w:pStyle w:val="Bibliography"/>
      </w:pPr>
      <w:r>
        <w:rPr>
          <w:b/>
          <w:bCs/>
        </w:rPr>
        <w:t>Sarkar, S.</w:t>
      </w:r>
      <w:r>
        <w:t xml:space="preserve"> </w:t>
      </w:r>
      <w:r>
        <w:rPr>
          <w:b/>
          <w:bCs/>
        </w:rPr>
        <w:t>2017</w:t>
      </w:r>
      <w:r>
        <w:t>. What Is Threatening Monarchs? BioScience. 67: 1080–1080.</w:t>
      </w:r>
    </w:p>
    <w:p w14:paraId="7519D834" w14:textId="77777777" w:rsidR="00553C76" w:rsidRDefault="00553C76" w:rsidP="006F7B30">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B88354E" w14:textId="77777777" w:rsidR="00553C76" w:rsidRDefault="00553C76" w:rsidP="006F7B30">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3371D943" w14:textId="77777777" w:rsidR="00553C76" w:rsidRDefault="00553C76" w:rsidP="006F7B30">
      <w:pPr>
        <w:pStyle w:val="Bibliography"/>
      </w:pPr>
      <w:r>
        <w:rPr>
          <w:b/>
          <w:bCs/>
        </w:rPr>
        <w:t>Toms, J. D., and M. L. Lesperance</w:t>
      </w:r>
      <w:r>
        <w:t xml:space="preserve">. </w:t>
      </w:r>
      <w:r>
        <w:rPr>
          <w:b/>
          <w:bCs/>
        </w:rPr>
        <w:t>2003</w:t>
      </w:r>
      <w:r>
        <w:t>. Piecewise regression: a tool for identifying ecological thresholds. Ecology. 84: 2034–2041.</w:t>
      </w:r>
    </w:p>
    <w:p w14:paraId="31A8B6C8" w14:textId="77777777" w:rsidR="00553C76" w:rsidRDefault="00553C76" w:rsidP="006F7B30">
      <w:pPr>
        <w:pStyle w:val="Bibliography"/>
      </w:pPr>
      <w:r>
        <w:rPr>
          <w:b/>
          <w:bCs/>
        </w:rPr>
        <w:t>Turchin, P.</w:t>
      </w:r>
      <w:r>
        <w:t xml:space="preserve"> </w:t>
      </w:r>
      <w:r>
        <w:rPr>
          <w:b/>
          <w:bCs/>
        </w:rPr>
        <w:t>2003</w:t>
      </w:r>
      <w:r>
        <w:t>. Complex population dynamics: a theoretical/empirical synthesis. Princeton University Press.</w:t>
      </w:r>
    </w:p>
    <w:p w14:paraId="3078EF86" w14:textId="77777777" w:rsidR="00553C76" w:rsidRDefault="00553C76" w:rsidP="006F7B30">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2A89AB7E" w14:textId="77777777" w:rsidR="00553C76" w:rsidRDefault="00553C76" w:rsidP="006F7B30">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E84C302" w14:textId="77777777" w:rsidR="00553C76" w:rsidRDefault="00553C76" w:rsidP="006F7B30">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63A1372" w14:textId="77777777" w:rsidR="00553C76" w:rsidRDefault="00553C76" w:rsidP="006F7B30">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D08CFA9" w14:textId="77777777" w:rsidR="00553C76" w:rsidRDefault="00553C76" w:rsidP="006F7B30">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61358AB" w14:textId="77777777" w:rsidR="00553C76" w:rsidRDefault="00553C76" w:rsidP="006F7B30">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3D5C87" w14:textId="77777777" w:rsidR="00553C76" w:rsidRDefault="00553C76" w:rsidP="006F7B30">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013A106" w14:textId="77777777" w:rsidR="00553C76" w:rsidRDefault="00553C76" w:rsidP="006F7B30">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D17"/>
    <w:rsid w:val="00246C86"/>
    <w:rsid w:val="002470E2"/>
    <w:rsid w:val="00253218"/>
    <w:rsid w:val="00253E75"/>
    <w:rsid w:val="0025536D"/>
    <w:rsid w:val="00263647"/>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77C"/>
    <w:rsid w:val="007F653E"/>
    <w:rsid w:val="008032E9"/>
    <w:rsid w:val="00804469"/>
    <w:rsid w:val="00812DF3"/>
    <w:rsid w:val="00815539"/>
    <w:rsid w:val="00822D4A"/>
    <w:rsid w:val="008257D3"/>
    <w:rsid w:val="00834911"/>
    <w:rsid w:val="00837331"/>
    <w:rsid w:val="00845569"/>
    <w:rsid w:val="008515BA"/>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3421"/>
    <w:rsid w:val="00920A86"/>
    <w:rsid w:val="00923428"/>
    <w:rsid w:val="0092388E"/>
    <w:rsid w:val="00926534"/>
    <w:rsid w:val="00930C77"/>
    <w:rsid w:val="009325B0"/>
    <w:rsid w:val="0094324E"/>
    <w:rsid w:val="00943259"/>
    <w:rsid w:val="00943A8D"/>
    <w:rsid w:val="00950939"/>
    <w:rsid w:val="00953A7F"/>
    <w:rsid w:val="00961825"/>
    <w:rsid w:val="00964ECA"/>
    <w:rsid w:val="00972229"/>
    <w:rsid w:val="00977866"/>
    <w:rsid w:val="00984F64"/>
    <w:rsid w:val="009A0B2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88E-CF41-4332-AB7A-6174BA79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20288</Words>
  <Characters>115647</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2019-01-16T15:06:00Z</dcterms:created>
  <dcterms:modified xsi:type="dcterms:W3CDTF">2019-01-16T15:06:00Z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id="tW22CE9V"/&gt;&lt;style id="http://www.zotero.org/styles/environmental-entomology" hasBibliography="1" bibliographyStyleHasBeenSet="1"/&gt;&lt;prefs&gt;&lt;pref name="fieldType" value="Field"/&gt;&lt;/prefs&gt;&lt;/data&gt;</vt:lpwstr>
  </property>
</Properties>
</file>