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5C"/>
          <w:sz w:val="36"/>
          <w:szCs w:val="36"/>
        </w:rPr>
        <w:t xml:space="preserve">Data Acquisition &amp; Feature Engineering</w:t>
      </w:r>
    </w:p>
    <w:p>
      <w:pPr>
        <w:spacing w:after="40"/>
        <w:jc w:val="center"/>
      </w:pPr>
      <w:r>
        <w:rPr>
          <w:rFonts w:ascii="Calibri" w:cs="Calibri" w:eastAsia="Calibri" w:hAnsi="Calibri"/>
          <w:color w:val="2E75B6"/>
          <w:sz w:val="26"/>
          <w:szCs w:val="26"/>
        </w:rPr>
        <w:t xml:space="preserve">ILR Transform for Compositional Fuel Mix Data</w:t>
      </w:r>
    </w:p>
    <w:p>
      <w:pPr>
        <w:spacing w:after="40"/>
        <w:jc w:val="center"/>
      </w:pPr>
      <w:r>
        <w:rPr>
          <w:rFonts w:ascii="Cambria" w:cs="Cambria" w:eastAsia="Cambria" w:hAnsi="Cambria"/>
          <w:i/>
          <w:iCs/>
          <w:color w:val="666666"/>
          <w:sz w:val="22"/>
          <w:szCs w:val="22"/>
        </w:rPr>
        <w:t xml:space="preserve">ISONE Electricity Market — Geometry-Driven Regime Identification</w:t>
      </w:r>
    </w:p>
    <w:p>
      <w:pPr>
        <w:pBdr>
          <w:bottom w:val="single" w:color="2E75B6" w:sz="2" w:space="8"/>
        </w:pBdr>
        <w:spacing w:after="400"/>
        <w:jc w:val="center"/>
      </w:pPr>
      <w:r>
        <w:rPr>
          <w:rFonts w:ascii="Cambria" w:cs="Cambria" w:eastAsia="Cambria" w:hAnsi="Cambria"/>
          <w:color w:val="999999"/>
          <w:sz w:val="20"/>
          <w:szCs w:val="20"/>
        </w:rPr>
        <w:t xml:space="preserve">Working Document — March 2026</w:t>
      </w:r>
    </w:p>
    <w:p>
      <w:pPr>
        <w:pBdr>
          <w:bottom w:val="single" w:color="2E75B6" w:sz="4" w:space="4"/>
        </w:pBdr>
        <w:spacing w:after="200" w:before="360"/>
      </w:pPr>
      <w:r>
        <w:rPr>
          <w:rFonts w:ascii="Calibri" w:cs="Calibri" w:eastAsia="Calibri" w:hAnsi="Calibri"/>
          <w:b/>
          <w:bCs/>
          <w:color w:val="1B3A5C"/>
          <w:sz w:val="28"/>
          <w:szCs w:val="28"/>
        </w:rPr>
        <w:t xml:space="preserve">1. Data Sources</w:t>
      </w:r>
    </w:p>
    <w:p>
      <w:pPr>
        <w:spacing w:after="160" w:line="312"/>
        <w:jc w:val="both"/>
      </w:pPr>
      <w:r>
        <w:rPr>
          <w:rFonts w:ascii="Cambria" w:cs="Cambria" w:eastAsia="Cambria" w:hAnsi="Cambria"/>
          <w:sz w:val="22"/>
          <w:szCs w:val="22"/>
        </w:rPr>
        <w:t xml:space="preserve">Il dataset utilizzato in questo studio integra due fonti di dati pubbliche che, combinate, permettono di caratterizzare simultaneamente il prezzo dell’energia elettrica e la composizione del mix di generazione nel mercato ISO New England (ISO-NE). Di seguito descriviamo ciascuna fonte nel dettaglio.</w:t>
      </w:r>
    </w:p>
    <w:p>
      <w:pPr>
        <w:spacing w:after="160" w:before="280"/>
      </w:pPr>
      <w:r>
        <w:rPr>
          <w:rFonts w:ascii="Calibri" w:cs="Calibri" w:eastAsia="Calibri" w:hAnsi="Calibri"/>
          <w:b/>
          <w:bCs/>
          <w:color w:val="2E75B6"/>
          <w:sz w:val="24"/>
          <w:szCs w:val="24"/>
        </w:rPr>
        <w:t xml:space="preserve">1.1 Locational Marginal Price (LMP) — ISO New England</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Locational Marginal Price (LMP)</w:t>
      </w:r>
      <w:r>
        <w:rPr>
          <w:rFonts w:ascii="Cambria" w:cs="Cambria" w:eastAsia="Cambria" w:hAnsi="Cambria"/>
          <w:sz w:val="22"/>
          <w:szCs w:val="22"/>
        </w:rPr>
        <w:t xml:space="preserve"> rappresenta il costo marginale di produzione di un MWh aggiuntivo di energia elettrica in un dato nodo della rete, in una data ora. Viene calcolato dal gestore di rete ISO-NE nell’ambito del </w:t>
      </w:r>
      <w:r>
        <w:rPr>
          <w:rFonts w:ascii="Cambria" w:cs="Cambria" w:eastAsia="Cambria" w:hAnsi="Cambria"/>
          <w:i/>
          <w:iCs/>
          <w:sz w:val="22"/>
          <w:szCs w:val="22"/>
        </w:rPr>
        <w:t xml:space="preserve">Day-Ahead Energy Market</w:t>
      </w:r>
      <w:r>
        <w:rPr>
          <w:rFonts w:ascii="Cambria" w:cs="Cambria" w:eastAsia="Cambria" w:hAnsi="Cambria"/>
          <w:sz w:val="22"/>
          <w:szCs w:val="22"/>
        </w:rPr>
        <w:t xml:space="preserve"> e riflette tre componenti:</w:t>
      </w:r>
    </w:p>
    <w:p>
      <w:pPr>
        <w:spacing w:after="160" w:line="312"/>
        <w:jc w:val="both"/>
      </w:pPr>
      <w:r>
        <w:rPr>
          <w:rFonts w:ascii="Cambria" w:cs="Cambria" w:eastAsia="Cambria" w:hAnsi="Cambria"/>
          <w:b/>
          <w:bCs/>
          <w:sz w:val="22"/>
          <w:szCs w:val="22"/>
        </w:rPr>
        <w:t xml:space="preserve">Energy component: </w:t>
      </w:r>
      <w:r>
        <w:rPr>
          <w:rFonts w:ascii="Cambria" w:cs="Cambria" w:eastAsia="Cambria" w:hAnsi="Cambria"/>
          <w:sz w:val="22"/>
          <w:szCs w:val="22"/>
        </w:rPr>
        <w:t xml:space="preserve">il costo marginale del sistema, ovvero il prezzo al quale l’ultima unità di generazione necessaria a soddisfare la domanda viene dispatched. Questa componente è uniforme su tutta la rete ed è determinata dall’intersezione tra la curva di offerta aggregata (merit order) e la domanda prevista.</w:t>
      </w:r>
    </w:p>
    <w:p>
      <w:pPr>
        <w:spacing w:after="160" w:line="312"/>
        <w:jc w:val="both"/>
      </w:pPr>
      <w:r>
        <w:rPr>
          <w:rFonts w:ascii="Cambria" w:cs="Cambria" w:eastAsia="Cambria" w:hAnsi="Cambria"/>
          <w:b/>
          <w:bCs/>
          <w:sz w:val="22"/>
          <w:szCs w:val="22"/>
        </w:rPr>
        <w:t xml:space="preserve">Congestion component: </w:t>
      </w:r>
      <w:r>
        <w:rPr>
          <w:rFonts w:ascii="Cambria" w:cs="Cambria" w:eastAsia="Cambria" w:hAnsi="Cambria"/>
          <w:sz w:val="22"/>
          <w:szCs w:val="22"/>
        </w:rPr>
        <w:t xml:space="preserve">il differenziale di costo dovuto ai vincoli di trasmissione sulla rete. Quando la capacità di una linea di trasmissione è satura, i prezzi divergono tra nodi: il nodo a monte del vincolo (dove l’energia è abbondante) ha un prezzo più basso, quello a valle (dove l’energia scarseggia) ha un prezzo più alto. La congestion component cattura questa differenza.</w:t>
      </w:r>
    </w:p>
    <w:p>
      <w:pPr>
        <w:spacing w:after="160" w:line="312"/>
        <w:jc w:val="both"/>
      </w:pPr>
      <w:r>
        <w:rPr>
          <w:rFonts w:ascii="Cambria" w:cs="Cambria" w:eastAsia="Cambria" w:hAnsi="Cambria"/>
          <w:b/>
          <w:bCs/>
          <w:sz w:val="22"/>
          <w:szCs w:val="22"/>
        </w:rPr>
        <w:t xml:space="preserve">Losses component: </w:t>
      </w:r>
      <w:r>
        <w:rPr>
          <w:rFonts w:ascii="Cambria" w:cs="Cambria" w:eastAsia="Cambria" w:hAnsi="Cambria"/>
          <w:sz w:val="22"/>
          <w:szCs w:val="22"/>
        </w:rPr>
        <w:t xml:space="preserve">il costo associato alle perdite elettriche nella trasmissione. L’energia si dissipa sotto forma di calore nei cavi e nei trasformatori, proporzionalmente al quadrato della corrente. Nodi elettricamente “lontani” dal centro di generazione subiscono perdite maggiori, riflesse in questa componente.</w:t>
      </w:r>
    </w:p>
    <w:p>
      <w:pPr>
        <w:spacing w:after="160" w:line="312"/>
        <w:jc w:val="both"/>
      </w:pPr>
      <w:r>
        <w:rPr>
          <w:rFonts w:ascii="Cambria" w:cs="Cambria" w:eastAsia="Cambria" w:hAnsi="Cambria"/>
          <w:sz w:val="22"/>
          <w:szCs w:val="22"/>
        </w:rPr>
        <w:t xml:space="preserve">La relazione aritmetica è: </w:t>
      </w:r>
      <w:r>
        <w:rPr>
          <w:rFonts w:ascii="Cambria" w:cs="Cambria" w:eastAsia="Cambria" w:hAnsi="Cambria"/>
          <w:b/>
          <w:bCs/>
          <w:sz w:val="22"/>
          <w:szCs w:val="22"/>
        </w:rPr>
        <w:t xml:space="preserve">LMP = Energy + Congestion + Losses</w:t>
      </w:r>
      <w:r>
        <w:rPr>
          <w:rFonts w:ascii="Cambria" w:cs="Cambria" w:eastAsia="Cambria" w:hAnsi="Cambria"/>
          <w:sz w:val="22"/>
          <w:szCs w:val="22"/>
        </w:rPr>
        <w:t xml:space="preserve">. Nel nostro dataset, la componente energy domina (~99.7% del LMP medio), mentre congestion e losses sono tipicamente di ordine inferiore ma cruciali nei momenti di stress della rete.</w:t>
      </w:r>
    </w:p>
    <w:p>
      <w:pPr>
        <w:spacing w:after="160" w:line="312"/>
        <w:jc w:val="both"/>
      </w:pPr>
      <w:r>
        <w:rPr>
          <w:rFonts w:ascii="Cambria" w:cs="Cambria" w:eastAsia="Cambria" w:hAnsi="Cambria"/>
          <w:sz w:val="22"/>
          <w:szCs w:val="22"/>
        </w:rPr>
        <w:t xml:space="preserve">I dati LMP sono stati scaricati dal portale ufficiale ISO-NE per il nodo </w:t>
      </w:r>
      <w:r>
        <w:rPr>
          <w:rFonts w:ascii="Cambria" w:cs="Cambria" w:eastAsia="Cambria" w:hAnsi="Cambria"/>
          <w:b/>
          <w:bCs/>
          <w:sz w:val="22"/>
          <w:szCs w:val="22"/>
        </w:rPr>
        <w:t xml:space="preserve">.H.INTERNAL_HUB</w:t>
      </w:r>
      <w:r>
        <w:rPr>
          <w:rFonts w:ascii="Cambria" w:cs="Cambria" w:eastAsia="Cambria" w:hAnsi="Cambria"/>
          <w:sz w:val="22"/>
          <w:szCs w:val="22"/>
        </w:rPr>
        <w:t xml:space="preserve"> (Massachusetts Hub), che rappresenta il prezzo di riferimento aggregato per il mercato New England. La risoluzione temporale è oraria, con una convenzione di etichettatura </w:t>
      </w:r>
      <w:r>
        <w:rPr>
          <w:rFonts w:ascii="Cambria" w:cs="Cambria" w:eastAsia="Cambria" w:hAnsi="Cambria"/>
          <w:i/>
          <w:iCs/>
          <w:sz w:val="22"/>
          <w:szCs w:val="22"/>
        </w:rPr>
        <w:t xml:space="preserve">hour-ending (HE)</w:t>
      </w:r>
      <w:r>
        <w:rPr>
          <w:rFonts w:ascii="Cambria" w:cs="Cambria" w:eastAsia="Cambria" w:hAnsi="Cambria"/>
          <w:sz w:val="22"/>
          <w:szCs w:val="22"/>
        </w:rPr>
        <w:t xml:space="preserve">: il valore HE-1 si riferisce all’intervallo 00:00–01:00, HE-24 all’intervallo 23:00–00:00. Abbiamo convertito questa convenzione in </w:t>
      </w:r>
      <w:r>
        <w:rPr>
          <w:rFonts w:ascii="Cambria" w:cs="Cambria" w:eastAsia="Cambria" w:hAnsi="Cambria"/>
          <w:i/>
          <w:iCs/>
          <w:sz w:val="22"/>
          <w:szCs w:val="22"/>
        </w:rPr>
        <w:t xml:space="preserve">hour-beginning</w:t>
      </w:r>
      <w:r>
        <w:rPr>
          <w:rFonts w:ascii="Cambria" w:cs="Cambria" w:eastAsia="Cambria" w:hAnsi="Cambria"/>
          <w:sz w:val="22"/>
          <w:szCs w:val="22"/>
        </w:rPr>
        <w:t xml:space="preserve"> per allineamento con i dati EIA.</w:t>
      </w:r>
    </w:p>
    <w:p>
      <w:pPr>
        <w:spacing w:after="160" w:line="312"/>
        <w:jc w:val="both"/>
      </w:pPr>
      <w:r>
        <w:rPr>
          <w:rFonts w:ascii="Cambria" w:cs="Cambria" w:eastAsia="Cambria" w:hAnsi="Cambria"/>
          <w:sz w:val="22"/>
          <w:szCs w:val="22"/>
        </w:rPr>
        <w:t xml:space="preserve">La copertura temporale va dal </w:t>
      </w:r>
      <w:r>
        <w:rPr>
          <w:rFonts w:ascii="Cambria" w:cs="Cambria" w:eastAsia="Cambria" w:hAnsi="Cambria"/>
          <w:b/>
          <w:bCs/>
          <w:sz w:val="22"/>
          <w:szCs w:val="22"/>
        </w:rPr>
        <w:t xml:space="preserve">1 gennaio 2021</w:t>
      </w:r>
      <w:r>
        <w:rPr>
          <w:rFonts w:ascii="Cambria" w:cs="Cambria" w:eastAsia="Cambria" w:hAnsi="Cambria"/>
          <w:sz w:val="22"/>
          <w:szCs w:val="22"/>
        </w:rPr>
        <w:t xml:space="preserve"> al </w:t>
      </w:r>
      <w:r>
        <w:rPr>
          <w:rFonts w:ascii="Cambria" w:cs="Cambria" w:eastAsia="Cambria" w:hAnsi="Cambria"/>
          <w:b/>
          <w:bCs/>
          <w:sz w:val="22"/>
          <w:szCs w:val="22"/>
        </w:rPr>
        <w:t xml:space="preserve">31 dicembre 2025</w:t>
      </w:r>
      <w:r>
        <w:rPr>
          <w:rFonts w:ascii="Cambria" w:cs="Cambria" w:eastAsia="Cambria" w:hAnsi="Cambria"/>
          <w:sz w:val="22"/>
          <w:szCs w:val="22"/>
        </w:rPr>
        <w:t xml:space="preserve">, per un totale di 43.920 ore teoriche (5 anni × 8.784 ore/anno, considerando gli anni bisestili 2024).</w:t>
      </w:r>
    </w:p>
    <w:p>
      <w:pPr>
        <w:spacing w:after="160" w:before="280"/>
      </w:pPr>
      <w:r>
        <w:rPr>
          <w:rFonts w:ascii="Calibri" w:cs="Calibri" w:eastAsia="Calibri" w:hAnsi="Calibri"/>
          <w:b/>
          <w:bCs/>
          <w:color w:val="2E75B6"/>
          <w:sz w:val="24"/>
          <w:szCs w:val="24"/>
        </w:rPr>
        <w:t xml:space="preserve">1.2 Fuel Mix — U.S. Energy Information Administration (EIA)</w:t>
      </w:r>
    </w:p>
    <w:p>
      <w:pPr>
        <w:spacing w:after="160" w:line="312"/>
        <w:jc w:val="both"/>
      </w:pPr>
      <w:r>
        <w:rPr>
          <w:rFonts w:ascii="Cambria" w:cs="Cambria" w:eastAsia="Cambria" w:hAnsi="Cambria"/>
          <w:sz w:val="22"/>
          <w:szCs w:val="22"/>
        </w:rPr>
        <w:t xml:space="preserve">La seconda fonte di dati è l’</w:t>
      </w:r>
      <w:r>
        <w:rPr>
          <w:rFonts w:ascii="Cambria" w:cs="Cambria" w:eastAsia="Cambria" w:hAnsi="Cambria"/>
          <w:b/>
          <w:bCs/>
          <w:sz w:val="22"/>
          <w:szCs w:val="22"/>
        </w:rPr>
        <w:t xml:space="preserve">U.S. Energy Information Administration (EIA)</w:t>
      </w:r>
      <w:r>
        <w:rPr>
          <w:rFonts w:ascii="Cambria" w:cs="Cambria" w:eastAsia="Cambria" w:hAnsi="Cambria"/>
          <w:sz w:val="22"/>
          <w:szCs w:val="22"/>
        </w:rPr>
        <w:t xml:space="preserve">, l’agenzia federale statunitense responsabile della raccolta e pubblicazione di dati energetici. Attraverso la sua API pubblica (v2), abbiamo estratto i dati orari di generazione elettrica per la regione ISNE (ISO New England), disaggregati per tipo di combustibile.</w:t>
      </w:r>
    </w:p>
    <w:p>
      <w:pPr>
        <w:spacing w:after="160" w:line="312"/>
        <w:jc w:val="both"/>
      </w:pPr>
      <w:r>
        <w:rPr>
          <w:rFonts w:ascii="Cambria" w:cs="Cambria" w:eastAsia="Cambria" w:hAnsi="Cambria"/>
          <w:sz w:val="22"/>
          <w:szCs w:val="22"/>
        </w:rPr>
        <w:t xml:space="preserve">I dati EIA riportano, per ogni ora, la potenza generata in MW da ciascuna fonte: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9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Fuel Type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Descrizione</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Ruolo in ISO-NE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Coal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Generazione da centrali a carbone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Marginale in ISNE (&lt;0.3%)</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Hydro</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Idroelettrico convenzionale</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~7% del mix, variabile stagionalmente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Natural Gas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Turbine a gas (CCGT + 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Fonte dominante (~55%)</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Nuclear</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Centrali nucleari (baseload)</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~27%, Millstone + Seabrook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Oil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Generazione da olio combustibile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Peaker, attivo nei picchi di prezzo</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Other</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Biomassa, geotermico, storage, ecc.</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~5%, categoria residuale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Solar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Fotovoltaico (utility-scale)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Crescente, ~1% medio, zero notturno</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Wind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Eolico (onshore + offshore)</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~4%, variabile meteorologicamente</w:t>
            </w:r>
          </w:p>
        </w:tc>
      </w:tr>
    </w:tbl>
    <w:p>
      <w:pPr>
        <w:spacing w:after="160"/>
      </w:pPr>
    </w:p>
    <w:p>
      <w:pPr>
        <w:spacing w:after="160" w:line="312"/>
        <w:jc w:val="both"/>
      </w:pPr>
      <w:r>
        <w:rPr>
          <w:rFonts w:ascii="Cambria" w:cs="Cambria" w:eastAsia="Cambria" w:hAnsi="Cambria"/>
          <w:sz w:val="22"/>
          <w:szCs w:val="22"/>
        </w:rPr>
        <w:t xml:space="preserve">I dati EIA sono etichettati con convenzione </w:t>
      </w:r>
      <w:r>
        <w:rPr>
          <w:rFonts w:ascii="Cambria" w:cs="Cambria" w:eastAsia="Cambria" w:hAnsi="Cambria"/>
          <w:i/>
          <w:iCs/>
          <w:sz w:val="22"/>
          <w:szCs w:val="22"/>
        </w:rPr>
        <w:t xml:space="preserve">hour-ending UTC</w:t>
      </w:r>
      <w:r>
        <w:rPr>
          <w:rFonts w:ascii="Cambria" w:cs="Cambria" w:eastAsia="Cambria" w:hAnsi="Cambria"/>
          <w:sz w:val="22"/>
          <w:szCs w:val="22"/>
        </w:rPr>
        <w:t xml:space="preserve">: il valore con timestamp “2021-01-01T01” si riferisce alla generazione nell’intervallo 00:00–01:00 UTC. Poiché i dati LMP sono in Eastern Time (UTC-5 in inverno, UTC-4 con DST), abbiamo applicato una doppia conversione: (1) conversione UTC → ET dei timestamp EIA, e (2) shift di −1h per passare da hour-ending a hour-beginning, allineandoci con la convenzione LMP.</w:t>
      </w:r>
    </w:p>
    <w:p>
      <w:pPr>
        <w:spacing w:after="160" w:line="312"/>
        <w:jc w:val="both"/>
      </w:pPr>
      <w:r>
        <w:rPr>
          <w:rFonts w:ascii="Cambria" w:cs="Cambria" w:eastAsia="Cambria" w:hAnsi="Cambria"/>
          <w:sz w:val="22"/>
          <w:szCs w:val="22"/>
        </w:rPr>
        <w:t xml:space="preserve">Oltre ai valori assoluti in MW, abbiamo calcolato il </w:t>
      </w:r>
      <w:r>
        <w:rPr>
          <w:rFonts w:ascii="Cambria" w:cs="Cambria" w:eastAsia="Cambria" w:hAnsi="Cambria"/>
          <w:b/>
          <w:bCs/>
          <w:sz w:val="22"/>
          <w:szCs w:val="22"/>
        </w:rPr>
        <w:t xml:space="preserve">total_mw</w:t>
      </w:r>
      <w:r>
        <w:rPr>
          <w:rFonts w:ascii="Cambria" w:cs="Cambria" w:eastAsia="Cambria" w:hAnsi="Cambria"/>
          <w:sz w:val="22"/>
          <w:szCs w:val="22"/>
        </w:rPr>
        <w:t xml:space="preserve"> (somma di tutte le fonti per ogni ora) e le </w:t>
      </w:r>
      <w:r>
        <w:rPr>
          <w:rFonts w:ascii="Cambria" w:cs="Cambria" w:eastAsia="Cambria" w:hAnsi="Cambria"/>
          <w:b/>
          <w:bCs/>
          <w:sz w:val="22"/>
          <w:szCs w:val="22"/>
        </w:rPr>
        <w:t xml:space="preserve">fuel shares</w:t>
      </w:r>
      <w:r>
        <w:rPr>
          <w:rFonts w:ascii="Cambria" w:cs="Cambria" w:eastAsia="Cambria" w:hAnsi="Cambria"/>
          <w:sz w:val="22"/>
          <w:szCs w:val="22"/>
        </w:rPr>
        <w:t xml:space="preserve">, ovvero la quota percentuale di ciascuna fonte sul totale: </w:t>
      </w:r>
      <w:r>
        <w:rPr>
          <w:rFonts w:ascii="Cambria" w:cs="Cambria" w:eastAsia="Cambria" w:hAnsi="Cambria"/>
          <w:i/>
          <w:iCs/>
          <w:sz w:val="22"/>
          <w:szCs w:val="22"/>
        </w:rPr>
        <w:t xml:space="preserve">share_i = MW_i / total_mw</w:t>
      </w:r>
      <w:r>
        <w:rPr>
          <w:rFonts w:ascii="Cambria" w:cs="Cambria" w:eastAsia="Cambria" w:hAnsi="Cambria"/>
          <w:sz w:val="22"/>
          <w:szCs w:val="22"/>
        </w:rPr>
        <w:t xml:space="preserve">. Le fuel shares sommano a 1 per costruzione e rappresentano la </w:t>
      </w:r>
      <w:r>
        <w:rPr>
          <w:rFonts w:ascii="Cambria" w:cs="Cambria" w:eastAsia="Cambria" w:hAnsi="Cambria"/>
          <w:i/>
          <w:iCs/>
          <w:sz w:val="22"/>
          <w:szCs w:val="22"/>
        </w:rPr>
        <w:t xml:space="preserve">composizione</w:t>
      </w:r>
      <w:r>
        <w:rPr>
          <w:rFonts w:ascii="Cambria" w:cs="Cambria" w:eastAsia="Cambria" w:hAnsi="Cambria"/>
          <w:sz w:val="22"/>
          <w:szCs w:val="22"/>
        </w:rPr>
        <w:t xml:space="preserve"> del mix di generazione.</w:t>
      </w:r>
    </w:p>
    <w:p>
      <w:pPr>
        <w:pBdr>
          <w:bottom w:val="single" w:color="2E75B6" w:sz="4" w:space="4"/>
        </w:pBdr>
        <w:spacing w:after="200" w:before="360"/>
      </w:pPr>
      <w:r>
        <w:rPr>
          <w:rFonts w:ascii="Calibri" w:cs="Calibri" w:eastAsia="Calibri" w:hAnsi="Calibri"/>
          <w:b/>
          <w:bCs/>
          <w:color w:val="1B3A5C"/>
          <w:sz w:val="28"/>
          <w:szCs w:val="28"/>
        </w:rPr>
        <w:t xml:space="preserve">2. Data Merge</w:t>
      </w:r>
    </w:p>
    <w:p>
      <w:pPr>
        <w:spacing w:after="160" w:before="280"/>
      </w:pPr>
      <w:r>
        <w:rPr>
          <w:rFonts w:ascii="Calibri" w:cs="Calibri" w:eastAsia="Calibri" w:hAnsi="Calibri"/>
          <w:b/>
          <w:bCs/>
          <w:color w:val="2E75B6"/>
          <w:sz w:val="24"/>
          <w:szCs w:val="24"/>
        </w:rPr>
        <w:t xml:space="preserve">2.1 Strategia di Join</w:t>
      </w:r>
    </w:p>
    <w:p>
      <w:pPr>
        <w:spacing w:after="160" w:line="312"/>
        <w:jc w:val="both"/>
      </w:pPr>
      <w:r>
        <w:rPr>
          <w:rFonts w:ascii="Cambria" w:cs="Cambria" w:eastAsia="Cambria" w:hAnsi="Cambria"/>
          <w:sz w:val="22"/>
          <w:szCs w:val="22"/>
        </w:rPr>
        <w:t xml:space="preserve">I due dataset sono stati uniti tramite un’operazione di </w:t>
      </w:r>
      <w:r>
        <w:rPr>
          <w:rFonts w:ascii="Cambria" w:cs="Cambria" w:eastAsia="Cambria" w:hAnsi="Cambria"/>
          <w:b/>
          <w:bCs/>
          <w:sz w:val="22"/>
          <w:szCs w:val="22"/>
        </w:rPr>
        <w:t xml:space="preserve">inner join</w:t>
      </w:r>
      <w:r>
        <w:rPr>
          <w:rFonts w:ascii="Cambria" w:cs="Cambria" w:eastAsia="Cambria" w:hAnsi="Cambria"/>
          <w:sz w:val="22"/>
          <w:szCs w:val="22"/>
        </w:rPr>
        <w:t xml:space="preserve"> sulla colonna </w:t>
      </w:r>
      <w:r>
        <w:rPr>
          <w:rFonts w:ascii="Cambria" w:cs="Cambria" w:eastAsia="Cambria" w:hAnsi="Cambria"/>
          <w:i/>
          <w:iCs/>
          <w:sz w:val="22"/>
          <w:szCs w:val="22"/>
        </w:rPr>
        <w:t xml:space="preserve">datetime</w:t>
      </w:r>
      <w:r>
        <w:rPr>
          <w:rFonts w:ascii="Cambria" w:cs="Cambria" w:eastAsia="Cambria" w:hAnsi="Cambria"/>
          <w:sz w:val="22"/>
          <w:szCs w:val="22"/>
        </w:rPr>
        <w:t xml:space="preserve"> (hour-beginning, Eastern Time). L’inner join preserva solo le ore presenti in entrambe le fonti, scartando le osservazioni orfane.</w:t>
      </w:r>
    </w:p>
    <w:p>
      <w:pPr>
        <w:spacing w:after="160" w:line="312"/>
        <w:jc w:val="both"/>
      </w:pPr>
      <w:r>
        <w:rPr>
          <w:rFonts w:ascii="Cambria" w:cs="Cambria" w:eastAsia="Cambria" w:hAnsi="Cambria"/>
          <w:sz w:val="22"/>
          <w:szCs w:val="22"/>
        </w:rPr>
        <w:t xml:space="preserve">Il dataset LMP contiene 43.920 osservazioni (copertura teorica completa), mentre il dataset EIA ne contiene 43.915 (5 ore mancanti per downtime del sistema di reporting). Dopo la join, il dataset risultante contiene </w:t>
      </w:r>
      <w:r>
        <w:rPr>
          <w:rFonts w:ascii="Cambria" w:cs="Cambria" w:eastAsia="Cambria" w:hAnsi="Cambria"/>
          <w:b/>
          <w:bCs/>
          <w:sz w:val="22"/>
          <w:szCs w:val="22"/>
        </w:rPr>
        <w:t xml:space="preserve">43.795 osservazioni</w:t>
      </w:r>
      <w:r>
        <w:rPr>
          <w:rFonts w:ascii="Cambria" w:cs="Cambria" w:eastAsia="Cambria" w:hAnsi="Cambria"/>
          <w:sz w:val="22"/>
          <w:szCs w:val="22"/>
        </w:rPr>
        <w:t xml:space="preserve"> × 22 colonne (1 datetime + 4 LMP components + 8 MW assoluti + 1 total_mw + 8 fuel shares).</w:t>
      </w:r>
    </w:p>
    <w:p>
      <w:pPr>
        <w:spacing w:after="160" w:line="312"/>
        <w:jc w:val="both"/>
      </w:pPr>
      <w:r>
        <w:rPr>
          <w:rFonts w:ascii="Cambria" w:cs="Cambria" w:eastAsia="Cambria" w:hAnsi="Cambria"/>
          <w:sz w:val="22"/>
          <w:szCs w:val="22"/>
        </w:rPr>
        <w:t xml:space="preserve">Le </w:t>
      </w:r>
      <w:r>
        <w:rPr>
          <w:rFonts w:ascii="Cambria" w:cs="Cambria" w:eastAsia="Cambria" w:hAnsi="Cambria"/>
          <w:b/>
          <w:bCs/>
          <w:sz w:val="22"/>
          <w:szCs w:val="22"/>
        </w:rPr>
        <w:t xml:space="preserve">125 osservazioni perse</w:t>
      </w:r>
      <w:r>
        <w:rPr>
          <w:rFonts w:ascii="Cambria" w:cs="Cambria" w:eastAsia="Cambria" w:hAnsi="Cambria"/>
          <w:sz w:val="22"/>
          <w:szCs w:val="22"/>
        </w:rPr>
        <w:t xml:space="preserve"> (0.28% del totale) corrispondono a ore in cui una delle due fonti non ha riportato dati, tipicamente durante periodi di manutenzione dei sistemi di reporting ISO-NE o EIA. Questa perdita è trascurabile e non introduce bias sistematici.</w:t>
      </w:r>
    </w:p>
    <w:p>
      <w:pPr>
        <w:spacing w:after="160" w:before="280"/>
      </w:pPr>
      <w:r>
        <w:rPr>
          <w:rFonts w:ascii="Calibri" w:cs="Calibri" w:eastAsia="Calibri" w:hAnsi="Calibri"/>
          <w:b/>
          <w:bCs/>
          <w:color w:val="2E75B6"/>
          <w:sz w:val="24"/>
          <w:szCs w:val="24"/>
        </w:rPr>
        <w:t xml:space="preserve">2.2 Validazione Post-Merge</w:t>
      </w:r>
    </w:p>
    <w:p>
      <w:pPr>
        <w:spacing w:after="160" w:line="312"/>
        <w:jc w:val="both"/>
      </w:pPr>
      <w:r>
        <w:rPr>
          <w:rFonts w:ascii="Cambria" w:cs="Cambria" w:eastAsia="Cambria" w:hAnsi="Cambria"/>
          <w:sz w:val="22"/>
          <w:szCs w:val="22"/>
        </w:rPr>
        <w:t xml:space="preserve">Dopo la join abbiamo eseguito tre controlli di integrità:</w:t>
      </w:r>
    </w:p>
    <w:p>
      <w:pPr>
        <w:spacing w:after="160" w:line="312"/>
        <w:jc w:val="both"/>
      </w:pPr>
      <w:r>
        <w:rPr>
          <w:rFonts w:ascii="Cambria" w:cs="Cambria" w:eastAsia="Cambria" w:hAnsi="Cambria"/>
          <w:b/>
          <w:bCs/>
          <w:sz w:val="22"/>
          <w:szCs w:val="22"/>
        </w:rPr>
        <w:t xml:space="preserve">Continuità temporale: </w:t>
      </w:r>
      <w:r>
        <w:rPr>
          <w:rFonts w:ascii="Cambria" w:cs="Cambria" w:eastAsia="Cambria" w:hAnsi="Cambria"/>
          <w:sz w:val="22"/>
          <w:szCs w:val="22"/>
        </w:rPr>
        <w:t xml:space="preserve">verificato che la differenza tra timestamp consecutivi sia esattamente 1 ora (eccetto le 125 ore mancanti, che generano gap di 2+ ore). Non sono presenti duplicati.</w:t>
      </w:r>
    </w:p>
    <w:p>
      <w:pPr>
        <w:spacing w:after="160" w:line="312"/>
        <w:jc w:val="both"/>
      </w:pPr>
      <w:r>
        <w:rPr>
          <w:rFonts w:ascii="Cambria" w:cs="Cambria" w:eastAsia="Cambria" w:hAnsi="Cambria"/>
          <w:b/>
          <w:bCs/>
          <w:sz w:val="22"/>
          <w:szCs w:val="22"/>
        </w:rPr>
        <w:t xml:space="preserve">Consistenza LMP: </w:t>
      </w:r>
      <w:r>
        <w:rPr>
          <w:rFonts w:ascii="Cambria" w:cs="Cambria" w:eastAsia="Cambria" w:hAnsi="Cambria"/>
          <w:sz w:val="22"/>
          <w:szCs w:val="22"/>
        </w:rPr>
        <w:t xml:space="preserve">verificato che LMP = Energy + Congestion + Losses per ogni riga, con tolleranza di arrotondamento ±0.01 $/MWh.</w:t>
      </w:r>
    </w:p>
    <w:p>
      <w:pPr>
        <w:spacing w:after="160" w:line="312"/>
        <w:jc w:val="both"/>
      </w:pPr>
      <w:r>
        <w:rPr>
          <w:rFonts w:ascii="Cambria" w:cs="Cambria" w:eastAsia="Cambria" w:hAnsi="Cambria"/>
          <w:b/>
          <w:bCs/>
          <w:sz w:val="22"/>
          <w:szCs w:val="22"/>
        </w:rPr>
        <w:t xml:space="preserve">Somma fuel shares: </w:t>
      </w:r>
      <w:r>
        <w:rPr>
          <w:rFonts w:ascii="Cambria" w:cs="Cambria" w:eastAsia="Cambria" w:hAnsi="Cambria"/>
          <w:sz w:val="22"/>
          <w:szCs w:val="22"/>
        </w:rPr>
        <w:t xml:space="preserve">verificato che le 8 fuel shares sommino a 1 per ogni riga. Risultato: 37.018 righe (84.6%) hanno somma esattamente 1.000000; le restanti 6.771 righe hanno somma nell’intervallo [0.99, 1.01], attribuibile ad arrotondamenti nel sistema EIA. Sono state identificate </w:t>
      </w:r>
      <w:r>
        <w:rPr>
          <w:rFonts w:ascii="Cambria" w:cs="Cambria" w:eastAsia="Cambria" w:hAnsi="Cambria"/>
          <w:b/>
          <w:bCs/>
          <w:sz w:val="22"/>
          <w:szCs w:val="22"/>
        </w:rPr>
        <w:t xml:space="preserve">6 righe con fuel shares completamente NaN</w:t>
      </w:r>
      <w:r>
        <w:rPr>
          <w:rFonts w:ascii="Cambria" w:cs="Cambria" w:eastAsia="Cambria" w:hAnsi="Cambria"/>
          <w:sz w:val="22"/>
          <w:szCs w:val="22"/>
        </w:rPr>
        <w:t xml:space="preserve"> (3 il 27/06/2024, 1 il 28/02/2025, 1 il 25/06/2025, 1 il 04/11/2025), corrispondenti a ore in cui EIA non ha pubblicato dati di generazione per la regione ISNE. Queste righe sono state escluse dal dataset finale, portando il conteggio a </w:t>
      </w:r>
      <w:r>
        <w:rPr>
          <w:rFonts w:ascii="Cambria" w:cs="Cambria" w:eastAsia="Cambria" w:hAnsi="Cambria"/>
          <w:b/>
          <w:bCs/>
          <w:sz w:val="22"/>
          <w:szCs w:val="22"/>
        </w:rPr>
        <w:t xml:space="preserve">43.789 osservazioni valide</w:t>
      </w:r>
      <w:r>
        <w:rPr>
          <w:rFonts w:ascii="Cambria" w:cs="Cambria" w:eastAsia="Cambria" w:hAnsi="Cambria"/>
          <w:sz w:val="22"/>
          <w:szCs w:val="22"/>
        </w:rPr>
        <w:t xml:space="preserve">.</w:t>
      </w:r>
    </w:p>
    <w:p>
      <w:pPr>
        <w:pBdr>
          <w:bottom w:val="single" w:color="2E75B6" w:sz="4" w:space="4"/>
        </w:pBdr>
        <w:spacing w:after="200" w:before="360"/>
      </w:pPr>
      <w:r>
        <w:rPr>
          <w:rFonts w:ascii="Calibri" w:cs="Calibri" w:eastAsia="Calibri" w:hAnsi="Calibri"/>
          <w:b/>
          <w:bCs/>
          <w:color w:val="1B3A5C"/>
          <w:sz w:val="28"/>
          <w:szCs w:val="28"/>
        </w:rPr>
        <w:t xml:space="preserve">3. Isometric Log-Ratio (ILR) Transform</w:t>
      </w:r>
    </w:p>
    <w:p>
      <w:pPr>
        <w:spacing w:after="160" w:before="280"/>
      </w:pPr>
      <w:r>
        <w:rPr>
          <w:rFonts w:ascii="Calibri" w:cs="Calibri" w:eastAsia="Calibri" w:hAnsi="Calibri"/>
          <w:b/>
          <w:bCs/>
          <w:color w:val="2E75B6"/>
          <w:sz w:val="24"/>
          <w:szCs w:val="24"/>
        </w:rPr>
        <w:t xml:space="preserve">3.1 Il Problema: Compositional Data</w:t>
      </w:r>
    </w:p>
    <w:p>
      <w:pPr>
        <w:spacing w:after="160" w:line="312"/>
        <w:jc w:val="both"/>
      </w:pPr>
      <w:r>
        <w:rPr>
          <w:rFonts w:ascii="Cambria" w:cs="Cambria" w:eastAsia="Cambria" w:hAnsi="Cambria"/>
          <w:sz w:val="22"/>
          <w:szCs w:val="22"/>
        </w:rPr>
        <w:t xml:space="preserve">Le fuel shares sono un esempio classico di </w:t>
      </w:r>
      <w:r>
        <w:rPr>
          <w:rFonts w:ascii="Cambria" w:cs="Cambria" w:eastAsia="Cambria" w:hAnsi="Cambria"/>
          <w:b/>
          <w:bCs/>
          <w:sz w:val="22"/>
          <w:szCs w:val="22"/>
        </w:rPr>
        <w:t xml:space="preserve">dati composizionali</w:t>
      </w:r>
      <w:r>
        <w:rPr>
          <w:rFonts w:ascii="Cambria" w:cs="Cambria" w:eastAsia="Cambria" w:hAnsi="Cambria"/>
          <w:sz w:val="22"/>
          <w:szCs w:val="22"/>
        </w:rPr>
        <w:t xml:space="preserve"> (compositional data): un vettore di D componenti non negative che sommano a una costante (nel nostro caso 1, ovvero il 100% della generazione). Questo vincolo di chiusura (Σ share_i = 1) ha conseguenze profonde sull’analisi statistica, che elenchiamo di seguito.</w:t>
      </w:r>
    </w:p>
    <w:p>
      <w:pPr>
        <w:spacing w:after="120" w:before="200"/>
      </w:pPr>
      <w:r>
        <w:rPr>
          <w:rFonts w:ascii="Calibri" w:cs="Calibri" w:eastAsia="Calibri" w:hAnsi="Calibri"/>
          <w:b/>
          <w:bCs/>
          <w:i/>
          <w:iCs/>
          <w:color w:val="333333"/>
          <w:sz w:val="22"/>
          <w:szCs w:val="22"/>
        </w:rPr>
        <w:t xml:space="preserve">3.1.1 Gradi di libertà ridotti</w:t>
      </w:r>
    </w:p>
    <w:p>
      <w:pPr>
        <w:spacing w:after="160" w:line="312"/>
        <w:jc w:val="both"/>
      </w:pPr>
      <w:r>
        <w:rPr>
          <w:rFonts w:ascii="Cambria" w:cs="Cambria" w:eastAsia="Cambria" w:hAnsi="Cambria"/>
          <w:sz w:val="22"/>
          <w:szCs w:val="22"/>
        </w:rPr>
        <w:t xml:space="preserve">Se abbiamo D = 8 fuel shares che sommano a 1, conoscere 7 di esse determina univocamente l’ottava. I dati hanno quindi D−1 = 7 gradi di libertà effettivi, non 8. In termini geometrici, i punti non occupano tutto lo spazio ℝ⁸, ma giacciono su una superficie (D−1)-dimensionale detta </w:t>
      </w:r>
      <w:r>
        <w:rPr>
          <w:rFonts w:ascii="Cambria" w:cs="Cambria" w:eastAsia="Cambria" w:hAnsi="Cambria"/>
          <w:b/>
          <w:bCs/>
          <w:sz w:val="22"/>
          <w:szCs w:val="22"/>
        </w:rPr>
        <w:t xml:space="preserve">simplesso</w:t>
      </w:r>
      <w:r>
        <w:rPr>
          <w:rFonts w:ascii="Cambria" w:cs="Cambria" w:eastAsia="Cambria" w:hAnsi="Cambria"/>
          <w:sz w:val="22"/>
          <w:szCs w:val="22"/>
        </w:rPr>
        <w:t xml:space="preserve"> (indicato con Sᴰ). Il simplesso è un sottospazio di dimensione 7 immerso in ℝ⁸.</w:t>
      </w:r>
    </w:p>
    <w:p>
      <w:pPr>
        <w:spacing w:after="120" w:before="200"/>
      </w:pPr>
      <w:r>
        <w:rPr>
          <w:rFonts w:ascii="Calibri" w:cs="Calibri" w:eastAsia="Calibri" w:hAnsi="Calibri"/>
          <w:b/>
          <w:bCs/>
          <w:i/>
          <w:iCs/>
          <w:color w:val="333333"/>
          <w:sz w:val="22"/>
          <w:szCs w:val="22"/>
        </w:rPr>
        <w:t xml:space="preserve">3.1.2 Correlazioni spurie</w:t>
      </w:r>
    </w:p>
    <w:p>
      <w:pPr>
        <w:spacing w:after="160" w:line="312"/>
        <w:jc w:val="both"/>
      </w:pPr>
      <w:r>
        <w:rPr>
          <w:rFonts w:ascii="Cambria" w:cs="Cambria" w:eastAsia="Cambria" w:hAnsi="Cambria"/>
          <w:sz w:val="22"/>
          <w:szCs w:val="22"/>
        </w:rPr>
        <w:t xml:space="preserve">Il vincolo di chiusura induce correlazioni negative artificiali tra le componenti. Se la share del gas aumenta, le altre shares </w:t>
      </w:r>
      <w:r>
        <w:rPr>
          <w:rFonts w:ascii="Cambria" w:cs="Cambria" w:eastAsia="Cambria" w:hAnsi="Cambria"/>
          <w:i/>
          <w:iCs/>
          <w:sz w:val="22"/>
          <w:szCs w:val="22"/>
        </w:rPr>
        <w:t xml:space="preserve">devono</w:t>
      </w:r>
      <w:r>
        <w:rPr>
          <w:rFonts w:ascii="Cambria" w:cs="Cambria" w:eastAsia="Cambria" w:hAnsi="Cambria"/>
          <w:sz w:val="22"/>
          <w:szCs w:val="22"/>
        </w:rPr>
        <w:t xml:space="preserve"> diminuire per mantenere la somma a 1, indipendentemente da qualsiasi relazione economica o fisica. Nel nostro dataset, la correlazione tra natural_gas_share e nuclear_share è r = −0.796. Una parte sostanziale di questa correlazione è un artefatto del vincolo compositional, non il riflesso di un meccanismo di mercato. Utilizzare queste correlazioni spurie come input per algoritmi di clustering o riduzione dimensionale significa costruire struttura su fondamenta false.</w:t>
      </w:r>
    </w:p>
    <w:p>
      <w:pPr>
        <w:spacing w:after="120" w:before="200"/>
      </w:pPr>
      <w:r>
        <w:rPr>
          <w:rFonts w:ascii="Calibri" w:cs="Calibri" w:eastAsia="Calibri" w:hAnsi="Calibri"/>
          <w:b/>
          <w:bCs/>
          <w:i/>
          <w:iCs/>
          <w:color w:val="333333"/>
          <w:sz w:val="22"/>
          <w:szCs w:val="22"/>
        </w:rPr>
        <w:t xml:space="preserve">3.1.3 Distanze euclidee distorte</w:t>
      </w:r>
    </w:p>
    <w:p>
      <w:pPr>
        <w:spacing w:after="160" w:line="312"/>
        <w:jc w:val="both"/>
      </w:pPr>
      <w:r>
        <w:rPr>
          <w:rFonts w:ascii="Cambria" w:cs="Cambria" w:eastAsia="Cambria" w:hAnsi="Cambria"/>
          <w:sz w:val="22"/>
          <w:szCs w:val="22"/>
        </w:rPr>
        <w:t xml:space="preserve">Gli algoritmi come UMAP e HDBSCAN calcolano distanze tra osservazioni nello spazio delle feature. La distanza euclidea standard, però, non è una metrica appropriata sul simplesso. Per illustrare il problema: consideriamo l’osservazione A con gas=1% e nucleare=99%, e l’osservazione B con gas=2% e nucleare=98%. La distanza euclidea è circa 0.014 (molto piccola). Ma in termini di composizione, la share del gas è raddoppiata da A a B — un cambiamento del 100% in termini relativi. Un algoritmo basato su distanze euclidee tratterebbe A e B come quasi identiche, perdendo informazione critica nelle code della distribuzione dove spesso si annidano i regimi estremi.</w:t>
      </w:r>
    </w:p>
    <w:p>
      <w:pPr>
        <w:spacing w:after="120" w:before="200"/>
      </w:pPr>
      <w:r>
        <w:rPr>
          <w:rFonts w:ascii="Calibri" w:cs="Calibri" w:eastAsia="Calibri" w:hAnsi="Calibri"/>
          <w:b/>
          <w:bCs/>
          <w:i/>
          <w:iCs/>
          <w:color w:val="333333"/>
          <w:sz w:val="22"/>
          <w:szCs w:val="22"/>
        </w:rPr>
        <w:t xml:space="preserve">3.1.4 Subcomposizioni incoerenti</w:t>
      </w:r>
    </w:p>
    <w:p>
      <w:pPr>
        <w:spacing w:after="160" w:line="312"/>
        <w:jc w:val="both"/>
      </w:pPr>
      <w:r>
        <w:rPr>
          <w:rFonts w:ascii="Cambria" w:cs="Cambria" w:eastAsia="Cambria" w:hAnsi="Cambria"/>
          <w:sz w:val="22"/>
          <w:szCs w:val="22"/>
        </w:rPr>
        <w:t xml:space="preserve">Se analizziamo solo un sottoinsieme delle fuel shares (ad esempio solo fossili: coal, gas, oil), i risultati statistici cambiano rispetto all’analisi dell’intero vettore. Questo viola il principio di </w:t>
      </w:r>
      <w:r>
        <w:rPr>
          <w:rFonts w:ascii="Cambria" w:cs="Cambria" w:eastAsia="Cambria" w:hAnsi="Cambria"/>
          <w:b/>
          <w:bCs/>
          <w:sz w:val="22"/>
          <w:szCs w:val="22"/>
        </w:rPr>
        <w:t xml:space="preserve">subcompositional coherence</w:t>
      </w:r>
      <w:r>
        <w:rPr>
          <w:rFonts w:ascii="Cambria" w:cs="Cambria" w:eastAsia="Cambria" w:hAnsi="Cambria"/>
          <w:sz w:val="22"/>
          <w:szCs w:val="22"/>
        </w:rPr>
        <w:t xml:space="preserve">: in uno spazio euclideo standard, aggiungere o rimuovere variabili non altera le relazioni tra le variabili esistenti. Sul simplesso, invece, sì, perché la chiusura a 1 ridistribuisce le quote.</w:t>
      </w:r>
    </w:p>
    <w:p>
      <w:pPr>
        <w:spacing w:after="160" w:before="280"/>
      </w:pPr>
      <w:r>
        <w:rPr>
          <w:rFonts w:ascii="Calibri" w:cs="Calibri" w:eastAsia="Calibri" w:hAnsi="Calibri"/>
          <w:b/>
          <w:bCs/>
          <w:color w:val="2E75B6"/>
          <w:sz w:val="24"/>
          <w:szCs w:val="24"/>
        </w:rPr>
        <w:t xml:space="preserve">3.2 La Soluzione: Trasformazione Log-Ratio</w:t>
      </w:r>
    </w:p>
    <w:p>
      <w:pPr>
        <w:spacing w:after="160" w:line="312"/>
        <w:jc w:val="both"/>
      </w:pPr>
      <w:r>
        <w:rPr>
          <w:rFonts w:ascii="Cambria" w:cs="Cambria" w:eastAsia="Cambria" w:hAnsi="Cambria"/>
          <w:sz w:val="22"/>
          <w:szCs w:val="22"/>
        </w:rPr>
        <w:t xml:space="preserve">La soluzione standard nella letteratura di compositional data analysis (CoDa), introdotta da John Aitchison nel 1982 e consolidata nel suo testo fondamentale del 1986, consiste nel </w:t>
      </w:r>
      <w:r>
        <w:rPr>
          <w:rFonts w:ascii="Cambria" w:cs="Cambria" w:eastAsia="Cambria" w:hAnsi="Cambria"/>
          <w:b/>
          <w:bCs/>
          <w:sz w:val="22"/>
          <w:szCs w:val="22"/>
        </w:rPr>
        <w:t xml:space="preserve">trasformare le composizioni dallo spazio del simplesso a uno spazio euclideo</w:t>
      </w:r>
      <w:r>
        <w:rPr>
          <w:rFonts w:ascii="Cambria" w:cs="Cambria" w:eastAsia="Cambria" w:hAnsi="Cambria"/>
          <w:sz w:val="22"/>
          <w:szCs w:val="22"/>
        </w:rPr>
        <w:t xml:space="preserve"> dove le operazioni statistiche standard sono valide. La famiglia di trasformazioni log-ratio comprende tre varianti principali:</w:t>
      </w:r>
    </w:p>
    <w:p>
      <w:pPr>
        <w:spacing w:after="160" w:line="312"/>
        <w:jc w:val="both"/>
      </w:pPr>
      <w:r>
        <w:rPr>
          <w:rFonts w:ascii="Cambria" w:cs="Cambria" w:eastAsia="Cambria" w:hAnsi="Cambria"/>
          <w:b/>
          <w:bCs/>
          <w:sz w:val="22"/>
          <w:szCs w:val="22"/>
        </w:rPr>
        <w:t xml:space="preserve">ALR (Additive Log-Ratio): </w:t>
      </w:r>
      <w:r>
        <w:rPr>
          <w:rFonts w:ascii="Cambria" w:cs="Cambria" w:eastAsia="Cambria" w:hAnsi="Cambria"/>
          <w:sz w:val="22"/>
          <w:szCs w:val="22"/>
        </w:rPr>
        <w:t xml:space="preserve">il log-rapporto di ciascuna componente rispetto a una componente di riferimento scelta arbitrariamente. Semplice da calcolare, ma </w:t>
      </w:r>
      <w:r>
        <w:rPr>
          <w:rFonts w:ascii="Cambria" w:cs="Cambria" w:eastAsia="Cambria" w:hAnsi="Cambria"/>
          <w:i/>
          <w:iCs/>
          <w:sz w:val="22"/>
          <w:szCs w:val="22"/>
        </w:rPr>
        <w:t xml:space="preserve">non isometrica</w:t>
      </w:r>
      <w:r>
        <w:rPr>
          <w:rFonts w:ascii="Cambria" w:cs="Cambria" w:eastAsia="Cambria" w:hAnsi="Cambria"/>
          <w:sz w:val="22"/>
          <w:szCs w:val="22"/>
        </w:rPr>
        <w:t xml:space="preserve">: le distanze nello spazio ALR non corrispondono alle distanze di Aitchison sul simplesso. Inoltre, la scelta del denominatore influenza i risultati. Questo la rende inadatta per input in algoritmi basati su distanze come UMAP.</w:t>
      </w:r>
    </w:p>
    <w:p>
      <w:pPr>
        <w:spacing w:after="160" w:line="312"/>
        <w:jc w:val="both"/>
      </w:pPr>
      <w:r>
        <w:rPr>
          <w:rFonts w:ascii="Cambria" w:cs="Cambria" w:eastAsia="Cambria" w:hAnsi="Cambria"/>
          <w:b/>
          <w:bCs/>
          <w:sz w:val="22"/>
          <w:szCs w:val="22"/>
        </w:rPr>
        <w:t xml:space="preserve">CLR (Centred Log-Ratio): </w:t>
      </w:r>
      <w:r>
        <w:rPr>
          <w:rFonts w:ascii="Cambria" w:cs="Cambria" w:eastAsia="Cambria" w:hAnsi="Cambria"/>
          <w:sz w:val="22"/>
          <w:szCs w:val="22"/>
        </w:rPr>
        <w:t xml:space="preserve">il log-rapporto di ciascuna componente rispetto alla media geometrica dell’intera composizione. Isometrica e simmetrica (nessuna componente è privilegiata), ma produce D coordinate per D componenti, ovvero un vettore che vive in un sottospazio D−1-dimensionale di ℝᴰ. In pratica, la matrice di covarianza CLR è singolare (ha un autovalore nullo) perché le D coordinate non sono indipendenti. Questo può causare problemi numerici in algoritmi che invertono matrici di covarianza.</w:t>
      </w:r>
    </w:p>
    <w:p>
      <w:pPr>
        <w:spacing w:after="160" w:line="312"/>
        <w:jc w:val="both"/>
      </w:pPr>
      <w:r>
        <w:rPr>
          <w:rFonts w:ascii="Cambria" w:cs="Cambria" w:eastAsia="Cambria" w:hAnsi="Cambria"/>
          <w:b/>
          <w:bCs/>
          <w:sz w:val="22"/>
          <w:szCs w:val="22"/>
        </w:rPr>
        <w:t xml:space="preserve">ILR (Isometric Log-Ratio): </w:t>
      </w:r>
      <w:r>
        <w:rPr>
          <w:rFonts w:ascii="Cambria" w:cs="Cambria" w:eastAsia="Cambria" w:hAnsi="Cambria"/>
          <w:sz w:val="22"/>
          <w:szCs w:val="22"/>
        </w:rPr>
        <w:t xml:space="preserve">proietta le D componenti del simplesso in D−1 coordinate in ℝᴰ⁻¹. È isometrica (preserva le distanze di Aitchison), le coordinate sono linearmente indipendenti, e la matrice di covarianza è a rango pieno. È la trasformazione raccomandata quando i dati trasformati servono come input per algoritmi che assumono uno spazio euclideo — esattamente il nostro caso.</w:t>
      </w:r>
    </w:p>
    <w:p>
      <w:pPr>
        <w:spacing w:after="160" w:line="312"/>
        <w:jc w:val="both"/>
      </w:pPr>
      <w:r>
        <w:rPr>
          <w:rFonts w:ascii="Cambria" w:cs="Cambria" w:eastAsia="Cambria" w:hAnsi="Cambria"/>
          <w:sz w:val="22"/>
          <w:szCs w:val="22"/>
        </w:rPr>
        <w:t xml:space="preserve">Per queste ragioni, adottiamo la </w:t>
      </w:r>
      <w:r>
        <w:rPr>
          <w:rFonts w:ascii="Cambria" w:cs="Cambria" w:eastAsia="Cambria" w:hAnsi="Cambria"/>
          <w:b/>
          <w:bCs/>
          <w:sz w:val="22"/>
          <w:szCs w:val="22"/>
        </w:rPr>
        <w:t xml:space="preserve">ILR transform</w:t>
      </w:r>
      <w:r>
        <w:rPr>
          <w:rFonts w:ascii="Cambria" w:cs="Cambria" w:eastAsia="Cambria" w:hAnsi="Cambria"/>
          <w:sz w:val="22"/>
          <w:szCs w:val="22"/>
        </w:rPr>
        <w:t xml:space="preserve"> come fase di pre-processing delle fuel shares prima del calcolo delle feature per UMAP e HDBSCAN.</w:t>
      </w:r>
    </w:p>
    <w:p>
      <w:pPr>
        <w:spacing w:after="160" w:before="280"/>
      </w:pPr>
      <w:r>
        <w:rPr>
          <w:rFonts w:ascii="Calibri" w:cs="Calibri" w:eastAsia="Calibri" w:hAnsi="Calibri"/>
          <w:b/>
          <w:bCs/>
          <w:color w:val="2E75B6"/>
          <w:sz w:val="24"/>
          <w:szCs w:val="24"/>
        </w:rPr>
        <w:t xml:space="preserve">3.3 Prerequisito: Zero Replacement</w:t>
      </w:r>
    </w:p>
    <w:p>
      <w:pPr>
        <w:spacing w:after="160" w:line="312"/>
        <w:jc w:val="both"/>
      </w:pPr>
      <w:r>
        <w:rPr>
          <w:rFonts w:ascii="Cambria" w:cs="Cambria" w:eastAsia="Cambria" w:hAnsi="Cambria"/>
          <w:sz w:val="22"/>
          <w:szCs w:val="22"/>
        </w:rPr>
        <w:t xml:space="preserve">La ILR utilizza logaritmi, che non sono definiti per valori pari a zero. Nel nostro dataset, diverse fuel shares presentano zeri strutturali:</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9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Variabile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Righe con zero</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Motivo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coal_share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22.602 (51.6%)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Il carbone è quasi dismesso in ISNE</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oil_share</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28.271 (64.6%)</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Olio usato solo come peaker estremo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solar_share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11.351 (25.9%)</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Zero nelle ore notturne (nessuna produzione)</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wind_share</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16 (0.04%)</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Rari momenti di calma totale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nuclear_share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1 (0.002%)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Un singolo outage simultaneo di tutti i reattori</w:t>
            </w:r>
          </w:p>
        </w:tc>
      </w:tr>
    </w:tbl>
    <w:p>
      <w:pPr>
        <w:spacing w:after="160"/>
      </w:pPr>
    </w:p>
    <w:p>
      <w:pPr>
        <w:spacing w:after="160" w:line="312"/>
        <w:jc w:val="both"/>
      </w:pPr>
      <w:r>
        <w:rPr>
          <w:rFonts w:ascii="Cambria" w:cs="Cambria" w:eastAsia="Cambria" w:hAnsi="Cambria"/>
          <w:sz w:val="22"/>
          <w:szCs w:val="22"/>
        </w:rPr>
        <w:t xml:space="preserve">In totale, il 17.8% delle celle nelle fuel shares è pari a zero. Applichiamo la strategia di </w:t>
      </w:r>
      <w:r>
        <w:rPr>
          <w:rFonts w:ascii="Cambria" w:cs="Cambria" w:eastAsia="Cambria" w:hAnsi="Cambria"/>
          <w:b/>
          <w:bCs/>
          <w:sz w:val="22"/>
          <w:szCs w:val="22"/>
        </w:rPr>
        <w:t xml:space="preserve">zero replacement multiplicativo</w:t>
      </w:r>
      <w:r>
        <w:rPr>
          <w:rFonts w:ascii="Cambria" w:cs="Cambria" w:eastAsia="Cambria" w:hAnsi="Cambria"/>
          <w:sz w:val="22"/>
          <w:szCs w:val="22"/>
        </w:rPr>
        <w:t xml:space="preserve"> proposta da Martín-Fernández et al. (2003):</w:t>
      </w:r>
    </w:p>
    <w:p>
      <w:pPr>
        <w:spacing w:after="160" w:line="312"/>
        <w:jc w:val="both"/>
      </w:pPr>
      <w:r>
        <w:rPr>
          <w:rFonts w:ascii="Cambria" w:cs="Cambria" w:eastAsia="Cambria" w:hAnsi="Cambria"/>
          <w:b/>
          <w:bCs/>
          <w:sz w:val="22"/>
          <w:szCs w:val="22"/>
        </w:rPr>
        <w:t xml:space="preserve">Passo 1: </w:t>
      </w:r>
      <w:r>
        <w:rPr>
          <w:rFonts w:ascii="Cambria" w:cs="Cambria" w:eastAsia="Cambria" w:hAnsi="Cambria"/>
          <w:sz w:val="22"/>
          <w:szCs w:val="22"/>
        </w:rPr>
        <w:t xml:space="preserve">Per ogni riga, ogni valore zero viene sostituito con un valore piccolo δ = 0.0001 (corrispondente allo 0.01% del mix). La scelta di δ deve essere sufficientemente piccola da non alterare la struttura delle composizioni non-zero, ma sufficientemente grande da evitare instabilità numeriche nel logaritmo.</w:t>
      </w:r>
    </w:p>
    <w:p>
      <w:pPr>
        <w:spacing w:after="160" w:line="312"/>
        <w:jc w:val="both"/>
      </w:pPr>
      <w:r>
        <w:rPr>
          <w:rFonts w:ascii="Cambria" w:cs="Cambria" w:eastAsia="Cambria" w:hAnsi="Cambria"/>
          <w:b/>
          <w:bCs/>
          <w:sz w:val="22"/>
          <w:szCs w:val="22"/>
        </w:rPr>
        <w:t xml:space="preserve">Passo 2: </w:t>
      </w:r>
      <w:r>
        <w:rPr>
          <w:rFonts w:ascii="Cambria" w:cs="Cambria" w:eastAsia="Cambria" w:hAnsi="Cambria"/>
          <w:sz w:val="22"/>
          <w:szCs w:val="22"/>
        </w:rPr>
        <w:t xml:space="preserve">Dopo la sostituzione, la somma delle share non è più esattamente 1. Si rinormalizza dividendo ciascuna componente per la nuova somma, ripristinando il vincolo di chiusura. L’errore introdotto dalla rinormalizzazione è trascurabile: nel caso peggiore (tutte e 5 le colonne con zeri simultaneamente), la perturbazione massima su una singola share è dell’ordine di 5 × 10⁻⁴.</w:t>
      </w:r>
    </w:p>
    <w:p>
      <w:pPr>
        <w:spacing w:after="160" w:line="312"/>
        <w:jc w:val="both"/>
      </w:pPr>
      <w:r>
        <w:rPr>
          <w:rFonts w:ascii="Cambria" w:cs="Cambria" w:eastAsia="Cambria" w:hAnsi="Cambria"/>
          <w:sz w:val="22"/>
          <w:szCs w:val="22"/>
        </w:rPr>
        <w:t xml:space="preserve">Dopo il zero replacement, tutte le share sono strettamente positive (&gt; 0), condizione necessaria per applicare il logaritmo nella ILR.</w:t>
      </w:r>
    </w:p>
    <w:p>
      <w:pPr>
        <w:spacing w:after="160" w:before="280"/>
      </w:pPr>
      <w:r>
        <w:rPr>
          <w:rFonts w:ascii="Calibri" w:cs="Calibri" w:eastAsia="Calibri" w:hAnsi="Calibri"/>
          <w:b/>
          <w:bCs/>
          <w:color w:val="2E75B6"/>
          <w:sz w:val="24"/>
          <w:szCs w:val="24"/>
        </w:rPr>
        <w:t xml:space="preserve">3.4 La Costruzione della ILR: Sequential Binary Partition</w:t>
      </w:r>
    </w:p>
    <w:p>
      <w:pPr>
        <w:spacing w:after="160" w:line="312"/>
        <w:jc w:val="both"/>
      </w:pPr>
      <w:r>
        <w:rPr>
          <w:rFonts w:ascii="Cambria" w:cs="Cambria" w:eastAsia="Cambria" w:hAnsi="Cambria"/>
          <w:sz w:val="22"/>
          <w:szCs w:val="22"/>
        </w:rPr>
        <w:t xml:space="preserve">La ILR non è una trasformazione unica: per D componenti, esistono infinite basi ILR valide. Ciascuna è definita da una </w:t>
      </w:r>
      <w:r>
        <w:rPr>
          <w:rFonts w:ascii="Cambria" w:cs="Cambria" w:eastAsia="Cambria" w:hAnsi="Cambria"/>
          <w:b/>
          <w:bCs/>
          <w:sz w:val="22"/>
          <w:szCs w:val="22"/>
        </w:rPr>
        <w:t xml:space="preserve">Sequential Binary Partition (SBP)</w:t>
      </w:r>
      <w:r>
        <w:rPr>
          <w:rFonts w:ascii="Cambria" w:cs="Cambria" w:eastAsia="Cambria" w:hAnsi="Cambria"/>
          <w:sz w:val="22"/>
          <w:szCs w:val="22"/>
        </w:rPr>
        <w:t xml:space="preserve">, ovvero un albero binario che suddivide ricorsivamente le D componenti in due gruppi ad ogni livello, fino ad ottenere D−1 split.</w:t>
      </w:r>
    </w:p>
    <w:p>
      <w:pPr>
        <w:spacing w:after="160" w:line="312"/>
        <w:jc w:val="both"/>
      </w:pPr>
      <w:r>
        <w:rPr>
          <w:rFonts w:ascii="Cambria" w:cs="Cambria" w:eastAsia="Cambria" w:hAnsi="Cambria"/>
          <w:sz w:val="22"/>
          <w:szCs w:val="22"/>
        </w:rPr>
        <w:t xml:space="preserve">Ogni split genera una coordinata ILR, che cattura il </w:t>
      </w:r>
      <w:r>
        <w:rPr>
          <w:rFonts w:ascii="Cambria" w:cs="Cambria" w:eastAsia="Cambria" w:hAnsi="Cambria"/>
          <w:b/>
          <w:bCs/>
          <w:sz w:val="22"/>
          <w:szCs w:val="22"/>
        </w:rPr>
        <w:t xml:space="preserve">contrasto log-ratio</w:t>
      </w:r>
      <w:r>
        <w:rPr>
          <w:rFonts w:ascii="Cambria" w:cs="Cambria" w:eastAsia="Cambria" w:hAnsi="Cambria"/>
          <w:sz w:val="22"/>
          <w:szCs w:val="22"/>
        </w:rPr>
        <w:t xml:space="preserve"> tra i due gruppi. Formalmente, dato uno split che separa r componenti nel gruppo “+” da s componenti nel gruppo “−”, la coordinata ILR corrispondente è:</w:t>
      </w:r>
    </w:p>
    <w:p>
      <w:pPr>
        <w:shd w:fill="F5F5F5" w:val="clear"/>
        <w:spacing w:after="80" w:before="80"/>
        <w:ind w:left="360"/>
      </w:pPr>
      <w:r>
        <w:rPr>
          <w:rFonts w:ascii="Consolas" w:cs="Consolas" w:eastAsia="Consolas" w:hAnsi="Consolas"/>
          <w:color w:val="2E4057"/>
          <w:sz w:val="18"/>
          <w:szCs w:val="18"/>
        </w:rPr>
        <w:t xml:space="preserve">ILR_j = √(r·s / (r+s)) · ln( GM(x⁺) / GM(x⁻) )</w:t>
      </w:r>
    </w:p>
    <w:p>
      <w:pPr>
        <w:spacing w:after="160" w:line="312"/>
        <w:jc w:val="both"/>
      </w:pPr>
      <w:r>
        <w:rPr>
          <w:rFonts w:ascii="Cambria" w:cs="Cambria" w:eastAsia="Cambria" w:hAnsi="Cambria"/>
          <w:sz w:val="22"/>
          <w:szCs w:val="22"/>
        </w:rPr>
        <w:t xml:space="preserve">dove:</w:t>
      </w:r>
    </w:p>
    <w:p>
      <w:pPr>
        <w:spacing w:after="160" w:line="312"/>
        <w:jc w:val="both"/>
      </w:pPr>
      <w:r>
        <w:rPr>
          <w:rFonts w:ascii="Cambria" w:cs="Cambria" w:eastAsia="Cambria" w:hAnsi="Cambria"/>
          <w:b/>
          <w:bCs/>
          <w:sz w:val="22"/>
          <w:szCs w:val="22"/>
        </w:rPr>
        <w:t xml:space="preserve">GM(x⁺)</w:t>
      </w:r>
      <w:r>
        <w:rPr>
          <w:rFonts w:ascii="Cambria" w:cs="Cambria" w:eastAsia="Cambria" w:hAnsi="Cambria"/>
          <w:sz w:val="22"/>
          <w:szCs w:val="22"/>
        </w:rPr>
        <w:t xml:space="preserve"> = media geometrica delle r componenti nel gruppo +, calcolata come exp(1/r · Σ ln(x_i));</w:t>
      </w:r>
    </w:p>
    <w:p>
      <w:pPr>
        <w:spacing w:after="160" w:line="312"/>
        <w:jc w:val="both"/>
      </w:pPr>
      <w:r>
        <w:rPr>
          <w:rFonts w:ascii="Cambria" w:cs="Cambria" w:eastAsia="Cambria" w:hAnsi="Cambria"/>
          <w:b/>
          <w:bCs/>
          <w:sz w:val="22"/>
          <w:szCs w:val="22"/>
        </w:rPr>
        <w:t xml:space="preserve">GM(x⁻)</w:t>
      </w:r>
      <w:r>
        <w:rPr>
          <w:rFonts w:ascii="Cambria" w:cs="Cambria" w:eastAsia="Cambria" w:hAnsi="Cambria"/>
          <w:sz w:val="22"/>
          <w:szCs w:val="22"/>
        </w:rPr>
        <w:t xml:space="preserve"> = media geometrica delle s componenti nel gruppo −;</w:t>
      </w:r>
    </w:p>
    <w:p>
      <w:pPr>
        <w:spacing w:after="160" w:line="312"/>
        <w:jc w:val="both"/>
      </w:pPr>
      <w:r>
        <w:rPr>
          <w:rFonts w:ascii="Cambria" w:cs="Cambria" w:eastAsia="Cambria" w:hAnsi="Cambria"/>
          <w:b/>
          <w:bCs/>
          <w:sz w:val="22"/>
          <w:szCs w:val="22"/>
        </w:rPr>
        <w:t xml:space="preserve">√(r·s/(r+s))</w:t>
      </w:r>
      <w:r>
        <w:rPr>
          <w:rFonts w:ascii="Cambria" w:cs="Cambria" w:eastAsia="Cambria" w:hAnsi="Cambria"/>
          <w:sz w:val="22"/>
          <w:szCs w:val="22"/>
        </w:rPr>
        <w:t xml:space="preserve"> = coefficiente di normalizzazione che garantisce l’isometria, ovvero che le distanze euclidee nello spazio ILR corrispondano esattamente alle distanze di Aitchison sul simplesso.</w:t>
      </w:r>
    </w:p>
    <w:p>
      <w:pPr>
        <w:spacing w:after="160" w:line="312"/>
        <w:jc w:val="both"/>
      </w:pPr>
      <w:r>
        <w:rPr>
          <w:rFonts w:ascii="Cambria" w:cs="Cambria" w:eastAsia="Cambria" w:hAnsi="Cambria"/>
          <w:sz w:val="22"/>
          <w:szCs w:val="22"/>
        </w:rPr>
        <w:t xml:space="preserve">Il valore della coordinata ILR_j è positivo quando il gruppo + domina il gruppo − (la media geometrica del + è maggiore), negativo nel caso opposto, e prossimo a zero quando i due gruppi sono in equilibrio. La scala è logaritmica: un incremento unitario in ILR_j corrisponde a un rapporto di circa e ≈ 2.718 tra le medie geometriche.</w:t>
      </w:r>
    </w:p>
    <w:p>
      <w:pPr>
        <w:spacing w:after="160" w:before="280"/>
      </w:pPr>
      <w:r>
        <w:rPr>
          <w:rFonts w:ascii="Calibri" w:cs="Calibri" w:eastAsia="Calibri" w:hAnsi="Calibri"/>
          <w:b/>
          <w:bCs/>
          <w:color w:val="2E75B6"/>
          <w:sz w:val="24"/>
          <w:szCs w:val="24"/>
        </w:rPr>
        <w:t xml:space="preserve">3.5 La Nostra Partition: Struttura Economica del Merit Order</w:t>
      </w:r>
    </w:p>
    <w:p>
      <w:pPr>
        <w:spacing w:after="160" w:line="312"/>
        <w:jc w:val="both"/>
      </w:pPr>
      <w:r>
        <w:rPr>
          <w:rFonts w:ascii="Cambria" w:cs="Cambria" w:eastAsia="Cambria" w:hAnsi="Cambria"/>
          <w:sz w:val="22"/>
          <w:szCs w:val="22"/>
        </w:rPr>
        <w:t xml:space="preserve">La scelta della SBP è teoricamente irrilevante dal punto di vista delle distanze (tutte le basi ILR producono le stesse distanze di Aitchison), ma è fondamentale per l’</w:t>
      </w:r>
      <w:r>
        <w:rPr>
          <w:rFonts w:ascii="Cambria" w:cs="Cambria" w:eastAsia="Cambria" w:hAnsi="Cambria"/>
          <w:b/>
          <w:bCs/>
          <w:sz w:val="22"/>
          <w:szCs w:val="22"/>
        </w:rPr>
        <w:t xml:space="preserve">interpretabilità</w:t>
      </w:r>
      <w:r>
        <w:rPr>
          <w:rFonts w:ascii="Cambria" w:cs="Cambria" w:eastAsia="Cambria" w:hAnsi="Cambria"/>
          <w:sz w:val="22"/>
          <w:szCs w:val="22"/>
        </w:rPr>
        <w:t xml:space="preserve"> delle coordinate. Una SBP arbitraria (ad esempio sequenziale, basata sull’ordine delle colonne) produce coordinate prive di significato economico. Abbiamo quindi costruito una SBP che riflette la struttura del merit order elettrico di ISO-NE:</w:t>
      </w:r>
    </w:p>
    <w:p>
      <w:pPr>
        <w:shd w:fill="F5F5F5" w:val="clear"/>
        <w:spacing w:after="80" w:before="80"/>
        <w:ind w:left="360"/>
      </w:pPr>
      <w:r>
        <w:rPr>
          <w:rFonts w:ascii="Consolas" w:cs="Consolas" w:eastAsia="Consolas" w:hAnsi="Consolas"/>
          <w:color w:val="2E4057"/>
          <w:sz w:val="18"/>
          <w:szCs w:val="18"/>
        </w:rPr>
        <w:t xml:space="preserve">                    ALL FUELS (8)
                   /              \
         Dispatchable (5)     Variable (3)
          /          \          /       \
     Fossil (3)  Non-fossil  Hydro   Intermittent
      /    \      /     \            /       \
   Gas   Solid  Nucl   Other     Solar     Wind
         /  \
      Coal   Oil</w:t>
      </w:r>
    </w:p>
    <w:p>
      <w:pPr>
        <w:spacing w:after="160" w:line="312"/>
        <w:jc w:val="both"/>
      </w:pPr>
      <w:r>
        <w:rPr>
          <w:rFonts w:ascii="Cambria" w:cs="Cambria" w:eastAsia="Cambria" w:hAnsi="Cambria"/>
          <w:sz w:val="22"/>
          <w:szCs w:val="22"/>
        </w:rPr>
        <w:t xml:space="preserve">Le 7 coordinate ILR risultanti, e la loro interpretazione economica, sono:</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700"/>
        <w:gridCol w:w="4560"/>
      </w:tblGrid>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Coord.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Contrasto</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r vs 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Coeff.</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Interpretazione economica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Dispatchable / Variable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5 vs 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1.369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Quanto il mix è dominato da fonti comandabili (gas, nucleare, carbone, petrolio, other) rispetto a fonti variabili (idro, solare, eolico). Valori positivi indicano un mix “tradizionale”; negativi un mix dominato da rinnovabili.</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ILR₂</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Fossil / Non-fossil</w:t>
            </w:r>
          </w:p>
        </w:tc>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3 vs 2</w:t>
            </w:r>
          </w:p>
        </w:tc>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1.095</w:t>
            </w:r>
          </w:p>
        </w:tc>
        <w:tc>
          <w:tcPr>
            <w:tcW w:type="dxa" w:w="4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Dentro le fonti dispatchable, il peso relativo dei fossili (gas, carbone, petrolio) rispetto alle non-fossili (nucleare, other). Cattura il grado di dipendenza dai combustibili fossili nella base di generazione.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ILR₃</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Gas / Solid+Liquid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1 vs 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0.816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Dentro i fossili, il contrasto tra gas naturale (CCGT, la fonte dominante) e i fossili solidi/liquidi (carbone + petrolio). Valori alti indicano dominanza del gas; bassi indicano attivazione di carbone o peakers a olio.</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ILR₄</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Coal / Oil</w:t>
            </w:r>
          </w:p>
        </w:tc>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1 vs 1</w:t>
            </w:r>
          </w:p>
        </w:tc>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0.707</w:t>
            </w:r>
          </w:p>
        </w:tc>
        <w:tc>
          <w:tcPr>
            <w:tcW w:type="dxa" w:w="4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Il rapporto tra le due fonti fossili “pesanti”. Entrambe sono marginali in ISNE, ma la loro attivazione è un segnale forte di stress del sistema (prezzi alti, domanda estrema).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ILR₅</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Nuclear / Other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1 vs 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0.707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Il rapporto tra nucleare (baseload stabile) e la categoria residuale (biomassa, storage, ecc.). Cattura variazioni nel baseload non-fossile.</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ILR₆</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Hydro / Intermittent</w:t>
            </w:r>
          </w:p>
        </w:tc>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1 vs 2</w:t>
            </w:r>
          </w:p>
        </w:tc>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0.816</w:t>
            </w:r>
          </w:p>
        </w:tc>
        <w:tc>
          <w:tcPr>
            <w:tcW w:type="dxa" w:w="4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Dentro le fonti variabili, il peso dell’idro (parzialmente dispatchable, dipendente dalle precipitazioni) rispetto alle intermittenti (solare + eolico). Un segnale stagionale forte.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ILR₇</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Solar / Wind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1 vs 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0.707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Il rapporto tra le due fonti intermittenti. Cattura il ciclo diurno (solare alto di giorno) e le condizioni meteorologiche (vento).</w:t>
            </w:r>
          </w:p>
        </w:tc>
      </w:tr>
    </w:tbl>
    <w:p>
      <w:pPr>
        <w:spacing w:after="160"/>
      </w:pPr>
    </w:p>
    <w:p>
      <w:pPr>
        <w:spacing w:after="160" w:before="280"/>
      </w:pPr>
      <w:r>
        <w:rPr>
          <w:rFonts w:ascii="Calibri" w:cs="Calibri" w:eastAsia="Calibri" w:hAnsi="Calibri"/>
          <w:b/>
          <w:bCs/>
          <w:color w:val="2E75B6"/>
          <w:sz w:val="24"/>
          <w:szCs w:val="24"/>
        </w:rPr>
        <w:t xml:space="preserve">3.6 Validazione della Trasformazione</w:t>
      </w:r>
    </w:p>
    <w:p>
      <w:pPr>
        <w:spacing w:after="160" w:line="312"/>
        <w:jc w:val="both"/>
      </w:pPr>
      <w:r>
        <w:rPr>
          <w:rFonts w:ascii="Cambria" w:cs="Cambria" w:eastAsia="Cambria" w:hAnsi="Cambria"/>
          <w:sz w:val="22"/>
          <w:szCs w:val="22"/>
        </w:rPr>
        <w:t xml:space="preserve">Dopo l’applicazione della ILR, abbiamo verificato:</w:t>
      </w:r>
    </w:p>
    <w:p>
      <w:pPr>
        <w:spacing w:after="160" w:line="312"/>
        <w:jc w:val="both"/>
      </w:pPr>
      <w:r>
        <w:rPr>
          <w:rFonts w:ascii="Cambria" w:cs="Cambria" w:eastAsia="Cambria" w:hAnsi="Cambria"/>
          <w:b/>
          <w:bCs/>
          <w:sz w:val="22"/>
          <w:szCs w:val="22"/>
        </w:rPr>
        <w:t xml:space="preserve">Assenza di NaN e Inf: </w:t>
      </w:r>
      <w:r>
        <w:rPr>
          <w:rFonts w:ascii="Cambria" w:cs="Cambria" w:eastAsia="Cambria" w:hAnsi="Cambria"/>
          <w:sz w:val="22"/>
          <w:szCs w:val="22"/>
        </w:rPr>
        <w:t xml:space="preserve">tutte le 43.789 × 7 = 306.523 coordinate ILR sono valori reali finiti, confermando che il zero replacement ha funzionato correttamente.</w:t>
      </w:r>
    </w:p>
    <w:p>
      <w:pPr>
        <w:spacing w:after="160" w:line="312"/>
        <w:jc w:val="both"/>
      </w:pPr>
      <w:r>
        <w:rPr>
          <w:rFonts w:ascii="Cambria" w:cs="Cambria" w:eastAsia="Cambria" w:hAnsi="Cambria"/>
          <w:b/>
          <w:bCs/>
          <w:sz w:val="22"/>
          <w:szCs w:val="22"/>
        </w:rPr>
        <w:t xml:space="preserve">Riduzione della multicollinearità spuria: </w:t>
      </w:r>
      <w:r>
        <w:rPr>
          <w:rFonts w:ascii="Cambria" w:cs="Cambria" w:eastAsia="Cambria" w:hAnsi="Cambria"/>
          <w:sz w:val="22"/>
          <w:szCs w:val="22"/>
        </w:rPr>
        <w:t xml:space="preserve">la correlazione media in valore assoluto tra le share originali è |r| = 0.237, con 2 coppie sopra |r| &gt; 0.5 (gas/nuclear = −0.796, gas/other = −0.530). Nello spazio ILR, la correlazione media cala a |r| = 0.189. Le correlazioni residue nello spazio ILR riflettono relazioni economiche genuine: ad esempio, ILR₂ (Fossil/Non-fossil) e ILR₃ (Gas/Solid) mostrano r = −0.939, che è una conseguenza reale del fatto che in ISNE il gas domina il mix fossile (~55%), quindi un aumento della quota fossile è quasi sempre guidato dal gas.</w:t>
      </w:r>
    </w:p>
    <w:p>
      <w:pPr>
        <w:spacing w:after="160" w:line="312"/>
        <w:jc w:val="both"/>
      </w:pPr>
      <w:r>
        <w:rPr>
          <w:rFonts w:ascii="Cambria" w:cs="Cambria" w:eastAsia="Cambria" w:hAnsi="Cambria"/>
          <w:b/>
          <w:bCs/>
          <w:sz w:val="22"/>
          <w:szCs w:val="22"/>
        </w:rPr>
        <w:t xml:space="preserve">Invertibilità: </w:t>
      </w:r>
      <w:r>
        <w:rPr>
          <w:rFonts w:ascii="Cambria" w:cs="Cambria" w:eastAsia="Cambria" w:hAnsi="Cambria"/>
          <w:sz w:val="22"/>
          <w:szCs w:val="22"/>
        </w:rPr>
        <w:t xml:space="preserve">la trasformazione ILR è biiettiva. Dalle 7 coordinate ILR è sempre possibile ricostruire esattamente le 8 fuel shares originali tramite la trasformazione inversa. Questo significa che dopo il clustering, possiamo caratterizzare ogni regime direttamente in termini di fuel shares (ad esempio, “il regime 3 ha gas al 65% e nucleare al 20%”), senza perdita di informazione.</w:t>
      </w:r>
    </w:p>
    <w:p>
      <w:pPr>
        <w:spacing w:after="160" w:before="280"/>
      </w:pPr>
      <w:r>
        <w:rPr>
          <w:rFonts w:ascii="Calibri" w:cs="Calibri" w:eastAsia="Calibri" w:hAnsi="Calibri"/>
          <w:b/>
          <w:bCs/>
          <w:color w:val="2E75B6"/>
          <w:sz w:val="24"/>
          <w:szCs w:val="24"/>
        </w:rPr>
        <w:t xml:space="preserve">3.7 Feature Space Finale</w:t>
      </w:r>
    </w:p>
    <w:p>
      <w:pPr>
        <w:spacing w:after="160" w:line="312"/>
        <w:jc w:val="both"/>
      </w:pPr>
      <w:r>
        <w:rPr>
          <w:rFonts w:ascii="Cambria" w:cs="Cambria" w:eastAsia="Cambria" w:hAnsi="Cambria"/>
          <w:sz w:val="22"/>
          <w:szCs w:val="22"/>
        </w:rPr>
        <w:t xml:space="preserve">Le 7 coordinate ILR vengono combinate con le feature derivate dal prezzo LMP per costruire il feature space completo E_t ∈ ℝ⁹ della pipeline di regime detection: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3560"/>
      </w:tblGrid>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Feature</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Formula</w:t>
            </w:r>
          </w:p>
        </w:tc>
        <w:tc>
          <w:tcPr>
            <w:tcW w:type="dxa" w:w="3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Descrizione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log_return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ln(LMP_t / LMP_{t-1})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Variazione percentuale del prezzo</w:t>
            </w:r>
          </w:p>
        </w:tc>
      </w:tr>
      <w:tr>
        <w:tc>
          <w:tcPr>
            <w:tcW w:type="dxa" w:w="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sz w:val="20"/>
                <w:szCs w:val="20"/>
              </w:rPr>
              <w:t xml:space="preserve">2</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log_price_norm</w:t>
            </w:r>
          </w:p>
        </w:tc>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(ln(LMP_t) − μ) / σ</w:t>
            </w:r>
          </w:p>
        </w:tc>
        <w:tc>
          <w:tcPr>
            <w:tcW w:type="dxa" w:w="3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Livello di prezzo normalizzato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sz w:val="20"/>
                <w:szCs w:val="20"/>
              </w:rPr>
              <w:t xml:space="preserve">3–9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ILR₁ – ILR₇</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ILR transform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Composizione del fuel mix (7 coordinate)</w:t>
            </w:r>
          </w:p>
        </w:tc>
      </w:tr>
    </w:tbl>
    <w:p>
      <w:pPr>
        <w:spacing w:after="160"/>
      </w:pPr>
    </w:p>
    <w:p>
      <w:pPr>
        <w:spacing w:after="160" w:line="312"/>
        <w:jc w:val="both"/>
      </w:pPr>
      <w:r>
        <w:rPr>
          <w:rFonts w:ascii="Cambria" w:cs="Cambria" w:eastAsia="Cambria" w:hAnsi="Cambria"/>
          <w:sz w:val="22"/>
          <w:szCs w:val="22"/>
        </w:rPr>
        <w:t xml:space="preserve">Rispetto al feature space originariamente ipotizzato (E_t ∈ ℝ¹¹ con 2 feature LMP + 9 fuel shares), il feature space ILR ha due dimensioni in meno (9 vs 11) e vive in uno spazio euclideo dove le distanze sono metricamente corrette. Questo è particolarmente vantaggioso per UMAP, che nel passo successivo della pipeline proietterà E_t da ℝ⁹ a z_t ∈ ℝ² per la visualizzazione e il clustering.</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6"/>
        <w:szCs w:val="16"/>
      </w:rPr>
      <w:t xml:space="preserve">Page </w:t>
    </w:r>
    <w:r>
      <w:rPr>
        <w:rFonts w:ascii="Calibri" w:cs="Calibri" w:eastAsia="Calibri" w:hAnsi="Calibri"/>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AAAAA"/>
        <w:sz w:val="16"/>
        <w:szCs w:val="16"/>
      </w:rPr>
      <w:t xml:space="preserve">Data Acquisition &amp; ILR Transform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2026-03-06T17:52:21.771Z</dcterms:created>
  <dcterms:modified xsi:type="dcterms:W3CDTF">2026-03-06T17:52:21.772Z</dcterms:modified>
</cp:coreProperties>
</file>

<file path=docProps/custom.xml><?xml version="1.0" encoding="utf-8"?>
<Properties xmlns="http://schemas.openxmlformats.org/officeDocument/2006/custom-properties" xmlns:vt="http://schemas.openxmlformats.org/officeDocument/2006/docPropsVTypes"/>
</file>