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5C"/>
          <w:sz w:val="36"/>
          <w:szCs w:val="36"/>
        </w:rPr>
        <w:t xml:space="preserve">Methodology — Pipeline di Regime Detection</w:t>
      </w:r>
    </w:p>
    <w:p>
      <w:pPr>
        <w:spacing w:after="40"/>
        <w:jc w:val="center"/>
      </w:pPr>
      <w:r>
        <w:rPr>
          <w:rFonts w:ascii="Calibri" w:cs="Calibri" w:eastAsia="Calibri" w:hAnsi="Calibri"/>
          <w:color w:val="2E75B6"/>
          <w:sz w:val="26"/>
          <w:szCs w:val="26"/>
        </w:rPr>
        <w:t xml:space="preserve">Dal Feature Space ai Regimi di Prezzo</w:t>
      </w:r>
    </w:p>
    <w:p>
      <w:pPr>
        <w:spacing w:after="40"/>
        <w:jc w:val="center"/>
      </w:pPr>
      <w:r>
        <w:rPr>
          <w:rFonts w:ascii="Cambria" w:cs="Cambria" w:eastAsia="Cambria" w:hAnsi="Cambria"/>
          <w:i/>
          <w:iCs/>
          <w:color w:val="666666"/>
          <w:sz w:val="22"/>
          <w:szCs w:val="22"/>
        </w:rPr>
        <w:t xml:space="preserve">ISONE Electricity Market — Geometry-Driven Regime Identification</w:t>
      </w:r>
    </w:p>
    <w:p>
      <w:pPr>
        <w:pBdr>
          <w:bottom w:val="single" w:color="2E75B6" w:sz="2" w:space="8"/>
        </w:pBdr>
        <w:spacing w:after="400"/>
        <w:jc w:val="center"/>
      </w:pPr>
      <w:r>
        <w:rPr>
          <w:rFonts w:ascii="Cambria" w:cs="Cambria" w:eastAsia="Cambria" w:hAnsi="Cambria"/>
          <w:color w:val="999999"/>
          <w:sz w:val="20"/>
          <w:szCs w:val="20"/>
        </w:rPr>
        <w:t xml:space="preserve">Working Document — March 2026 — Parte 2</w:t>
      </w:r>
    </w:p>
    <w:p>
      <w:pPr>
        <w:pBdr>
          <w:bottom w:val="single" w:color="2E75B6" w:sz="4" w:space="4"/>
        </w:pBdr>
        <w:spacing w:after="200" w:before="360"/>
      </w:pPr>
      <w:r>
        <w:rPr>
          <w:rFonts w:ascii="Calibri" w:cs="Calibri" w:eastAsia="Calibri" w:hAnsi="Calibri"/>
          <w:b/>
          <w:bCs/>
          <w:color w:val="1B3A5C"/>
          <w:sz w:val="28"/>
          <w:szCs w:val="28"/>
        </w:rPr>
        <w:t xml:space="preserve">4. Cosa Stiamo Cercando</w:t>
      </w:r>
    </w:p>
    <w:p>
      <w:pPr>
        <w:spacing w:after="160" w:line="312"/>
        <w:jc w:val="both"/>
      </w:pPr>
      <w:r>
        <w:rPr>
          <w:rFonts w:ascii="Cambria" w:cs="Cambria" w:eastAsia="Cambria" w:hAnsi="Cambria"/>
          <w:sz w:val="22"/>
          <w:szCs w:val="22"/>
        </w:rPr>
        <w:t xml:space="preserve">Prima di descrivere gli strumenti che utilizziamo, conviene chiarire con parole semplici l’obiettivo di questa pipeline.</w:t>
      </w:r>
    </w:p>
    <w:p>
      <w:pPr>
        <w:spacing w:after="160" w:line="312"/>
        <w:jc w:val="both"/>
      </w:pPr>
      <w:r>
        <w:rPr>
          <w:rFonts w:ascii="Cambria" w:cs="Cambria" w:eastAsia="Cambria" w:hAnsi="Cambria"/>
          <w:sz w:val="22"/>
          <w:szCs w:val="22"/>
        </w:rPr>
        <w:t xml:space="preserve">Il mercato elettrico di New England genera, ora dopo ora, un prezzo dell’energia (il LMP) e un mix di combustibili che lo producono. Alcune ore si assomigliano molto: stesse fonti accese, stessi livelli di prezzo, stesse dinamiche. Altre ore sono profondamente diverse. L’idea di base è che il mercato non si comporta sempre allo stesso modo, ma attraversa </w:t>
      </w:r>
      <w:r>
        <w:rPr>
          <w:rFonts w:ascii="Cambria" w:cs="Cambria" w:eastAsia="Cambria" w:hAnsi="Cambria"/>
          <w:b/>
          <w:bCs/>
          <w:sz w:val="22"/>
          <w:szCs w:val="22"/>
        </w:rPr>
        <w:t xml:space="preserve">fasi distinte</w:t>
      </w:r>
      <w:r>
        <w:rPr>
          <w:rFonts w:ascii="Cambria" w:cs="Cambria" w:eastAsia="Cambria" w:hAnsi="Cambria"/>
          <w:sz w:val="22"/>
          <w:szCs w:val="22"/>
        </w:rPr>
        <w:t xml:space="preserve"> — che chiamiamo </w:t>
      </w:r>
      <w:r>
        <w:rPr>
          <w:rFonts w:ascii="Cambria" w:cs="Cambria" w:eastAsia="Cambria" w:hAnsi="Cambria"/>
          <w:b/>
          <w:bCs/>
          <w:sz w:val="22"/>
          <w:szCs w:val="22"/>
        </w:rPr>
        <w:t xml:space="preserve">regimi</w:t>
      </w:r>
      <w:r>
        <w:rPr>
          <w:rFonts w:ascii="Cambria" w:cs="Cambria" w:eastAsia="Cambria" w:hAnsi="Cambria"/>
          <w:sz w:val="22"/>
          <w:szCs w:val="22"/>
        </w:rPr>
        <w:t xml:space="preserve"> — ciascuna con le proprie regole.</w:t>
      </w:r>
    </w:p>
    <w:p>
      <w:pPr>
        <w:spacing w:after="160" w:line="312"/>
        <w:jc w:val="both"/>
      </w:pPr>
      <w:r>
        <w:rPr>
          <w:rFonts w:ascii="Cambria" w:cs="Cambria" w:eastAsia="Cambria" w:hAnsi="Cambria"/>
          <w:sz w:val="22"/>
          <w:szCs w:val="22"/>
        </w:rPr>
        <w:t xml:space="preserve">Un regime potrebbe essere, ad esempio, una fase in cui il gas naturale domina la produzione, i prezzi sono stabili e moderati, e il mercato è relativamente calmo. Un altro regime potrebbe essere una fase di stress: i peaker a olio si accendono, i prezzi schizzano verso l’alto, e il mercato diventa volatile. Un terzo potrebbe essere un regime rinnovabile: molto vento e solare, poca domanda, prezzi bassissimi.</w:t>
      </w:r>
    </w:p>
    <w:p>
      <w:pPr>
        <w:spacing w:after="160" w:line="312"/>
        <w:jc w:val="both"/>
      </w:pPr>
      <w:r>
        <w:rPr>
          <w:rFonts w:ascii="Cambria" w:cs="Cambria" w:eastAsia="Cambria" w:hAnsi="Cambria"/>
          <w:sz w:val="22"/>
          <w:szCs w:val="22"/>
        </w:rPr>
        <w:t xml:space="preserve">Il nostro obiettivo è </w:t>
      </w:r>
      <w:r>
        <w:rPr>
          <w:rFonts w:ascii="Cambria" w:cs="Cambria" w:eastAsia="Cambria" w:hAnsi="Cambria"/>
          <w:b/>
          <w:bCs/>
          <w:sz w:val="22"/>
          <w:szCs w:val="22"/>
        </w:rPr>
        <w:t xml:space="preserve">scoprire questi regimi direttamente dai dati</w:t>
      </w:r>
      <w:r>
        <w:rPr>
          <w:rFonts w:ascii="Cambria" w:cs="Cambria" w:eastAsia="Cambria" w:hAnsi="Cambria"/>
          <w:sz w:val="22"/>
          <w:szCs w:val="22"/>
        </w:rPr>
        <w:t xml:space="preserve">, senza decidere a priori quanti siano o come siano fatti. Non stiamo dicendo al computer “cerca 3 regimi” o “separa le ore costose da quelle economiche”. Stiamo dicendo: “guarda tutte le 43.789 ore, trova i gruppi naturali, e dimmi quanti ne trovi e come sono fatti”.</w:t>
      </w:r>
    </w:p>
    <w:p>
      <w:pPr>
        <w:spacing w:after="160" w:line="312"/>
        <w:jc w:val="both"/>
      </w:pPr>
      <w:r>
        <w:rPr>
          <w:rFonts w:ascii="Cambria" w:cs="Cambria" w:eastAsia="Cambria" w:hAnsi="Cambria"/>
          <w:sz w:val="22"/>
          <w:szCs w:val="22"/>
        </w:rPr>
        <w:t xml:space="preserve">Per fare questo, servono tre passaggi concettuali. Primo: descrivere ogni ora con un insieme di numeri significativi (le </w:t>
      </w:r>
      <w:r>
        <w:rPr>
          <w:rFonts w:ascii="Cambria" w:cs="Cambria" w:eastAsia="Cambria" w:hAnsi="Cambria"/>
          <w:b/>
          <w:bCs/>
          <w:sz w:val="22"/>
          <w:szCs w:val="22"/>
        </w:rPr>
        <w:t xml:space="preserve">feature</w:t>
      </w:r>
      <w:r>
        <w:rPr>
          <w:rFonts w:ascii="Cambria" w:cs="Cambria" w:eastAsia="Cambria" w:hAnsi="Cambria"/>
          <w:sz w:val="22"/>
          <w:szCs w:val="22"/>
        </w:rPr>
        <w:t xml:space="preserve">). Secondo: proiettare queste descrizioni in uno spazio dove sia possibile visualizzarle e misurare quanto sono simili (la </w:t>
      </w:r>
      <w:r>
        <w:rPr>
          <w:rFonts w:ascii="Cambria" w:cs="Cambria" w:eastAsia="Cambria" w:hAnsi="Cambria"/>
          <w:b/>
          <w:bCs/>
          <w:sz w:val="22"/>
          <w:szCs w:val="22"/>
        </w:rPr>
        <w:t xml:space="preserve">riduzione dimensionale</w:t>
      </w:r>
      <w:r>
        <w:rPr>
          <w:rFonts w:ascii="Cambria" w:cs="Cambria" w:eastAsia="Cambria" w:hAnsi="Cambria"/>
          <w:sz w:val="22"/>
          <w:szCs w:val="22"/>
        </w:rPr>
        <w:t xml:space="preserve">). Terzo: raggruppare le ore simili tra loro e diverse dalle altre (il </w:t>
      </w:r>
      <w:r>
        <w:rPr>
          <w:rFonts w:ascii="Cambria" w:cs="Cambria" w:eastAsia="Cambria" w:hAnsi="Cambria"/>
          <w:b/>
          <w:bCs/>
          <w:sz w:val="22"/>
          <w:szCs w:val="22"/>
        </w:rPr>
        <w:t xml:space="preserve">clustering</w:t>
      </w:r>
      <w:r>
        <w:rPr>
          <w:rFonts w:ascii="Cambria" w:cs="Cambria" w:eastAsia="Cambria" w:hAnsi="Cambria"/>
          <w:sz w:val="22"/>
          <w:szCs w:val="22"/>
        </w:rPr>
        <w:t xml:space="preserve">). Vediamoli uno per uno.</w:t>
      </w:r>
    </w:p>
    <w:p>
      <w:pPr>
        <w:pBdr>
          <w:bottom w:val="single" w:color="2E75B6" w:sz="4" w:space="4"/>
        </w:pBdr>
        <w:spacing w:after="200" w:before="360"/>
      </w:pPr>
      <w:r>
        <w:rPr>
          <w:rFonts w:ascii="Calibri" w:cs="Calibri" w:eastAsia="Calibri" w:hAnsi="Calibri"/>
          <w:b/>
          <w:bCs/>
          <w:color w:val="1B3A5C"/>
          <w:sz w:val="28"/>
          <w:szCs w:val="28"/>
        </w:rPr>
        <w:t xml:space="preserve">5. Feature Engineering: Descrivere Ogni Ora</w:t>
      </w:r>
    </w:p>
    <w:p>
      <w:pPr>
        <w:spacing w:after="160" w:before="280"/>
      </w:pPr>
      <w:r>
        <w:rPr>
          <w:rFonts w:ascii="Calibri" w:cs="Calibri" w:eastAsia="Calibri" w:hAnsi="Calibri"/>
          <w:b/>
          <w:bCs/>
          <w:color w:val="2E75B6"/>
          <w:sz w:val="24"/>
          <w:szCs w:val="24"/>
        </w:rPr>
        <w:t xml:space="preserve">5.1 L’idea</w:t>
      </w:r>
    </w:p>
    <w:p>
      <w:pPr>
        <w:spacing w:after="160" w:line="312"/>
        <w:jc w:val="both"/>
      </w:pPr>
      <w:r>
        <w:rPr>
          <w:rFonts w:ascii="Cambria" w:cs="Cambria" w:eastAsia="Cambria" w:hAnsi="Cambria"/>
          <w:sz w:val="22"/>
          <w:szCs w:val="22"/>
        </w:rPr>
        <w:t xml:space="preserve">Ogni ora del nostro dataset è caratterizzata da molte informazioni: il prezzo, la sua variazione rispetto all’ora precedente, quanto gas viene prodotto, quanto nucleare, quanto eolico, e così via. Dobbiamo condensare tutto questo in un </w:t>
      </w:r>
      <w:r>
        <w:rPr>
          <w:rFonts w:ascii="Cambria" w:cs="Cambria" w:eastAsia="Cambria" w:hAnsi="Cambria"/>
          <w:b/>
          <w:bCs/>
          <w:sz w:val="22"/>
          <w:szCs w:val="22"/>
        </w:rPr>
        <w:t xml:space="preserve">vettore di numeri</w:t>
      </w:r>
      <w:r>
        <w:rPr>
          <w:rFonts w:ascii="Cambria" w:cs="Cambria" w:eastAsia="Cambria" w:hAnsi="Cambria"/>
          <w:sz w:val="22"/>
          <w:szCs w:val="22"/>
        </w:rPr>
        <w:t xml:space="preserve"> — una specie di carta d’identità numerica di quell’ora — che catturi le informazioni più importanti.</w:t>
      </w:r>
    </w:p>
    <w:p>
      <w:pPr>
        <w:spacing w:after="160" w:line="312"/>
        <w:jc w:val="both"/>
      </w:pPr>
      <w:r>
        <w:rPr>
          <w:rFonts w:ascii="Cambria" w:cs="Cambria" w:eastAsia="Cambria" w:hAnsi="Cambria"/>
          <w:sz w:val="22"/>
          <w:szCs w:val="22"/>
        </w:rPr>
        <w:t xml:space="preserve">Questo vettore si chiama </w:t>
      </w:r>
      <w:r>
        <w:rPr>
          <w:rFonts w:ascii="Cambria" w:cs="Cambria" w:eastAsia="Cambria" w:hAnsi="Cambria"/>
          <w:b/>
          <w:bCs/>
          <w:sz w:val="22"/>
          <w:szCs w:val="22"/>
        </w:rPr>
        <w:t xml:space="preserve">feature vector</w:t>
      </w:r>
      <w:r>
        <w:rPr>
          <w:rFonts w:ascii="Cambria" w:cs="Cambria" w:eastAsia="Cambria" w:hAnsi="Cambria"/>
          <w:sz w:val="22"/>
          <w:szCs w:val="22"/>
        </w:rPr>
        <w:t xml:space="preserve"> e lo indichiamo con E_t, dove t è l’indice temporale (l’ora). Nel nostro caso, E_t contiene 9 numeri. Vediamo cosa rappresenta ciascuno di essi.</w:t>
      </w:r>
    </w:p>
    <w:p>
      <w:pPr>
        <w:spacing w:after="160" w:before="280"/>
      </w:pPr>
      <w:r>
        <w:rPr>
          <w:rFonts w:ascii="Calibri" w:cs="Calibri" w:eastAsia="Calibri" w:hAnsi="Calibri"/>
          <w:b/>
          <w:bCs/>
          <w:color w:val="2E75B6"/>
          <w:sz w:val="24"/>
          <w:szCs w:val="24"/>
        </w:rPr>
        <w:t xml:space="preserve">5.2 Le Due Feature di Prezzo</w:t>
      </w:r>
    </w:p>
    <w:p>
      <w:pPr>
        <w:spacing w:after="120" w:before="200"/>
      </w:pPr>
      <w:r>
        <w:rPr>
          <w:rFonts w:ascii="Calibri" w:cs="Calibri" w:eastAsia="Calibri" w:hAnsi="Calibri"/>
          <w:b/>
          <w:bCs/>
          <w:i/>
          <w:iCs/>
          <w:color w:val="333333"/>
          <w:sz w:val="22"/>
          <w:szCs w:val="22"/>
        </w:rPr>
        <w:t xml:space="preserve">5.2.1 Log-return</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log-return</w:t>
      </w:r>
      <w:r>
        <w:rPr>
          <w:rFonts w:ascii="Cambria" w:cs="Cambria" w:eastAsia="Cambria" w:hAnsi="Cambria"/>
          <w:sz w:val="22"/>
          <w:szCs w:val="22"/>
        </w:rPr>
        <w:t xml:space="preserve"> è il modo standard in finanza per misurare quanto un prezzo è cambiato da un’ora all’altra. Si calcola così:</w:t>
      </w:r>
    </w:p>
    <w:p>
      <w:pPr>
        <w:shd w:fill="F5F5F5" w:val="clear"/>
        <w:spacing w:after="80" w:before="80"/>
        <w:ind w:left="360"/>
      </w:pPr>
      <w:r>
        <w:rPr>
          <w:rFonts w:ascii="Consolas" w:cs="Consolas" w:eastAsia="Consolas" w:hAnsi="Consolas"/>
          <w:color w:val="2E4057"/>
          <w:sz w:val="18"/>
          <w:szCs w:val="18"/>
        </w:rPr>
        <w:t xml:space="preserve">log_return_t = ln(LMP_t / LMP_{t-1})</w:t>
      </w:r>
    </w:p>
    <w:p>
      <w:pPr>
        <w:spacing w:after="160" w:line="312"/>
        <w:jc w:val="both"/>
      </w:pPr>
      <w:r>
        <w:rPr>
          <w:rFonts w:ascii="Cambria" w:cs="Cambria" w:eastAsia="Cambria" w:hAnsi="Cambria"/>
          <w:sz w:val="22"/>
          <w:szCs w:val="22"/>
        </w:rPr>
        <w:t xml:space="preserve">In pratica, si fa il rapporto tra il prezzo di quest’ora e il prezzo dell’ora precedente, e poi si prende il logaritmo naturale. Perché il logaritmo e non semplicemente la differenza? Per tre motivi.</w:t>
      </w:r>
    </w:p>
    <w:p>
      <w:pPr>
        <w:spacing w:after="160" w:line="312"/>
        <w:jc w:val="both"/>
      </w:pPr>
      <w:r>
        <w:rPr>
          <w:rFonts w:ascii="Cambria" w:cs="Cambria" w:eastAsia="Cambria" w:hAnsi="Cambria"/>
          <w:sz w:val="22"/>
          <w:szCs w:val="22"/>
        </w:rPr>
        <w:t xml:space="preserve">Primo: il log-return è </w:t>
      </w:r>
      <w:r>
        <w:rPr>
          <w:rFonts w:ascii="Cambria" w:cs="Cambria" w:eastAsia="Cambria" w:hAnsi="Cambria"/>
          <w:b/>
          <w:bCs/>
          <w:sz w:val="22"/>
          <w:szCs w:val="22"/>
        </w:rPr>
        <w:t xml:space="preserve">simmetrico</w:t>
      </w:r>
      <w:r>
        <w:rPr>
          <w:rFonts w:ascii="Cambria" w:cs="Cambria" w:eastAsia="Cambria" w:hAnsi="Cambria"/>
          <w:sz w:val="22"/>
          <w:szCs w:val="22"/>
        </w:rPr>
        <w:t xml:space="preserve">. Se il prezzo sale da 50 a 100, il log-return è +0.693. Se scende da 100 a 50, il log-return è −0.693. Sono uguali in valore assoluto. Con la variazione percentuale classica, invece, un raddoppio è +100% ma un dimezzamento è −50%: una asimmetria scomoda.</w:t>
      </w:r>
    </w:p>
    <w:p>
      <w:pPr>
        <w:spacing w:after="160" w:line="312"/>
        <w:jc w:val="both"/>
      </w:pPr>
      <w:r>
        <w:rPr>
          <w:rFonts w:ascii="Cambria" w:cs="Cambria" w:eastAsia="Cambria" w:hAnsi="Cambria"/>
          <w:sz w:val="22"/>
          <w:szCs w:val="22"/>
        </w:rPr>
        <w:t xml:space="preserve">Secondo: i log-return sono </w:t>
      </w:r>
      <w:r>
        <w:rPr>
          <w:rFonts w:ascii="Cambria" w:cs="Cambria" w:eastAsia="Cambria" w:hAnsi="Cambria"/>
          <w:b/>
          <w:bCs/>
          <w:sz w:val="22"/>
          <w:szCs w:val="22"/>
        </w:rPr>
        <w:t xml:space="preserve">additivi nel tempo</w:t>
      </w:r>
      <w:r>
        <w:rPr>
          <w:rFonts w:ascii="Cambria" w:cs="Cambria" w:eastAsia="Cambria" w:hAnsi="Cambria"/>
          <w:sz w:val="22"/>
          <w:szCs w:val="22"/>
        </w:rPr>
        <w:t xml:space="preserve">. Il log-return su due ore consecutive è semplicemente la somma dei due log-return orari. Questo semplifica enormemente i calcoli su finestre temporali.</w:t>
      </w:r>
    </w:p>
    <w:p>
      <w:pPr>
        <w:spacing w:after="160" w:line="312"/>
        <w:jc w:val="both"/>
      </w:pPr>
      <w:r>
        <w:rPr>
          <w:rFonts w:ascii="Cambria" w:cs="Cambria" w:eastAsia="Cambria" w:hAnsi="Cambria"/>
          <w:sz w:val="22"/>
          <w:szCs w:val="22"/>
        </w:rPr>
        <w:t xml:space="preserve">Terzo: il log-return cattura le variazioni </w:t>
      </w:r>
      <w:r>
        <w:rPr>
          <w:rFonts w:ascii="Cambria" w:cs="Cambria" w:eastAsia="Cambria" w:hAnsi="Cambria"/>
          <w:b/>
          <w:bCs/>
          <w:sz w:val="22"/>
          <w:szCs w:val="22"/>
        </w:rPr>
        <w:t xml:space="preserve">relative</w:t>
      </w:r>
      <w:r>
        <w:rPr>
          <w:rFonts w:ascii="Cambria" w:cs="Cambria" w:eastAsia="Cambria" w:hAnsi="Cambria"/>
          <w:sz w:val="22"/>
          <w:szCs w:val="22"/>
        </w:rPr>
        <w:t xml:space="preserve">, non assolute. Un aumento di 5 €/MWh partendo da 20 €/MWh è molto più significativo dello stesso aumento partendo da 200 €/MWh. Il log-return riflette questa differenza, la differenza aritmetica no.</w:t>
      </w:r>
    </w:p>
    <w:p>
      <w:pPr>
        <w:spacing w:after="120" w:before="200"/>
      </w:pPr>
      <w:r>
        <w:rPr>
          <w:rFonts w:ascii="Calibri" w:cs="Calibri" w:eastAsia="Calibri" w:hAnsi="Calibri"/>
          <w:b/>
          <w:bCs/>
          <w:i/>
          <w:iCs/>
          <w:color w:val="333333"/>
          <w:sz w:val="22"/>
          <w:szCs w:val="22"/>
        </w:rPr>
        <w:t xml:space="preserve">5.2.2 Log-price normalizzato</w:t>
      </w:r>
    </w:p>
    <w:p>
      <w:pPr>
        <w:spacing w:after="160" w:line="312"/>
        <w:jc w:val="both"/>
      </w:pPr>
      <w:r>
        <w:rPr>
          <w:rFonts w:ascii="Cambria" w:cs="Cambria" w:eastAsia="Cambria" w:hAnsi="Cambria"/>
          <w:sz w:val="22"/>
          <w:szCs w:val="22"/>
        </w:rPr>
        <w:t xml:space="preserve">Il log-return ci dice </w:t>
      </w:r>
      <w:r>
        <w:rPr>
          <w:rFonts w:ascii="Cambria" w:cs="Cambria" w:eastAsia="Cambria" w:hAnsi="Cambria"/>
          <w:i/>
          <w:iCs/>
          <w:sz w:val="22"/>
          <w:szCs w:val="22"/>
        </w:rPr>
        <w:t xml:space="preserve">come cambia</w:t>
      </w:r>
      <w:r>
        <w:rPr>
          <w:rFonts w:ascii="Cambria" w:cs="Cambria" w:eastAsia="Cambria" w:hAnsi="Cambria"/>
          <w:sz w:val="22"/>
          <w:szCs w:val="22"/>
        </w:rPr>
        <w:t xml:space="preserve"> il prezzo, ma non ci dice </w:t>
      </w:r>
      <w:r>
        <w:rPr>
          <w:rFonts w:ascii="Cambria" w:cs="Cambria" w:eastAsia="Cambria" w:hAnsi="Cambria"/>
          <w:i/>
          <w:iCs/>
          <w:sz w:val="22"/>
          <w:szCs w:val="22"/>
        </w:rPr>
        <w:t xml:space="preserve">a che livello siamo</w:t>
      </w:r>
      <w:r>
        <w:rPr>
          <w:rFonts w:ascii="Cambria" w:cs="Cambria" w:eastAsia="Cambria" w:hAnsi="Cambria"/>
          <w:sz w:val="22"/>
          <w:szCs w:val="22"/>
        </w:rPr>
        <w:t xml:space="preserve">. Un log-return di +0.05 può succedere quando il prezzo è a 30 €/MWh (situazione tranquilla) o quando è a 300 €/MWh (emergenza). Servono entrambe le informazioni.</w:t>
      </w:r>
    </w:p>
    <w:p>
      <w:pPr>
        <w:spacing w:after="160" w:line="312"/>
        <w:jc w:val="both"/>
      </w:pPr>
      <w:r>
        <w:rPr>
          <w:rFonts w:ascii="Cambria" w:cs="Cambria" w:eastAsia="Cambria" w:hAnsi="Cambria"/>
          <w:sz w:val="22"/>
          <w:szCs w:val="22"/>
        </w:rPr>
        <w:t xml:space="preserve">Il log-price normalizzato si calcola in due passi:</w:t>
      </w:r>
    </w:p>
    <w:p>
      <w:pPr>
        <w:spacing w:after="160" w:line="312"/>
        <w:jc w:val="both"/>
      </w:pPr>
      <w:r>
        <w:rPr>
          <w:rFonts w:ascii="Cambria" w:cs="Cambria" w:eastAsia="Cambria" w:hAnsi="Cambria"/>
          <w:b/>
          <w:bCs/>
          <w:sz w:val="22"/>
          <w:szCs w:val="22"/>
        </w:rPr>
        <w:t xml:space="preserve">Passo 1: </w:t>
      </w:r>
      <w:r>
        <w:rPr>
          <w:rFonts w:ascii="Cambria" w:cs="Cambria" w:eastAsia="Cambria" w:hAnsi="Cambria"/>
          <w:sz w:val="22"/>
          <w:szCs w:val="22"/>
        </w:rPr>
        <w:t xml:space="preserve">Si prende il logaritmo del prezzo: ln(LMP_t). Questo serve allo stesso scopo del log-return: trattare variazioni relative anziché assolute. Distribuzioni di prezzo che sono fortemente asimmetriche (skewed) a destra diventano più simmetriche dopo il logaritmo.</w:t>
      </w:r>
    </w:p>
    <w:p>
      <w:pPr>
        <w:spacing w:after="160" w:line="312"/>
        <w:jc w:val="both"/>
      </w:pPr>
      <w:r>
        <w:rPr>
          <w:rFonts w:ascii="Cambria" w:cs="Cambria" w:eastAsia="Cambria" w:hAnsi="Cambria"/>
          <w:b/>
          <w:bCs/>
          <w:sz w:val="22"/>
          <w:szCs w:val="22"/>
        </w:rPr>
        <w:t xml:space="preserve">Passo 2: </w:t>
      </w:r>
      <w:r>
        <w:rPr>
          <w:rFonts w:ascii="Cambria" w:cs="Cambria" w:eastAsia="Cambria" w:hAnsi="Cambria"/>
          <w:sz w:val="22"/>
          <w:szCs w:val="22"/>
        </w:rPr>
        <w:t xml:space="preserve">Si normalizza sottraendo la media e dividendo per la deviazione standard dell’intera serie storica:</w:t>
      </w:r>
    </w:p>
    <w:p>
      <w:pPr>
        <w:shd w:fill="F5F5F5" w:val="clear"/>
        <w:spacing w:after="80" w:before="80"/>
        <w:ind w:left="360"/>
      </w:pPr>
      <w:r>
        <w:rPr>
          <w:rFonts w:ascii="Consolas" w:cs="Consolas" w:eastAsia="Consolas" w:hAnsi="Consolas"/>
          <w:color w:val="2E4057"/>
          <w:sz w:val="18"/>
          <w:szCs w:val="18"/>
        </w:rPr>
        <w:t xml:space="preserve">log_price_norm_t = (ln(LMP_t) − μ) / σ</w:t>
      </w:r>
    </w:p>
    <w:p>
      <w:pPr>
        <w:spacing w:after="160" w:line="312"/>
        <w:jc w:val="both"/>
      </w:pPr>
      <w:r>
        <w:rPr>
          <w:rFonts w:ascii="Cambria" w:cs="Cambria" w:eastAsia="Cambria" w:hAnsi="Cambria"/>
          <w:sz w:val="22"/>
          <w:szCs w:val="22"/>
        </w:rPr>
        <w:t xml:space="preserve">dove μ e σ sono la media e la deviazione standard di ln(LMP) calcolate su tutte le 43.789 ore. Dopo questa operazione, il log-price normalizzato ha media 0 e deviazione standard 1. Il motivo della normalizzazione è pratico: le feature dovrebbero vivere su scale comparabili, altrimenti quelle con valori più grandi dominano il calcolo delle distanze. Se il prezzo varia tra 10 e 500 mentre una fuel share varia tra 0 e 0.8, l’algoritmo considererebbe solo il prezzo. La normalizzazione mette tutto sullo stesso piano.</w:t>
      </w:r>
    </w:p>
    <w:p>
      <w:pPr>
        <w:spacing w:after="160" w:before="280"/>
      </w:pPr>
      <w:r>
        <w:rPr>
          <w:rFonts w:ascii="Calibri" w:cs="Calibri" w:eastAsia="Calibri" w:hAnsi="Calibri"/>
          <w:b/>
          <w:bCs/>
          <w:color w:val="2E75B6"/>
          <w:sz w:val="24"/>
          <w:szCs w:val="24"/>
        </w:rPr>
        <w:t xml:space="preserve">5.3 Le Sette Coordinate ILR del Fuel Mix</w:t>
      </w:r>
    </w:p>
    <w:p>
      <w:pPr>
        <w:spacing w:after="160" w:line="312"/>
        <w:jc w:val="both"/>
      </w:pPr>
      <w:r>
        <w:rPr>
          <w:rFonts w:ascii="Cambria" w:cs="Cambria" w:eastAsia="Cambria" w:hAnsi="Cambria"/>
          <w:sz w:val="22"/>
          <w:szCs w:val="22"/>
        </w:rPr>
        <w:t xml:space="preserve">Le restanti 7 feature provengono dalla trasformazione ILR delle fuel shares, descritta in dettaglio nella Parte 1 del documento. Ricapitoliamo qui in breve il senso di ciascuna coordinata.</w:t>
      </w:r>
    </w:p>
    <w:p>
      <w:pPr>
        <w:spacing w:after="160" w:line="312"/>
        <w:jc w:val="both"/>
      </w:pPr>
      <w:r>
        <w:rPr>
          <w:rFonts w:ascii="Cambria" w:cs="Cambria" w:eastAsia="Cambria" w:hAnsi="Cambria"/>
          <w:sz w:val="22"/>
          <w:szCs w:val="22"/>
        </w:rPr>
        <w:t xml:space="preserve">Ciascuna coordinata ILR è un </w:t>
      </w:r>
      <w:r>
        <w:rPr>
          <w:rFonts w:ascii="Cambria" w:cs="Cambria" w:eastAsia="Cambria" w:hAnsi="Cambria"/>
          <w:b/>
          <w:bCs/>
          <w:sz w:val="22"/>
          <w:szCs w:val="22"/>
        </w:rPr>
        <w:t xml:space="preserve">contrasto</w:t>
      </w:r>
      <w:r>
        <w:rPr>
          <w:rFonts w:ascii="Cambria" w:cs="Cambria" w:eastAsia="Cambria" w:hAnsi="Cambria"/>
          <w:sz w:val="22"/>
          <w:szCs w:val="22"/>
        </w:rPr>
        <w:t xml:space="preserve">: confronta due gruppi di combustibili e dice quale dei due pesa di più nel mix di quell’ora. Se il valore è positivo, il primo gruppo domina. Se è negativo, domina il secondo. Se è vicino a zero, i due gruppi sono in equilibrio.</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660"/>
      </w:tblGrid>
      <w:t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Coord.</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Contrasto</w:t>
            </w:r>
          </w:p>
        </w:tc>
        <w:tc>
          <w:tcPr>
            <w:tcW w:type="dxa" w:w="5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Cosa ci dice, in parole semplici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ILR₁</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Dispatchable vs Variable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Le fonti che possiamo accendere e spegnere a comando (gas, nucleare, carbone, olio, other) pesano più o meno delle fonti che dipendono dal meteo e dall’acqua (idro, solare, eolico)?</w:t>
            </w:r>
          </w:p>
        </w:tc>
      </w:tr>
      <w:tr>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ILR₂</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Fossile vs Non-fossile</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Dentro le fonti comandabili, stiamo bruciando combustibili fossili (gas, carbone, olio) oppure usiamo nucleare e altre fonti pulite?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ILR₃</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Gas vs Carbone+Olio</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Dentro i fossili, il gas naturale domina oppure si sono accesi anche carbone e olio? Quando carbone e olio si accendono, di solito è perché il sistema è sotto stress.</w:t>
            </w:r>
          </w:p>
        </w:tc>
      </w:tr>
      <w:tr>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ILR₄</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Carbone vs Olio</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Tra i due combustibili fossili pesanti, quale dei due è più attivo? In New England entrambi sono rari, ma il loro rapporto relativo è un segnale di stress di tipo diverso.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ILR₅</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Nucleare vs Other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Tra le fonti non-fossili comandabili, il nucleare (reattori di Millstone e Seabrook) domina oppure la categoria residuale (biomassa, storage) pesa di più?</w:t>
            </w:r>
          </w:p>
        </w:tc>
      </w:tr>
      <w:tr>
        <w:tc>
          <w:tcPr>
            <w:tcW w:type="dxa" w:w="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ILR₆</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Idro vs Intermittenti</w:t>
            </w:r>
          </w:p>
        </w:tc>
        <w:tc>
          <w:tcPr>
            <w:tcW w:type="dxa" w:w="56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Dentro le fonti variabili, l’idroelettrico (che dipende dalla pioggia e dallo scioglimento neve) pesa più del solare+eolico?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ILR₇</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Solare vs Eolico</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Tra le due fonti intermittenti, quale pesa di più? Questa coordinata cattura il ciclo giorno/notte (solare alto di giorno, zero di notte) e le condizioni del vento.</w:t>
            </w:r>
          </w:p>
        </w:tc>
      </w:tr>
    </w:tbl>
    <w:p>
      <w:pPr>
        <w:spacing w:after="160"/>
      </w:pPr>
    </w:p>
    <w:p>
      <w:pPr>
        <w:spacing w:after="160" w:line="312"/>
        <w:jc w:val="both"/>
      </w:pPr>
      <w:r>
        <w:rPr>
          <w:rFonts w:ascii="Cambria" w:cs="Cambria" w:eastAsia="Cambria" w:hAnsi="Cambria"/>
          <w:sz w:val="22"/>
          <w:szCs w:val="22"/>
        </w:rPr>
        <w:t xml:space="preserve">In sintesi: per ogni ora t, la sua carta d’identità E_t è un vettore di 9 numeri. I primi due descrivono il prezzo (quanto è cambiato e a che livello siamo), i restanti sette descrivono il mix di combustibili (chi sta producendo cosa). Questo vettore è l’input per tutto ciò che segue.</w:t>
      </w:r>
    </w:p>
    <w:p>
      <w:pPr>
        <w:pBdr>
          <w:bottom w:val="single" w:color="2E75B6" w:sz="4" w:space="4"/>
        </w:pBdr>
        <w:spacing w:after="200" w:before="360"/>
      </w:pPr>
      <w:r>
        <w:rPr>
          <w:rFonts w:ascii="Calibri" w:cs="Calibri" w:eastAsia="Calibri" w:hAnsi="Calibri"/>
          <w:b/>
          <w:bCs/>
          <w:color w:val="1B3A5C"/>
          <w:sz w:val="28"/>
          <w:szCs w:val="28"/>
        </w:rPr>
        <w:t xml:space="preserve">6. Riduzione Dimensionale: UMAP</w:t>
      </w:r>
    </w:p>
    <w:p>
      <w:pPr>
        <w:spacing w:after="160" w:before="280"/>
      </w:pPr>
      <w:r>
        <w:rPr>
          <w:rFonts w:ascii="Calibri" w:cs="Calibri" w:eastAsia="Calibri" w:hAnsi="Calibri"/>
          <w:b/>
          <w:bCs/>
          <w:color w:val="2E75B6"/>
          <w:sz w:val="24"/>
          <w:szCs w:val="24"/>
        </w:rPr>
        <w:t xml:space="preserve">6.1 Il problema della dimensionalità</w:t>
      </w:r>
    </w:p>
    <w:p>
      <w:pPr>
        <w:spacing w:after="160" w:line="312"/>
        <w:jc w:val="both"/>
      </w:pPr>
      <w:r>
        <w:rPr>
          <w:rFonts w:ascii="Cambria" w:cs="Cambria" w:eastAsia="Cambria" w:hAnsi="Cambria"/>
          <w:sz w:val="22"/>
          <w:szCs w:val="22"/>
        </w:rPr>
        <w:t xml:space="preserve">Abbiamo 43.789 ore, ciascuna descritta da 9 numeri. Immaginiamo di voler visualizzare questi dati su un foglio di carta. Su carta possiamo disegnare al massimo in due dimensioni (x e y). Come si fa a rappresentare 9 dimensioni in 2?</w:t>
      </w:r>
    </w:p>
    <w:p>
      <w:pPr>
        <w:spacing w:after="160" w:line="312"/>
        <w:jc w:val="both"/>
      </w:pPr>
      <w:r>
        <w:rPr>
          <w:rFonts w:ascii="Cambria" w:cs="Cambria" w:eastAsia="Cambria" w:hAnsi="Cambria"/>
          <w:sz w:val="22"/>
          <w:szCs w:val="22"/>
        </w:rPr>
        <w:t xml:space="preserve">Il problema è ancora più concreto di così. Non solo vogliamo visualizzare i dati, ma vogliamo che l’algoritmo di clustering (il passo successivo) possa raggruppare efficacemente le ore simili. Lavorare in 9 dimensioni è difficile per qualsiasi algoritmo di clustering: in spazi ad alta dimensione, le distanze tra punti tendono a diventare tutte simili tra loro (un fenomeno noto come </w:t>
      </w:r>
      <w:r>
        <w:rPr>
          <w:rFonts w:ascii="Cambria" w:cs="Cambria" w:eastAsia="Cambria" w:hAnsi="Cambria"/>
          <w:b/>
          <w:bCs/>
          <w:sz w:val="22"/>
          <w:szCs w:val="22"/>
        </w:rPr>
        <w:t xml:space="preserve">curse of dimensionality</w:t>
      </w:r>
      <w:r>
        <w:rPr>
          <w:rFonts w:ascii="Cambria" w:cs="Cambria" w:eastAsia="Cambria" w:hAnsi="Cambria"/>
          <w:sz w:val="22"/>
          <w:szCs w:val="22"/>
        </w:rPr>
        <w:t xml:space="preserve"> o “maledizione della dimensionalità”). In pratica, il concetto stesso di “vicino” e “lontano” perde significato quando le dimensioni aumentano.</w:t>
      </w:r>
    </w:p>
    <w:p>
      <w:pPr>
        <w:spacing w:after="160" w:line="312"/>
        <w:jc w:val="both"/>
      </w:pPr>
      <w:r>
        <w:rPr>
          <w:rFonts w:ascii="Cambria" w:cs="Cambria" w:eastAsia="Cambria" w:hAnsi="Cambria"/>
          <w:sz w:val="22"/>
          <w:szCs w:val="22"/>
        </w:rPr>
        <w:t xml:space="preserve">La soluzione è la </w:t>
      </w:r>
      <w:r>
        <w:rPr>
          <w:rFonts w:ascii="Cambria" w:cs="Cambria" w:eastAsia="Cambria" w:hAnsi="Cambria"/>
          <w:b/>
          <w:bCs/>
          <w:sz w:val="22"/>
          <w:szCs w:val="22"/>
        </w:rPr>
        <w:t xml:space="preserve">riduzione dimensionale</w:t>
      </w:r>
      <w:r>
        <w:rPr>
          <w:rFonts w:ascii="Cambria" w:cs="Cambria" w:eastAsia="Cambria" w:hAnsi="Cambria"/>
          <w:sz w:val="22"/>
          <w:szCs w:val="22"/>
        </w:rPr>
        <w:t xml:space="preserve">: proiettare i dati da 9 dimensioni a 2, cercando di preservare il più possibile la struttura dei dati — ovvero, i punti che erano vicini in 9D restano vicini in 2D, e quelli che erano lontani restano lontani.</w:t>
      </w:r>
    </w:p>
    <w:p>
      <w:pPr>
        <w:spacing w:after="160" w:before="280"/>
      </w:pPr>
      <w:r>
        <w:rPr>
          <w:rFonts w:ascii="Calibri" w:cs="Calibri" w:eastAsia="Calibri" w:hAnsi="Calibri"/>
          <w:b/>
          <w:bCs/>
          <w:color w:val="2E75B6"/>
          <w:sz w:val="24"/>
          <w:szCs w:val="24"/>
        </w:rPr>
        <w:t xml:space="preserve">6.2 Cos’è UMAP</w:t>
      </w:r>
    </w:p>
    <w:p>
      <w:pPr>
        <w:spacing w:after="160" w:line="312"/>
        <w:jc w:val="both"/>
      </w:pPr>
      <w:r>
        <w:rPr>
          <w:rFonts w:ascii="Cambria" w:cs="Cambria" w:eastAsia="Cambria" w:hAnsi="Cambria"/>
          <w:b/>
          <w:bCs/>
          <w:sz w:val="22"/>
          <w:szCs w:val="22"/>
        </w:rPr>
        <w:t xml:space="preserve">UMAP</w:t>
      </w:r>
      <w:r>
        <w:rPr>
          <w:rFonts w:ascii="Cambria" w:cs="Cambria" w:eastAsia="Cambria" w:hAnsi="Cambria"/>
          <w:sz w:val="22"/>
          <w:szCs w:val="22"/>
        </w:rPr>
        <w:t xml:space="preserve"> sta per </w:t>
      </w:r>
      <w:r>
        <w:rPr>
          <w:rFonts w:ascii="Cambria" w:cs="Cambria" w:eastAsia="Cambria" w:hAnsi="Cambria"/>
          <w:i/>
          <w:iCs/>
          <w:sz w:val="22"/>
          <w:szCs w:val="22"/>
        </w:rPr>
        <w:t xml:space="preserve">Uniform Manifold Approximation and Projection</w:t>
      </w:r>
      <w:r>
        <w:rPr>
          <w:rFonts w:ascii="Cambria" w:cs="Cambria" w:eastAsia="Cambria" w:hAnsi="Cambria"/>
          <w:sz w:val="22"/>
          <w:szCs w:val="22"/>
        </w:rPr>
        <w:t xml:space="preserve">. È un algoritmo pubblicato nel 2018 da Leland McInnes, che è diventato rapidamente uno degli strumenti più utilizzati per la riduzione dimensionale, in particolare nel machine learning e nelle scienze dei dati.</w:t>
      </w:r>
    </w:p>
    <w:p>
      <w:pPr>
        <w:spacing w:after="160" w:line="312"/>
        <w:jc w:val="both"/>
      </w:pPr>
      <w:r>
        <w:rPr>
          <w:rFonts w:ascii="Cambria" w:cs="Cambria" w:eastAsia="Cambria" w:hAnsi="Cambria"/>
          <w:sz w:val="22"/>
          <w:szCs w:val="22"/>
        </w:rPr>
        <w:t xml:space="preserve">Spieghiamo cosa fa UMAP passo per passo, con un’analogia.</w:t>
      </w:r>
    </w:p>
    <w:p>
      <w:pPr>
        <w:spacing w:after="160" w:line="312"/>
        <w:jc w:val="both"/>
      </w:pPr>
      <w:r>
        <w:rPr>
          <w:rFonts w:ascii="Cambria" w:cs="Cambria" w:eastAsia="Cambria" w:hAnsi="Cambria"/>
          <w:sz w:val="22"/>
          <w:szCs w:val="22"/>
        </w:rPr>
        <w:t xml:space="preserve">Immagina di avere una rete di 43.789 città distribuite nello spazio. Alcune sono vicine tra loro, altre sono lontane. Conosci la distanza tra ogni coppia di città (nello spazio a 9 dimensioni). Il tuo compito è disegnare una mappa 2D di queste città che rispetti il più possibile le distanze originali. Le città che erano raggruppate in cluster devono restare raggruppate, e i cluster che erano separati devono restare separati.</w:t>
      </w:r>
    </w:p>
    <w:p>
      <w:pPr>
        <w:spacing w:after="160" w:line="312"/>
        <w:jc w:val="both"/>
      </w:pPr>
      <w:r>
        <w:rPr>
          <w:rFonts w:ascii="Cambria" w:cs="Cambria" w:eastAsia="Cambria" w:hAnsi="Cambria"/>
          <w:sz w:val="22"/>
          <w:szCs w:val="22"/>
        </w:rPr>
        <w:t xml:space="preserve">UMAP fa esattamente questo, in tre fasi:</w:t>
      </w:r>
    </w:p>
    <w:p>
      <w:pPr>
        <w:spacing w:after="160" w:line="312"/>
        <w:jc w:val="both"/>
      </w:pPr>
      <w:r>
        <w:rPr>
          <w:rFonts w:ascii="Cambria" w:cs="Cambria" w:eastAsia="Cambria" w:hAnsi="Cambria"/>
          <w:b/>
          <w:bCs/>
          <w:sz w:val="22"/>
          <w:szCs w:val="22"/>
        </w:rPr>
        <w:t xml:space="preserve">Fase 1 — Costruzione del grafo locale. </w:t>
      </w:r>
      <w:r>
        <w:rPr>
          <w:rFonts w:ascii="Cambria" w:cs="Cambria" w:eastAsia="Cambria" w:hAnsi="Cambria"/>
          <w:sz w:val="22"/>
          <w:szCs w:val="22"/>
        </w:rPr>
        <w:t xml:space="preserve">Per ogni punto, UMAP guarda i suoi vicini più prossimi nello spazio a 9 dimensioni. Non si preoccupa dei punti lontani: conta solo il vicinato locale. Costruisce un grafo (una rete) dove i punti vicini sono collegati da archi con peso forte, e quelli lontani non sono collegati o lo sono debolmente. Il parametro </w:t>
      </w:r>
      <w:r>
        <w:rPr>
          <w:rFonts w:ascii="Cambria" w:cs="Cambria" w:eastAsia="Cambria" w:hAnsi="Cambria"/>
          <w:b/>
          <w:bCs/>
          <w:sz w:val="22"/>
          <w:szCs w:val="22"/>
        </w:rPr>
        <w:t xml:space="preserve">n_neighbors</w:t>
      </w:r>
      <w:r>
        <w:rPr>
          <w:rFonts w:ascii="Cambria" w:cs="Cambria" w:eastAsia="Cambria" w:hAnsi="Cambria"/>
          <w:sz w:val="22"/>
          <w:szCs w:val="22"/>
        </w:rPr>
        <w:t xml:space="preserve"> controlla quanti vicini considerare: un valore piccolo (es. 5) cattura struttura molto locale e dettagliata, un valore grande (es. 50) cattura struttura più globale e liscia.</w:t>
      </w:r>
    </w:p>
    <w:p>
      <w:pPr>
        <w:spacing w:after="160" w:line="312"/>
        <w:jc w:val="both"/>
      </w:pPr>
      <w:r>
        <w:rPr>
          <w:rFonts w:ascii="Cambria" w:cs="Cambria" w:eastAsia="Cambria" w:hAnsi="Cambria"/>
          <w:b/>
          <w:bCs/>
          <w:sz w:val="22"/>
          <w:szCs w:val="22"/>
        </w:rPr>
        <w:t xml:space="preserve">Fase 2 — Inizializzazione nella mappa 2D. </w:t>
      </w:r>
      <w:r>
        <w:rPr>
          <w:rFonts w:ascii="Cambria" w:cs="Cambria" w:eastAsia="Cambria" w:hAnsi="Cambria"/>
          <w:sz w:val="22"/>
          <w:szCs w:val="22"/>
        </w:rPr>
        <w:t xml:space="preserve">UMAP posiziona i 43.789 punti in uno spazio 2D iniziale. Di solito parte da una proiezione approssimativa (come lo spectral embedding del grafo), che dà una buona posizione di partenza.</w:t>
      </w:r>
    </w:p>
    <w:p>
      <w:pPr>
        <w:spacing w:after="160" w:line="312"/>
        <w:jc w:val="both"/>
      </w:pPr>
      <w:r>
        <w:rPr>
          <w:rFonts w:ascii="Cambria" w:cs="Cambria" w:eastAsia="Cambria" w:hAnsi="Cambria"/>
          <w:b/>
          <w:bCs/>
          <w:sz w:val="22"/>
          <w:szCs w:val="22"/>
        </w:rPr>
        <w:t xml:space="preserve">Fase 3 — Ottimizzazione. </w:t>
      </w:r>
      <w:r>
        <w:rPr>
          <w:rFonts w:ascii="Cambria" w:cs="Cambria" w:eastAsia="Cambria" w:hAnsi="Cambria"/>
          <w:sz w:val="22"/>
          <w:szCs w:val="22"/>
        </w:rPr>
        <w:t xml:space="preserve">UMAP muove iterativamente i punti nella mappa 2D, cercando di far sì che la struttura del grafo 2D assomigli il più possibile a quella del grafo 9D. Se due punti erano vicini in 9D ma sono lontani nella mappa 2D, li avvicina. Se due punti erano lontani in 9D ma si trovano vicini nella mappa 2D, li allontana. Questo processo si ripete per centinaia di iterazioni fino a convergenza. Il parametro </w:t>
      </w:r>
      <w:r>
        <w:rPr>
          <w:rFonts w:ascii="Cambria" w:cs="Cambria" w:eastAsia="Cambria" w:hAnsi="Cambria"/>
          <w:b/>
          <w:bCs/>
          <w:sz w:val="22"/>
          <w:szCs w:val="22"/>
        </w:rPr>
        <w:t xml:space="preserve">min_dist</w:t>
      </w:r>
      <w:r>
        <w:rPr>
          <w:rFonts w:ascii="Cambria" w:cs="Cambria" w:eastAsia="Cambria" w:hAnsi="Cambria"/>
          <w:sz w:val="22"/>
          <w:szCs w:val="22"/>
        </w:rPr>
        <w:t xml:space="preserve"> controlla quanto possono avvicinarsi i punti nella mappa: un valore piccolo (es. 0.0) permette cluster molto compatti e ben separati, un valore grande (es. 0.5) produce distribuzioni più uniformi.</w:t>
      </w:r>
    </w:p>
    <w:p>
      <w:pPr>
        <w:spacing w:after="160" w:line="312"/>
        <w:jc w:val="both"/>
      </w:pPr>
      <w:r>
        <w:rPr>
          <w:rFonts w:ascii="Cambria" w:cs="Cambria" w:eastAsia="Cambria" w:hAnsi="Cambria"/>
          <w:sz w:val="22"/>
          <w:szCs w:val="22"/>
        </w:rPr>
        <w:t xml:space="preserve">Il risultato è una </w:t>
      </w:r>
      <w:r>
        <w:rPr>
          <w:rFonts w:ascii="Cambria" w:cs="Cambria" w:eastAsia="Cambria" w:hAnsi="Cambria"/>
          <w:b/>
          <w:bCs/>
          <w:sz w:val="22"/>
          <w:szCs w:val="22"/>
        </w:rPr>
        <w:t xml:space="preserve">mappa 2D</w:t>
      </w:r>
      <w:r>
        <w:rPr>
          <w:rFonts w:ascii="Cambria" w:cs="Cambria" w:eastAsia="Cambria" w:hAnsi="Cambria"/>
          <w:sz w:val="22"/>
          <w:szCs w:val="22"/>
        </w:rPr>
        <w:t xml:space="preserve"> (che chiamiamo z_t ∈ ℝ²) dove ogni punto corrisponde a un’ora del dataset. Le ore simili tra loro (prezzo simile, fuel mix simile) si trovano vicine nella mappa, formando addensamenti visibili. Le ore diverse si trovano in zone diverse della mappa. Questi addensamenti sono i nostri candidati regimi.</w:t>
      </w:r>
    </w:p>
    <w:p>
      <w:pPr>
        <w:spacing w:after="160" w:before="280"/>
      </w:pPr>
      <w:r>
        <w:rPr>
          <w:rFonts w:ascii="Calibri" w:cs="Calibri" w:eastAsia="Calibri" w:hAnsi="Calibri"/>
          <w:b/>
          <w:bCs/>
          <w:color w:val="2E75B6"/>
          <w:sz w:val="24"/>
          <w:szCs w:val="24"/>
        </w:rPr>
        <w:t xml:space="preserve">6.3 Perché UMAP e non PCA</w:t>
      </w:r>
    </w:p>
    <w:p>
      <w:pPr>
        <w:spacing w:after="160" w:line="312"/>
        <w:jc w:val="both"/>
      </w:pPr>
      <w:r>
        <w:rPr>
          <w:rFonts w:ascii="Cambria" w:cs="Cambria" w:eastAsia="Cambria" w:hAnsi="Cambria"/>
          <w:sz w:val="22"/>
          <w:szCs w:val="22"/>
        </w:rPr>
        <w:t xml:space="preserve">L’alternativa più nota alla riduzione dimensionale è la </w:t>
      </w:r>
      <w:r>
        <w:rPr>
          <w:rFonts w:ascii="Cambria" w:cs="Cambria" w:eastAsia="Cambria" w:hAnsi="Cambria"/>
          <w:b/>
          <w:bCs/>
          <w:sz w:val="22"/>
          <w:szCs w:val="22"/>
        </w:rPr>
        <w:t xml:space="preserve">PCA (Principal Component Analysis)</w:t>
      </w:r>
      <w:r>
        <w:rPr>
          <w:rFonts w:ascii="Cambria" w:cs="Cambria" w:eastAsia="Cambria" w:hAnsi="Cambria"/>
          <w:sz w:val="22"/>
          <w:szCs w:val="22"/>
        </w:rPr>
        <w:t xml:space="preserve">. La PCA cerca le direzioni di massima varianza nei dati e proietta lungo quelle direzioni. È un metodo lineare: può solo ruotare e allungare i dati, non piegarli. Se la struttura dei dati è curva o non lineare (come tipicamente accade nei dati di mercato), la PCA la schiaccia e la distorce.</w:t>
      </w:r>
    </w:p>
    <w:p>
      <w:pPr>
        <w:spacing w:after="160" w:line="312"/>
        <w:jc w:val="both"/>
      </w:pPr>
      <w:r>
        <w:rPr>
          <w:rFonts w:ascii="Cambria" w:cs="Cambria" w:eastAsia="Cambria" w:hAnsi="Cambria"/>
          <w:sz w:val="22"/>
          <w:szCs w:val="22"/>
        </w:rPr>
        <w:t xml:space="preserve">UMAP, al contrario, è un metodo </w:t>
      </w:r>
      <w:r>
        <w:rPr>
          <w:rFonts w:ascii="Cambria" w:cs="Cambria" w:eastAsia="Cambria" w:hAnsi="Cambria"/>
          <w:b/>
          <w:bCs/>
          <w:sz w:val="22"/>
          <w:szCs w:val="22"/>
        </w:rPr>
        <w:t xml:space="preserve">non lineare</w:t>
      </w:r>
      <w:r>
        <w:rPr>
          <w:rFonts w:ascii="Cambria" w:cs="Cambria" w:eastAsia="Cambria" w:hAnsi="Cambria"/>
          <w:sz w:val="22"/>
          <w:szCs w:val="22"/>
        </w:rPr>
        <w:t xml:space="preserve">. Può “srotolare” strutture curve, preservando la topologia locale dei dati. In pratica, UMAP produce mappe 2D con cluster molto più netti e separati rispetto alla PCA, il che è esattamente ciò che serve per il passo successivo (il clustering).</w:t>
      </w:r>
    </w:p>
    <w:p>
      <w:pPr>
        <w:spacing w:after="160" w:before="280"/>
      </w:pPr>
      <w:r>
        <w:rPr>
          <w:rFonts w:ascii="Calibri" w:cs="Calibri" w:eastAsia="Calibri" w:hAnsi="Calibri"/>
          <w:b/>
          <w:bCs/>
          <w:color w:val="2E75B6"/>
          <w:sz w:val="24"/>
          <w:szCs w:val="24"/>
        </w:rPr>
        <w:t xml:space="preserve">6.4 Iperparametri</w:t>
      </w:r>
    </w:p>
    <w:p>
      <w:pPr>
        <w:spacing w:after="160" w:line="312"/>
        <w:jc w:val="both"/>
      </w:pPr>
      <w:r>
        <w:rPr>
          <w:rFonts w:ascii="Cambria" w:cs="Cambria" w:eastAsia="Cambria" w:hAnsi="Cambria"/>
          <w:sz w:val="22"/>
          <w:szCs w:val="22"/>
        </w:rPr>
        <w:t xml:space="preserve">UMAP ha due iperparametri principali che influenzano la forma della mappa 2D. Non esiste una scelta “giusta” a priori: la scelta ottimale dipende dai dati. Per questo motivo, la nostra pipeline include uno step di grid search (step 03) che prova sistematicamente diverse combinazioni di iperparametri e sceglie quella che produce il clustering migliore.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Parametro</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Significato</w:t>
            </w:r>
          </w:p>
        </w:tc>
        <w:tc>
          <w:tcPr>
            <w:tcW w:type="dxa" w:w="3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Effetto sulla mappa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n_neighbors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Quanti vicini considerare per ogni punto nel grafo locale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Valori bassi (5–15) catturano struttura fine e locale, con il rischio di frammentare cluster reali. Valori alti (30–50) catturano struttura globale e più liscia, con il rischio di fondere cluster distinti.</w:t>
            </w:r>
          </w:p>
        </w:tc>
      </w:tr>
      <w:tr>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min_dist</w:t>
            </w:r>
          </w:p>
        </w:tc>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Distanza minima tra punti nella mappa 2D</w:t>
            </w:r>
          </w:p>
        </w:tc>
        <w:tc>
          <w:tcPr>
            <w:tcW w:type="dxa" w:w="37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Valori prossimi a 0 producono cluster molto compatti e separati, ideali per il clustering. Valori più alti (0.1–0.5) producono distribuzioni più uniformi, migliori per la visualizzazione ma peggiori per il clustering.</w:t>
            </w:r>
          </w:p>
        </w:tc>
      </w:tr>
    </w:tbl>
    <w:p>
      <w:pPr>
        <w:spacing w:after="160"/>
      </w:pPr>
    </w:p>
    <w:p>
      <w:pPr>
        <w:pBdr>
          <w:bottom w:val="single" w:color="2E75B6" w:sz="4" w:space="4"/>
        </w:pBdr>
        <w:spacing w:after="200" w:before="360"/>
      </w:pPr>
      <w:r>
        <w:rPr>
          <w:rFonts w:ascii="Calibri" w:cs="Calibri" w:eastAsia="Calibri" w:hAnsi="Calibri"/>
          <w:b/>
          <w:bCs/>
          <w:color w:val="1B3A5C"/>
          <w:sz w:val="28"/>
          <w:szCs w:val="28"/>
        </w:rPr>
        <w:t xml:space="preserve">7. Clustering: HDBSCAN</w:t>
      </w:r>
    </w:p>
    <w:p>
      <w:pPr>
        <w:spacing w:after="160" w:before="280"/>
      </w:pPr>
      <w:r>
        <w:rPr>
          <w:rFonts w:ascii="Calibri" w:cs="Calibri" w:eastAsia="Calibri" w:hAnsi="Calibri"/>
          <w:b/>
          <w:bCs/>
          <w:color w:val="2E75B6"/>
          <w:sz w:val="24"/>
          <w:szCs w:val="24"/>
        </w:rPr>
        <w:t xml:space="preserve">7.1 Cos’è il clustering</w:t>
      </w:r>
    </w:p>
    <w:p>
      <w:pPr>
        <w:spacing w:after="160" w:line="312"/>
        <w:jc w:val="both"/>
      </w:pPr>
      <w:r>
        <w:rPr>
          <w:rFonts w:ascii="Cambria" w:cs="Cambria" w:eastAsia="Cambria" w:hAnsi="Cambria"/>
          <w:sz w:val="22"/>
          <w:szCs w:val="22"/>
        </w:rPr>
        <w:t xml:space="preserve">Il clustering è l’operazione di raggruppare oggetti simili tra loro. Nel nostro caso, gli “oggetti” sono i 43.789 punti nella mappa 2D prodotta da UMAP. Ogni punto è un’ora del mercato. Vogliamo che l’algoritmo guardi la mappa e dica: “questo gruppo di punti addensati è un regime, quest’altro addensamento è un altro regime”, e così via.</w:t>
      </w:r>
    </w:p>
    <w:p>
      <w:pPr>
        <w:spacing w:after="160" w:line="312"/>
        <w:jc w:val="both"/>
      </w:pPr>
      <w:r>
        <w:rPr>
          <w:rFonts w:ascii="Cambria" w:cs="Cambria" w:eastAsia="Cambria" w:hAnsi="Cambria"/>
          <w:sz w:val="22"/>
          <w:szCs w:val="22"/>
        </w:rPr>
        <w:t xml:space="preserve">Esistono molti algoritmi di clustering. Il più noto è K-Means, che chiede all’utente di specificare in anticipo quanti cluster cercare (il famoso K). Ma noi non sappiamo quanti regimi ci siano: potrebbe essere 3, 5, 8, o qualsiasi numero. Vogliamo che sia l’algoritmo a decidere.</w:t>
      </w:r>
    </w:p>
    <w:p>
      <w:pPr>
        <w:spacing w:after="160" w:before="280"/>
      </w:pPr>
      <w:r>
        <w:rPr>
          <w:rFonts w:ascii="Calibri" w:cs="Calibri" w:eastAsia="Calibri" w:hAnsi="Calibri"/>
          <w:b/>
          <w:bCs/>
          <w:color w:val="2E75B6"/>
          <w:sz w:val="24"/>
          <w:szCs w:val="24"/>
        </w:rPr>
        <w:t xml:space="preserve">7.2 Perché HDBSCAN</w:t>
      </w:r>
    </w:p>
    <w:p>
      <w:pPr>
        <w:spacing w:after="160" w:line="312"/>
        <w:jc w:val="both"/>
      </w:pPr>
      <w:r>
        <w:rPr>
          <w:rFonts w:ascii="Cambria" w:cs="Cambria" w:eastAsia="Cambria" w:hAnsi="Cambria"/>
          <w:b/>
          <w:bCs/>
          <w:sz w:val="22"/>
          <w:szCs w:val="22"/>
        </w:rPr>
        <w:t xml:space="preserve">HDBSCAN</w:t>
      </w:r>
      <w:r>
        <w:rPr>
          <w:rFonts w:ascii="Cambria" w:cs="Cambria" w:eastAsia="Cambria" w:hAnsi="Cambria"/>
          <w:sz w:val="22"/>
          <w:szCs w:val="22"/>
        </w:rPr>
        <w:t xml:space="preserve"> sta per </w:t>
      </w:r>
      <w:r>
        <w:rPr>
          <w:rFonts w:ascii="Cambria" w:cs="Cambria" w:eastAsia="Cambria" w:hAnsi="Cambria"/>
          <w:i/>
          <w:iCs/>
          <w:sz w:val="22"/>
          <w:szCs w:val="22"/>
        </w:rPr>
        <w:t xml:space="preserve">Hierarchical Density-Based Spatial Clustering of Applications with Noise</w:t>
      </w:r>
      <w:r>
        <w:rPr>
          <w:rFonts w:ascii="Cambria" w:cs="Cambria" w:eastAsia="Cambria" w:hAnsi="Cambria"/>
          <w:sz w:val="22"/>
          <w:szCs w:val="22"/>
        </w:rPr>
        <w:t xml:space="preserve">. È un algoritmo di clustering che ha tre proprietà fondamentali per il nostro scopo:</w:t>
      </w:r>
    </w:p>
    <w:p>
      <w:pPr>
        <w:spacing w:after="160" w:line="312"/>
        <w:jc w:val="both"/>
      </w:pPr>
      <w:r>
        <w:rPr>
          <w:rFonts w:ascii="Cambria" w:cs="Cambria" w:eastAsia="Cambria" w:hAnsi="Cambria"/>
          <w:b/>
          <w:bCs/>
          <w:sz w:val="22"/>
          <w:szCs w:val="22"/>
        </w:rPr>
        <w:t xml:space="preserve">Scopre automaticamente il numero di cluster. </w:t>
      </w:r>
      <w:r>
        <w:rPr>
          <w:rFonts w:ascii="Cambria" w:cs="Cambria" w:eastAsia="Cambria" w:hAnsi="Cambria"/>
          <w:sz w:val="22"/>
          <w:szCs w:val="22"/>
        </w:rPr>
        <w:t xml:space="preserve">Non dobbiamo dirgli quanti regimi cercare. HDBSCAN analizza la densità dei punti nella mappa e decide autonomamente dove finisce un cluster e dove ne inizia un altro. Il numero K di regimi “emerge dai dati”.</w:t>
      </w:r>
    </w:p>
    <w:p>
      <w:pPr>
        <w:spacing w:after="160" w:line="312"/>
        <w:jc w:val="both"/>
      </w:pPr>
      <w:r>
        <w:rPr>
          <w:rFonts w:ascii="Cambria" w:cs="Cambria" w:eastAsia="Cambria" w:hAnsi="Cambria"/>
          <w:b/>
          <w:bCs/>
          <w:sz w:val="22"/>
          <w:szCs w:val="22"/>
        </w:rPr>
        <w:t xml:space="preserve">Gestisce il rumore. </w:t>
      </w:r>
      <w:r>
        <w:rPr>
          <w:rFonts w:ascii="Cambria" w:cs="Cambria" w:eastAsia="Cambria" w:hAnsi="Cambria"/>
          <w:sz w:val="22"/>
          <w:szCs w:val="22"/>
        </w:rPr>
        <w:t xml:space="preserve">Non tutte le ore del mercato appartengono chiaramente a un regime. Alcune ore sono “di transizione” o “anomalhe” — non somigliano a nessun cluster. HDBSCAN le etichetta come </w:t>
      </w:r>
      <w:r>
        <w:rPr>
          <w:rFonts w:ascii="Cambria" w:cs="Cambria" w:eastAsia="Cambria" w:hAnsi="Cambria"/>
          <w:b/>
          <w:bCs/>
          <w:sz w:val="22"/>
          <w:szCs w:val="22"/>
        </w:rPr>
        <w:t xml:space="preserve">noise</w:t>
      </w:r>
      <w:r>
        <w:rPr>
          <w:rFonts w:ascii="Cambria" w:cs="Cambria" w:eastAsia="Cambria" w:hAnsi="Cambria"/>
          <w:sz w:val="22"/>
          <w:szCs w:val="22"/>
        </w:rPr>
        <w:t xml:space="preserve"> (rumore, label = −1) invece di forzarle dentro un cluster dove non appartengono. Questo è un vantaggio enorme rispetto a K-Means, che assegna ogni punto a un cluster anche se non c’entra nulla.</w:t>
      </w:r>
    </w:p>
    <w:p>
      <w:pPr>
        <w:spacing w:after="160" w:line="312"/>
        <w:jc w:val="both"/>
      </w:pPr>
      <w:r>
        <w:rPr>
          <w:rFonts w:ascii="Cambria" w:cs="Cambria" w:eastAsia="Cambria" w:hAnsi="Cambria"/>
          <w:b/>
          <w:bCs/>
          <w:sz w:val="22"/>
          <w:szCs w:val="22"/>
        </w:rPr>
        <w:t xml:space="preserve">Trova cluster di forma e dimensione diversa. </w:t>
      </w:r>
      <w:r>
        <w:rPr>
          <w:rFonts w:ascii="Cambria" w:cs="Cambria" w:eastAsia="Cambria" w:hAnsi="Cambria"/>
          <w:sz w:val="22"/>
          <w:szCs w:val="22"/>
        </w:rPr>
        <w:t xml:space="preserve">K-Means assume che i cluster siano sfere di dimensione simile. HDBSCAN non fa questa assunzione: può trovare cluster allungati, irregolari, di dimensioni molto diverse. Questo è realistico per i regimi di mercato, che non hanno motivo di essere “rotondi”.</w:t>
      </w:r>
    </w:p>
    <w:p>
      <w:pPr>
        <w:spacing w:after="160" w:before="280"/>
      </w:pPr>
      <w:r>
        <w:rPr>
          <w:rFonts w:ascii="Calibri" w:cs="Calibri" w:eastAsia="Calibri" w:hAnsi="Calibri"/>
          <w:b/>
          <w:bCs/>
          <w:color w:val="2E75B6"/>
          <w:sz w:val="24"/>
          <w:szCs w:val="24"/>
        </w:rPr>
        <w:t xml:space="preserve">7.3 Come funziona HDBSCAN, passo per passo</w:t>
      </w:r>
    </w:p>
    <w:p>
      <w:pPr>
        <w:spacing w:after="160" w:line="312"/>
        <w:jc w:val="both"/>
      </w:pPr>
      <w:r>
        <w:rPr>
          <w:rFonts w:ascii="Cambria" w:cs="Cambria" w:eastAsia="Cambria" w:hAnsi="Cambria"/>
          <w:sz w:val="22"/>
          <w:szCs w:val="22"/>
        </w:rPr>
        <w:t xml:space="preserve">Spieghiamo il funzionamento con un’analogia visiva. Immagina la mappa 2D di UMAP come una fotografia aerea notturna di una regione. I punti (le ore) sono luci. Dove ci sono molti punti vicini, vedi un’area luminosa (alta densità). Dove i punti sono radi, vedi il buio (bassa densità).</w:t>
      </w:r>
    </w:p>
    <w:p>
      <w:pPr>
        <w:spacing w:after="160" w:line="312"/>
        <w:jc w:val="both"/>
      </w:pPr>
      <w:r>
        <w:rPr>
          <w:rFonts w:ascii="Cambria" w:cs="Cambria" w:eastAsia="Cambria" w:hAnsi="Cambria"/>
          <w:b/>
          <w:bCs/>
          <w:sz w:val="22"/>
          <w:szCs w:val="22"/>
        </w:rPr>
        <w:t xml:space="preserve">Passo 1 — Stima della densità locale. </w:t>
      </w:r>
      <w:r>
        <w:rPr>
          <w:rFonts w:ascii="Cambria" w:cs="Cambria" w:eastAsia="Cambria" w:hAnsi="Cambria"/>
          <w:sz w:val="22"/>
          <w:szCs w:val="22"/>
        </w:rPr>
        <w:t xml:space="preserve">Per ogni punto, HDBSCAN calcola quanto è “affollato” il suo vicinato. Se ci sono molti punti vicini, la densità è alta. Se i vicini sono lontani, la densità è bassa. Questo viene fatto attraverso la </w:t>
      </w:r>
      <w:r>
        <w:rPr>
          <w:rFonts w:ascii="Cambria" w:cs="Cambria" w:eastAsia="Cambria" w:hAnsi="Cambria"/>
          <w:i/>
          <w:iCs/>
          <w:sz w:val="22"/>
          <w:szCs w:val="22"/>
        </w:rPr>
        <w:t xml:space="preserve">core distance</w:t>
      </w:r>
      <w:r>
        <w:rPr>
          <w:rFonts w:ascii="Cambria" w:cs="Cambria" w:eastAsia="Cambria" w:hAnsi="Cambria"/>
          <w:sz w:val="22"/>
          <w:szCs w:val="22"/>
        </w:rPr>
        <w:t xml:space="preserve">: la distanza dal punto al suo k-esimo vicino più prossimo (dove k = min_cluster_size).</w:t>
      </w:r>
    </w:p>
    <w:p>
      <w:pPr>
        <w:spacing w:after="160" w:line="312"/>
        <w:jc w:val="both"/>
      </w:pPr>
      <w:r>
        <w:rPr>
          <w:rFonts w:ascii="Cambria" w:cs="Cambria" w:eastAsia="Cambria" w:hAnsi="Cambria"/>
          <w:b/>
          <w:bCs/>
          <w:sz w:val="22"/>
          <w:szCs w:val="22"/>
        </w:rPr>
        <w:t xml:space="preserve">Passo 2 — Costruzione dell’albero gerarchico. </w:t>
      </w:r>
      <w:r>
        <w:rPr>
          <w:rFonts w:ascii="Cambria" w:cs="Cambria" w:eastAsia="Cambria" w:hAnsi="Cambria"/>
          <w:sz w:val="22"/>
          <w:szCs w:val="22"/>
        </w:rPr>
        <w:t xml:space="preserve">Immagina di alzare lentamente il “livello del mare” sulla mappa. All’inizio, quando il mare è basso, tutti i picchi di densità (i cluster) sono visibili come isole separate. Man mano che il mare sale, le isole si restringono. Prima scompaiono le isole piccole (cluster poco densi), poi quelle grandi. Questo processo crea un albero gerarchico (un </w:t>
      </w:r>
      <w:r>
        <w:rPr>
          <w:rFonts w:ascii="Cambria" w:cs="Cambria" w:eastAsia="Cambria" w:hAnsi="Cambria"/>
          <w:i/>
          <w:iCs/>
          <w:sz w:val="22"/>
          <w:szCs w:val="22"/>
        </w:rPr>
        <w:t xml:space="preserve">dendrogramma</w:t>
      </w:r>
      <w:r>
        <w:rPr>
          <w:rFonts w:ascii="Cambria" w:cs="Cambria" w:eastAsia="Cambria" w:hAnsi="Cambria"/>
          <w:sz w:val="22"/>
          <w:szCs w:val="22"/>
        </w:rPr>
        <w:t xml:space="preserve">) dove ogni ramo corrisponde a un cluster ad un certo livello di densità.</w:t>
      </w:r>
    </w:p>
    <w:p>
      <w:pPr>
        <w:spacing w:after="160" w:line="312"/>
        <w:jc w:val="both"/>
      </w:pPr>
      <w:r>
        <w:rPr>
          <w:rFonts w:ascii="Cambria" w:cs="Cambria" w:eastAsia="Cambria" w:hAnsi="Cambria"/>
          <w:b/>
          <w:bCs/>
          <w:sz w:val="22"/>
          <w:szCs w:val="22"/>
        </w:rPr>
        <w:t xml:space="preserve">Passo 3 — Selezione dei cluster stabili. </w:t>
      </w:r>
      <w:r>
        <w:rPr>
          <w:rFonts w:ascii="Cambria" w:cs="Cambria" w:eastAsia="Cambria" w:hAnsi="Cambria"/>
          <w:sz w:val="22"/>
          <w:szCs w:val="22"/>
        </w:rPr>
        <w:t xml:space="preserve">Non tutti i rami dell’albero sono cluster “veri”. Alcuni sono effimeri: appaiono brevemente e poi si fondono con un cluster più grande. HDBSCAN misura la </w:t>
      </w:r>
      <w:r>
        <w:rPr>
          <w:rFonts w:ascii="Cambria" w:cs="Cambria" w:eastAsia="Cambria" w:hAnsi="Cambria"/>
          <w:b/>
          <w:bCs/>
          <w:sz w:val="22"/>
          <w:szCs w:val="22"/>
        </w:rPr>
        <w:t xml:space="preserve">persistenza</w:t>
      </w:r>
      <w:r>
        <w:rPr>
          <w:rFonts w:ascii="Cambria" w:cs="Cambria" w:eastAsia="Cambria" w:hAnsi="Cambria"/>
          <w:sz w:val="22"/>
          <w:szCs w:val="22"/>
        </w:rPr>
        <w:t xml:space="preserve"> di ogni ramo: per quanto tempo (in termini di livelli di densità) un cluster esiste come entità separata prima di fondersi? I cluster con alta persistenza sono considerati “veri” — strutture robuste dei dati. Quelli con bassa persistenza vengono scartati.</w:t>
      </w:r>
    </w:p>
    <w:p>
      <w:pPr>
        <w:spacing w:after="160" w:line="312"/>
        <w:jc w:val="both"/>
      </w:pPr>
      <w:r>
        <w:rPr>
          <w:rFonts w:ascii="Cambria" w:cs="Cambria" w:eastAsia="Cambria" w:hAnsi="Cambria"/>
          <w:b/>
          <w:bCs/>
          <w:sz w:val="22"/>
          <w:szCs w:val="22"/>
        </w:rPr>
        <w:t xml:space="preserve">Passo 4 — Assegnazione e rumore. </w:t>
      </w:r>
      <w:r>
        <w:rPr>
          <w:rFonts w:ascii="Cambria" w:cs="Cambria" w:eastAsia="Cambria" w:hAnsi="Cambria"/>
          <w:sz w:val="22"/>
          <w:szCs w:val="22"/>
        </w:rPr>
        <w:t xml:space="preserve">Ogni punto viene assegnato al cluster stabile più vicino, oppure etichettato come rumore se non appartiene a nessun cluster con sufficiente confidenza.</w:t>
      </w:r>
    </w:p>
    <w:p>
      <w:pPr>
        <w:spacing w:after="160" w:before="280"/>
      </w:pPr>
      <w:r>
        <w:rPr>
          <w:rFonts w:ascii="Calibri" w:cs="Calibri" w:eastAsia="Calibri" w:hAnsi="Calibri"/>
          <w:b/>
          <w:bCs/>
          <w:color w:val="2E75B6"/>
          <w:sz w:val="24"/>
          <w:szCs w:val="24"/>
        </w:rPr>
        <w:t xml:space="preserve">7.4 L’iperparametro chiave: min_cluster_size</w:t>
      </w:r>
    </w:p>
    <w:p>
      <w:pPr>
        <w:spacing w:after="160" w:line="312"/>
        <w:jc w:val="both"/>
      </w:pPr>
      <w:r>
        <w:rPr>
          <w:rFonts w:ascii="Cambria" w:cs="Cambria" w:eastAsia="Cambria" w:hAnsi="Cambria"/>
          <w:sz w:val="22"/>
          <w:szCs w:val="22"/>
        </w:rPr>
        <w:t xml:space="preserve">HDBSCAN ha un iperparametro principale: </w:t>
      </w:r>
      <w:r>
        <w:rPr>
          <w:rFonts w:ascii="Cambria" w:cs="Cambria" w:eastAsia="Cambria" w:hAnsi="Cambria"/>
          <w:b/>
          <w:bCs/>
          <w:sz w:val="22"/>
          <w:szCs w:val="22"/>
        </w:rPr>
        <w:t xml:space="preserve">min_cluster_size</w:t>
      </w:r>
      <w:r>
        <w:rPr>
          <w:rFonts w:ascii="Cambria" w:cs="Cambria" w:eastAsia="Cambria" w:hAnsi="Cambria"/>
          <w:sz w:val="22"/>
          <w:szCs w:val="22"/>
        </w:rPr>
        <w:t xml:space="preserve">. Questo è il numero minimo di punti che un addensamento deve contenere per essere considerato un cluster valido. Se lo impostiamo troppo basso (es. 10), l’algoritmo trova molti micro-cluster, alcuni dei quali sono probabilmente rumore. Se lo impostiamo troppo alto (es. 5.000), l’algoritmo trova pochi cluster molto grandi, perdendo dettaglio.</w:t>
      </w:r>
    </w:p>
    <w:p>
      <w:pPr>
        <w:spacing w:after="160" w:line="312"/>
        <w:jc w:val="both"/>
      </w:pPr>
      <w:r>
        <w:rPr>
          <w:rFonts w:ascii="Cambria" w:cs="Cambria" w:eastAsia="Cambria" w:hAnsi="Cambria"/>
          <w:sz w:val="22"/>
          <w:szCs w:val="22"/>
        </w:rPr>
        <w:t xml:space="preserve">Anche questo parametro viene ottimizzato nella grid search dello step 03, insieme agli iperparametri di UMAP.</w:t>
      </w:r>
    </w:p>
    <w:p>
      <w:pPr>
        <w:pBdr>
          <w:bottom w:val="single" w:color="2E75B6" w:sz="4" w:space="4"/>
        </w:pBdr>
        <w:spacing w:after="200" w:before="360"/>
      </w:pPr>
      <w:r>
        <w:rPr>
          <w:rFonts w:ascii="Calibri" w:cs="Calibri" w:eastAsia="Calibri" w:hAnsi="Calibri"/>
          <w:b/>
          <w:bCs/>
          <w:color w:val="1B3A5C"/>
          <w:sz w:val="28"/>
          <w:szCs w:val="28"/>
        </w:rPr>
        <w:t xml:space="preserve">8. Grid Search: Trovare i Parametri Ottimali</w:t>
      </w:r>
    </w:p>
    <w:p>
      <w:pPr>
        <w:spacing w:after="160" w:before="280"/>
      </w:pPr>
      <w:r>
        <w:rPr>
          <w:rFonts w:ascii="Calibri" w:cs="Calibri" w:eastAsia="Calibri" w:hAnsi="Calibri"/>
          <w:b/>
          <w:bCs/>
          <w:color w:val="2E75B6"/>
          <w:sz w:val="24"/>
          <w:szCs w:val="24"/>
        </w:rPr>
        <w:t xml:space="preserve">8.1 Il problema</w:t>
      </w:r>
    </w:p>
    <w:p>
      <w:pPr>
        <w:spacing w:after="160" w:line="312"/>
        <w:jc w:val="both"/>
      </w:pPr>
      <w:r>
        <w:rPr>
          <w:rFonts w:ascii="Cambria" w:cs="Cambria" w:eastAsia="Cambria" w:hAnsi="Cambria"/>
          <w:sz w:val="22"/>
          <w:szCs w:val="22"/>
        </w:rPr>
        <w:t xml:space="preserve">Abbiamo visto che UMAP ha due iperparametri (n_neighbors, min_dist) e HDBSCAN ne ha uno (min_cluster_size). La qualità del risultato finale — i regimi che scopriamo — dipende dalla combinazione di questi tre parametri. Scelte diverse portano a regimi diversi.</w:t>
      </w:r>
    </w:p>
    <w:p>
      <w:pPr>
        <w:spacing w:after="160" w:line="312"/>
        <w:jc w:val="both"/>
      </w:pPr>
      <w:r>
        <w:rPr>
          <w:rFonts w:ascii="Cambria" w:cs="Cambria" w:eastAsia="Cambria" w:hAnsi="Cambria"/>
          <w:sz w:val="22"/>
          <w:szCs w:val="22"/>
        </w:rPr>
        <w:t xml:space="preserve">Come troviamo la combinazione migliore? Non possiamo farlo a occhio: ci sono troppe combinazioni possibili. Serve un metodo sistematico.</w:t>
      </w:r>
    </w:p>
    <w:p>
      <w:pPr>
        <w:spacing w:after="160" w:before="280"/>
      </w:pPr>
      <w:r>
        <w:rPr>
          <w:rFonts w:ascii="Calibri" w:cs="Calibri" w:eastAsia="Calibri" w:hAnsi="Calibri"/>
          <w:b/>
          <w:bCs/>
          <w:color w:val="2E75B6"/>
          <w:sz w:val="24"/>
          <w:szCs w:val="24"/>
        </w:rPr>
        <w:t xml:space="preserve">8.2 La strategia: grid search con DBCV</w:t>
      </w:r>
    </w:p>
    <w:p>
      <w:pPr>
        <w:spacing w:after="160" w:line="312"/>
        <w:jc w:val="both"/>
      </w:pPr>
      <w:r>
        <w:rPr>
          <w:rFonts w:ascii="Cambria" w:cs="Cambria" w:eastAsia="Cambria" w:hAnsi="Cambria"/>
          <w:sz w:val="22"/>
          <w:szCs w:val="22"/>
        </w:rPr>
        <w:t xml:space="preserve">La </w:t>
      </w:r>
      <w:r>
        <w:rPr>
          <w:rFonts w:ascii="Cambria" w:cs="Cambria" w:eastAsia="Cambria" w:hAnsi="Cambria"/>
          <w:b/>
          <w:bCs/>
          <w:sz w:val="22"/>
          <w:szCs w:val="22"/>
        </w:rPr>
        <w:t xml:space="preserve">grid search</w:t>
      </w:r>
      <w:r>
        <w:rPr>
          <w:rFonts w:ascii="Cambria" w:cs="Cambria" w:eastAsia="Cambria" w:hAnsi="Cambria"/>
          <w:sz w:val="22"/>
          <w:szCs w:val="22"/>
        </w:rPr>
        <w:t xml:space="preserve"> è il metodo più semplice e robusto: provare tutte le combinazioni di iperparametri su una griglia predefinita e valutare il risultato di ciascuna. Per esempio, potremmo provare n_neighbors ∈ {10, 15, 20, 30, 50}, min_dist ∈ {0.0, 0.05, 0.1}, min_cluster_size ∈ {50, 100, 200, 500}. Questo genera 5 × 3 × 4 = 60 combinazioni. Per ciascuna, eseguiamo UMAP + HDBSCAN e valutiamo la qualità del clustering.</w:t>
      </w:r>
    </w:p>
    <w:p>
      <w:pPr>
        <w:spacing w:after="160" w:line="312"/>
        <w:jc w:val="both"/>
      </w:pPr>
      <w:r>
        <w:rPr>
          <w:rFonts w:ascii="Cambria" w:cs="Cambria" w:eastAsia="Cambria" w:hAnsi="Cambria"/>
          <w:sz w:val="22"/>
          <w:szCs w:val="22"/>
        </w:rPr>
        <w:t xml:space="preserve">Ma come si misura la “qualità” di un clustering? Servono metriche oggettive, dato che non abbiamo etichette di riferimento (non sappiamo a priori quale sia il clustering “giusto”). La metrica che utilizziamo è il </w:t>
      </w:r>
      <w:r>
        <w:rPr>
          <w:rFonts w:ascii="Cambria" w:cs="Cambria" w:eastAsia="Cambria" w:hAnsi="Cambria"/>
          <w:b/>
          <w:bCs/>
          <w:sz w:val="22"/>
          <w:szCs w:val="22"/>
        </w:rPr>
        <w:t xml:space="preserve">DBCV (Density-Based Clustering Validation)</w:t>
      </w:r>
      <w:r>
        <w:rPr>
          <w:rFonts w:ascii="Cambria" w:cs="Cambria" w:eastAsia="Cambria" w:hAnsi="Cambria"/>
          <w:sz w:val="22"/>
          <w:szCs w:val="22"/>
        </w:rPr>
        <w:t xml:space="preserve">.</w:t>
      </w:r>
    </w:p>
    <w:p>
      <w:pPr>
        <w:spacing w:after="160" w:before="280"/>
      </w:pPr>
      <w:r>
        <w:rPr>
          <w:rFonts w:ascii="Calibri" w:cs="Calibri" w:eastAsia="Calibri" w:hAnsi="Calibri"/>
          <w:b/>
          <w:bCs/>
          <w:color w:val="2E75B6"/>
          <w:sz w:val="24"/>
          <w:szCs w:val="24"/>
        </w:rPr>
        <w:t xml:space="preserve">8.3 DBCV: misurare la qualità del clustering</w:t>
      </w:r>
    </w:p>
    <w:p>
      <w:pPr>
        <w:spacing w:after="160" w:line="312"/>
        <w:jc w:val="both"/>
      </w:pPr>
      <w:r>
        <w:rPr>
          <w:rFonts w:ascii="Cambria" w:cs="Cambria" w:eastAsia="Cambria" w:hAnsi="Cambria"/>
          <w:sz w:val="22"/>
          <w:szCs w:val="22"/>
        </w:rPr>
        <w:t xml:space="preserve">Il DBCV è una metrica pensata specificamente per i clustering density-based come HDBSCAN. L’idea è intuitiva: un buon clustering è quello in cui i punti dentro ogni cluster sono </w:t>
      </w:r>
      <w:r>
        <w:rPr>
          <w:rFonts w:ascii="Cambria" w:cs="Cambria" w:eastAsia="Cambria" w:hAnsi="Cambria"/>
          <w:b/>
          <w:bCs/>
          <w:sz w:val="22"/>
          <w:szCs w:val="22"/>
        </w:rPr>
        <w:t xml:space="preserve">densi e vicini tra loro</w:t>
      </w:r>
      <w:r>
        <w:rPr>
          <w:rFonts w:ascii="Cambria" w:cs="Cambria" w:eastAsia="Cambria" w:hAnsi="Cambria"/>
          <w:sz w:val="22"/>
          <w:szCs w:val="22"/>
        </w:rPr>
        <w:t xml:space="preserve"> (alta coesione interna) e i cluster diversi sono </w:t>
      </w:r>
      <w:r>
        <w:rPr>
          <w:rFonts w:ascii="Cambria" w:cs="Cambria" w:eastAsia="Cambria" w:hAnsi="Cambria"/>
          <w:b/>
          <w:bCs/>
          <w:sz w:val="22"/>
          <w:szCs w:val="22"/>
        </w:rPr>
        <w:t xml:space="preserve">separati da zone di bassa densità</w:t>
      </w:r>
      <w:r>
        <w:rPr>
          <w:rFonts w:ascii="Cambria" w:cs="Cambria" w:eastAsia="Cambria" w:hAnsi="Cambria"/>
          <w:sz w:val="22"/>
          <w:szCs w:val="22"/>
        </w:rPr>
        <w:t xml:space="preserve"> (alta separazione).</w:t>
      </w:r>
    </w:p>
    <w:p>
      <w:pPr>
        <w:spacing w:after="160" w:line="312"/>
        <w:jc w:val="both"/>
      </w:pPr>
      <w:r>
        <w:rPr>
          <w:rFonts w:ascii="Cambria" w:cs="Cambria" w:eastAsia="Cambria" w:hAnsi="Cambria"/>
          <w:sz w:val="22"/>
          <w:szCs w:val="22"/>
        </w:rPr>
        <w:t xml:space="preserve">Il DBCV produce un punteggio tra −1 e +1. Un valore vicino a +1 indica cluster ben definiti e ben separati. Un valore vicino a 0 indica una struttura debole o ambigua. Valori negativi indicano un clustering pessimo.</w:t>
      </w:r>
    </w:p>
    <w:p>
      <w:pPr>
        <w:spacing w:after="160" w:line="312"/>
        <w:jc w:val="both"/>
      </w:pPr>
      <w:r>
        <w:rPr>
          <w:rFonts w:ascii="Cambria" w:cs="Cambria" w:eastAsia="Cambria" w:hAnsi="Cambria"/>
          <w:sz w:val="22"/>
          <w:szCs w:val="22"/>
        </w:rPr>
        <w:t xml:space="preserve">La combinazione di iperparametri che produce il DBCV più alto è quella che adottiamo per l’analisi finale.</w:t>
      </w:r>
    </w:p>
    <w:p>
      <w:pPr>
        <w:pBdr>
          <w:bottom w:val="single" w:color="2E75B6" w:sz="4" w:space="4"/>
        </w:pBdr>
        <w:spacing w:after="200" w:before="360"/>
      </w:pPr>
      <w:r>
        <w:rPr>
          <w:rFonts w:ascii="Calibri" w:cs="Calibri" w:eastAsia="Calibri" w:hAnsi="Calibri"/>
          <w:b/>
          <w:bCs/>
          <w:color w:val="1B3A5C"/>
          <w:sz w:val="28"/>
          <w:szCs w:val="28"/>
        </w:rPr>
        <w:t xml:space="preserve">9. Validazione dei Cluster</w:t>
      </w:r>
    </w:p>
    <w:p>
      <w:pPr>
        <w:spacing w:after="160" w:line="312"/>
        <w:jc w:val="both"/>
      </w:pPr>
      <w:r>
        <w:rPr>
          <w:rFonts w:ascii="Cambria" w:cs="Cambria" w:eastAsia="Cambria" w:hAnsi="Cambria"/>
          <w:sz w:val="22"/>
          <w:szCs w:val="22"/>
        </w:rPr>
        <w:t xml:space="preserve">Una volta ottenuti i cluster (i regimi), non ci fidiamo ciecamente del risultato. Serve una fase di validazione per verificare che i regimi abbiano senso. Controlliamo diverse cose.</w:t>
      </w:r>
    </w:p>
    <w:p>
      <w:pPr>
        <w:spacing w:after="160" w:before="280"/>
      </w:pPr>
      <w:r>
        <w:rPr>
          <w:rFonts w:ascii="Calibri" w:cs="Calibri" w:eastAsia="Calibri" w:hAnsi="Calibri"/>
          <w:b/>
          <w:bCs/>
          <w:color w:val="2E75B6"/>
          <w:sz w:val="24"/>
          <w:szCs w:val="24"/>
        </w:rPr>
        <w:t xml:space="preserve">9.1 Persistenza dei cluster</w:t>
      </w:r>
    </w:p>
    <w:p>
      <w:pPr>
        <w:spacing w:after="160" w:line="312"/>
        <w:jc w:val="both"/>
      </w:pPr>
      <w:r>
        <w:rPr>
          <w:rFonts w:ascii="Cambria" w:cs="Cambria" w:eastAsia="Cambria" w:hAnsi="Cambria"/>
          <w:sz w:val="22"/>
          <w:szCs w:val="22"/>
        </w:rPr>
        <w:t xml:space="preserve">Come spiegato nella sezione HDBSCAN, ogni cluster ha una </w:t>
      </w:r>
      <w:r>
        <w:rPr>
          <w:rFonts w:ascii="Cambria" w:cs="Cambria" w:eastAsia="Cambria" w:hAnsi="Cambria"/>
          <w:b/>
          <w:bCs/>
          <w:sz w:val="22"/>
          <w:szCs w:val="22"/>
        </w:rPr>
        <w:t xml:space="preserve">persistenza</w:t>
      </w:r>
      <w:r>
        <w:rPr>
          <w:rFonts w:ascii="Cambria" w:cs="Cambria" w:eastAsia="Cambria" w:hAnsi="Cambria"/>
          <w:sz w:val="22"/>
          <w:szCs w:val="22"/>
        </w:rPr>
        <w:t xml:space="preserve">: una misura di quanto è robusto e stabile. Un cluster con alta persistenza sopravvive a molti livelli di densità prima di fondersi. Un cluster con bassa persistenza è fragile e potrebbe essere un artefatto. Verifichiamo che tutti i cluster abbiano persistenza accettabile.</w:t>
      </w:r>
    </w:p>
    <w:p>
      <w:pPr>
        <w:spacing w:after="160" w:before="280"/>
      </w:pPr>
      <w:r>
        <w:rPr>
          <w:rFonts w:ascii="Calibri" w:cs="Calibri" w:eastAsia="Calibri" w:hAnsi="Calibri"/>
          <w:b/>
          <w:bCs/>
          <w:color w:val="2E75B6"/>
          <w:sz w:val="24"/>
          <w:szCs w:val="24"/>
        </w:rPr>
        <w:t xml:space="preserve">9.2 Durata media dei regimi</w:t>
      </w:r>
    </w:p>
    <w:p>
      <w:pPr>
        <w:spacing w:after="160" w:line="312"/>
        <w:jc w:val="both"/>
      </w:pPr>
      <w:r>
        <w:rPr>
          <w:rFonts w:ascii="Cambria" w:cs="Cambria" w:eastAsia="Cambria" w:hAnsi="Cambria"/>
          <w:sz w:val="22"/>
          <w:szCs w:val="22"/>
        </w:rPr>
        <w:t xml:space="preserve">Un regime di mercato dovrebbe avere una durata ragionevole. Se un “regime” dura in media solo 2 ore, probabilmente non è un vero stato di mercato ma rumore ad alta frequenza. Se dura in media 2.000 ore consecutive, probabilmente non stiamo catturando transizioni importanti. Calcoliamo per ogni regime la durata media, mediana e il numero di “run” (sequenze consecutive di ore nello stesso regime).</w:t>
      </w:r>
    </w:p>
    <w:p>
      <w:pPr>
        <w:spacing w:after="160" w:before="280"/>
      </w:pPr>
      <w:r>
        <w:rPr>
          <w:rFonts w:ascii="Calibri" w:cs="Calibri" w:eastAsia="Calibri" w:hAnsi="Calibri"/>
          <w:b/>
          <w:bCs/>
          <w:color w:val="2E75B6"/>
          <w:sz w:val="24"/>
          <w:szCs w:val="24"/>
        </w:rPr>
        <w:t xml:space="preserve">9.3 Distribuzione del LMP per regime</w:t>
      </w:r>
    </w:p>
    <w:p>
      <w:pPr>
        <w:spacing w:after="160" w:line="312"/>
        <w:jc w:val="both"/>
      </w:pPr>
      <w:r>
        <w:rPr>
          <w:rFonts w:ascii="Cambria" w:cs="Cambria" w:eastAsia="Cambria" w:hAnsi="Cambria"/>
          <w:sz w:val="22"/>
          <w:szCs w:val="22"/>
        </w:rPr>
        <w:t xml:space="preserve">Se i regimi hanno senso economico, dovrebbero mostrare distribuzioni di prezzo significativamente diverse. Un regime “calmo” dovrebbe avere LMP basso e poco disperso. Un regime “di stress” dovrebbe avere LMP alto e molto variabile. Se tutti i regimi hanno la stessa distribuzione di prezzo, il clustering non sta catturando nulla di utile.</w:t>
      </w:r>
    </w:p>
    <w:p>
      <w:pPr>
        <w:spacing w:after="160" w:before="280"/>
      </w:pPr>
      <w:r>
        <w:rPr>
          <w:rFonts w:ascii="Calibri" w:cs="Calibri" w:eastAsia="Calibri" w:hAnsi="Calibri"/>
          <w:b/>
          <w:bCs/>
          <w:color w:val="2E75B6"/>
          <w:sz w:val="24"/>
          <w:szCs w:val="24"/>
        </w:rPr>
        <w:t xml:space="preserve">9.4 Interpretabilità economica</w:t>
      </w:r>
    </w:p>
    <w:p>
      <w:pPr>
        <w:spacing w:after="160" w:line="312"/>
        <w:jc w:val="both"/>
      </w:pPr>
      <w:r>
        <w:rPr>
          <w:rFonts w:ascii="Cambria" w:cs="Cambria" w:eastAsia="Cambria" w:hAnsi="Cambria"/>
          <w:sz w:val="22"/>
          <w:szCs w:val="22"/>
        </w:rPr>
        <w:t xml:space="preserve">Infine, verifichiamo che i regimi siano interpretabili. Grazie alla ILR e alla nostra partizione economica, possiamo tornare alle fuel shares originali per ogni cluster e descrivere ciascun regime: “il regime 1 è dominato da gas al 60% con nucleare al 25%, prezzi medi di 45 €/MWh”, “il regime 4 ha olio al 15%, prezzi medi di 180 €/MWh, tipico di ondate di freddo”. Se i regimi non hanno una descrizione economica coerente, probabilmente qualcosa nella pipeline non funziona correttamente.</w:t>
      </w:r>
    </w:p>
    <w:p>
      <w:pPr>
        <w:pBdr>
          <w:bottom w:val="single" w:color="2E75B6" w:sz="4" w:space="4"/>
        </w:pBdr>
        <w:spacing w:after="200" w:before="360"/>
      </w:pPr>
      <w:r>
        <w:rPr>
          <w:rFonts w:ascii="Calibri" w:cs="Calibri" w:eastAsia="Calibri" w:hAnsi="Calibri"/>
          <w:b/>
          <w:bCs/>
          <w:color w:val="1B3A5C"/>
          <w:sz w:val="28"/>
          <w:szCs w:val="28"/>
        </w:rPr>
        <w:t xml:space="preserve">10. Fit Ornstein-Uhlenbeck per Regime</w:t>
      </w:r>
    </w:p>
    <w:p>
      <w:pPr>
        <w:spacing w:after="160" w:before="280"/>
      </w:pPr>
      <w:r>
        <w:rPr>
          <w:rFonts w:ascii="Calibri" w:cs="Calibri" w:eastAsia="Calibri" w:hAnsi="Calibri"/>
          <w:b/>
          <w:bCs/>
          <w:color w:val="2E75B6"/>
          <w:sz w:val="24"/>
          <w:szCs w:val="24"/>
        </w:rPr>
        <w:t xml:space="preserve">10.1 L’idea: il prezzo torna verso un livello di equilibrio</w:t>
      </w:r>
    </w:p>
    <w:p>
      <w:pPr>
        <w:spacing w:after="160" w:line="312"/>
        <w:jc w:val="both"/>
      </w:pPr>
      <w:r>
        <w:rPr>
          <w:rFonts w:ascii="Cambria" w:cs="Cambria" w:eastAsia="Cambria" w:hAnsi="Cambria"/>
          <w:sz w:val="22"/>
          <w:szCs w:val="22"/>
        </w:rPr>
        <w:t xml:space="preserve">Una volta identificati i regimi, vogliamo descrivere </w:t>
      </w:r>
      <w:r>
        <w:rPr>
          <w:rFonts w:ascii="Cambria" w:cs="Cambria" w:eastAsia="Cambria" w:hAnsi="Cambria"/>
          <w:i/>
          <w:iCs/>
          <w:sz w:val="22"/>
          <w:szCs w:val="22"/>
        </w:rPr>
        <w:t xml:space="preserve">come si comporta il prezzo dentro ciascun regime</w:t>
      </w:r>
      <w:r>
        <w:rPr>
          <w:rFonts w:ascii="Cambria" w:cs="Cambria" w:eastAsia="Cambria" w:hAnsi="Cambria"/>
          <w:sz w:val="22"/>
          <w:szCs w:val="22"/>
        </w:rPr>
        <w:t xml:space="preserve">. Il modello che utilizziamo è il processo di </w:t>
      </w:r>
      <w:r>
        <w:rPr>
          <w:rFonts w:ascii="Cambria" w:cs="Cambria" w:eastAsia="Cambria" w:hAnsi="Cambria"/>
          <w:b/>
          <w:bCs/>
          <w:sz w:val="22"/>
          <w:szCs w:val="22"/>
        </w:rPr>
        <w:t xml:space="preserve">Ornstein-Uhlenbeck (OU)</w:t>
      </w:r>
      <w:r>
        <w:rPr>
          <w:rFonts w:ascii="Cambria" w:cs="Cambria" w:eastAsia="Cambria" w:hAnsi="Cambria"/>
          <w:sz w:val="22"/>
          <w:szCs w:val="22"/>
        </w:rPr>
        <w:t xml:space="preserve">, che ha un’interpretazione molto intuitiva.</w:t>
      </w:r>
    </w:p>
    <w:p>
      <w:pPr>
        <w:spacing w:after="160" w:line="312"/>
        <w:jc w:val="both"/>
      </w:pPr>
      <w:r>
        <w:rPr>
          <w:rFonts w:ascii="Cambria" w:cs="Cambria" w:eastAsia="Cambria" w:hAnsi="Cambria"/>
          <w:sz w:val="22"/>
          <w:szCs w:val="22"/>
        </w:rPr>
        <w:t xml:space="preserve">Immagina un elastico attaccato a un chiodo piantato nel muro. Se tiri l’elastico e lo rilasci, torna verso il chiodo. Più lo allontani dal chiodo, più forte è la forza che lo riporta indietro. Ma c’è anche una componente casuale: qualcuno continua a dare piccoli colpi all’elastico in direzioni random.</w:t>
      </w:r>
    </w:p>
    <w:p>
      <w:pPr>
        <w:spacing w:after="160" w:line="312"/>
        <w:jc w:val="both"/>
      </w:pPr>
      <w:r>
        <w:rPr>
          <w:rFonts w:ascii="Cambria" w:cs="Cambria" w:eastAsia="Cambria" w:hAnsi="Cambria"/>
          <w:sz w:val="22"/>
          <w:szCs w:val="22"/>
        </w:rPr>
        <w:t xml:space="preserve">Il processo OU descrive esattamente questo:</w:t>
      </w:r>
    </w:p>
    <w:p>
      <w:pPr>
        <w:spacing w:after="160" w:line="312"/>
        <w:jc w:val="both"/>
      </w:pPr>
      <w:r>
        <w:rPr>
          <w:rFonts w:ascii="Cambria" w:cs="Cambria" w:eastAsia="Cambria" w:hAnsi="Cambria"/>
          <w:b/>
          <w:bCs/>
          <w:sz w:val="22"/>
          <w:szCs w:val="22"/>
        </w:rPr>
        <w:t xml:space="preserve">μ (mu)</w:t>
      </w:r>
      <w:r>
        <w:rPr>
          <w:rFonts w:ascii="Cambria" w:cs="Cambria" w:eastAsia="Cambria" w:hAnsi="Cambria"/>
          <w:sz w:val="22"/>
          <w:szCs w:val="22"/>
        </w:rPr>
        <w:t xml:space="preserve"> è la posizione del chiodo: il livello di prezzo verso cui il mercato tende a tornare nel regime corrente. È il </w:t>
      </w:r>
      <w:r>
        <w:rPr>
          <w:rFonts w:ascii="Cambria" w:cs="Cambria" w:eastAsia="Cambria" w:hAnsi="Cambria"/>
          <w:i/>
          <w:iCs/>
          <w:sz w:val="22"/>
          <w:szCs w:val="22"/>
        </w:rPr>
        <w:t xml:space="preserve">prezzo di equilibrio</w:t>
      </w:r>
      <w:r>
        <w:rPr>
          <w:rFonts w:ascii="Cambria" w:cs="Cambria" w:eastAsia="Cambria" w:hAnsi="Cambria"/>
          <w:sz w:val="22"/>
          <w:szCs w:val="22"/>
        </w:rPr>
        <w:t xml:space="preserve"> del regime.</w:t>
      </w:r>
    </w:p>
    <w:p>
      <w:pPr>
        <w:spacing w:after="160" w:line="312"/>
        <w:jc w:val="both"/>
      </w:pPr>
      <w:r>
        <w:rPr>
          <w:rFonts w:ascii="Cambria" w:cs="Cambria" w:eastAsia="Cambria" w:hAnsi="Cambria"/>
          <w:b/>
          <w:bCs/>
          <w:sz w:val="22"/>
          <w:szCs w:val="22"/>
        </w:rPr>
        <w:t xml:space="preserve">θ (theta)</w:t>
      </w:r>
      <w:r>
        <w:rPr>
          <w:rFonts w:ascii="Cambria" w:cs="Cambria" w:eastAsia="Cambria" w:hAnsi="Cambria"/>
          <w:sz w:val="22"/>
          <w:szCs w:val="22"/>
        </w:rPr>
        <w:t xml:space="preserve"> è la rigidità dell’elastico: quanto velocemente il prezzo torna verso μ dopo esserne stato allontanato. Un θ grande significa che il prezzo è fortemente mean-reverting (torna velocemente). Un θ piccolo significa che il prezzo vaga a lungo prima di tornare.</w:t>
      </w:r>
    </w:p>
    <w:p>
      <w:pPr>
        <w:spacing w:after="160" w:line="312"/>
        <w:jc w:val="both"/>
      </w:pPr>
      <w:r>
        <w:rPr>
          <w:rFonts w:ascii="Cambria" w:cs="Cambria" w:eastAsia="Cambria" w:hAnsi="Cambria"/>
          <w:b/>
          <w:bCs/>
          <w:sz w:val="22"/>
          <w:szCs w:val="22"/>
        </w:rPr>
        <w:t xml:space="preserve">σ (sigma)</w:t>
      </w:r>
      <w:r>
        <w:rPr>
          <w:rFonts w:ascii="Cambria" w:cs="Cambria" w:eastAsia="Cambria" w:hAnsi="Cambria"/>
          <w:sz w:val="22"/>
          <w:szCs w:val="22"/>
        </w:rPr>
        <w:t xml:space="preserve"> è l’intensità dei colpi casuali: la volatilità del prezzo nel regime. Un σ grande significa che il prezzo oscilla molto intorno a μ, anche se tende a tornarci.</w:t>
      </w:r>
    </w:p>
    <w:p>
      <w:pPr>
        <w:spacing w:after="160" w:line="312"/>
        <w:jc w:val="both"/>
      </w:pPr>
      <w:r>
        <w:rPr>
          <w:rFonts w:ascii="Cambria" w:cs="Cambria" w:eastAsia="Cambria" w:hAnsi="Cambria"/>
          <w:b/>
          <w:bCs/>
          <w:sz w:val="22"/>
          <w:szCs w:val="22"/>
        </w:rPr>
        <w:t xml:space="preserve">t½ (tempo di dimezzamento)</w:t>
      </w:r>
      <w:r>
        <w:rPr>
          <w:rFonts w:ascii="Cambria" w:cs="Cambria" w:eastAsia="Cambria" w:hAnsi="Cambria"/>
          <w:sz w:val="22"/>
          <w:szCs w:val="22"/>
        </w:rPr>
        <w:t xml:space="preserve"> è una misura derivata da θ: il tempo necessario affinché la distanza dal prezzo di equilibrio si dimezzi. Si calcola come t½ = ln(2) / θ. Se t½ = 6 ore, significa che un prezzo che è 10 €/MWh sopra l’equilibrio sarà in media 5 €/MWh sopra dopo 6 ore.</w:t>
      </w:r>
    </w:p>
    <w:p>
      <w:pPr>
        <w:spacing w:after="160" w:before="280"/>
      </w:pPr>
      <w:r>
        <w:rPr>
          <w:rFonts w:ascii="Calibri" w:cs="Calibri" w:eastAsia="Calibri" w:hAnsi="Calibri"/>
          <w:b/>
          <w:bCs/>
          <w:color w:val="2E75B6"/>
          <w:sz w:val="24"/>
          <w:szCs w:val="24"/>
        </w:rPr>
        <w:t xml:space="preserve">10.2 Il ruolo di Chronos-2</w:t>
      </w:r>
    </w:p>
    <w:p>
      <w:pPr>
        <w:spacing w:after="160" w:line="312"/>
        <w:jc w:val="both"/>
      </w:pPr>
      <w:r>
        <w:rPr>
          <w:rFonts w:ascii="Cambria" w:cs="Cambria" w:eastAsia="Cambria" w:hAnsi="Cambria"/>
          <w:sz w:val="22"/>
          <w:szCs w:val="22"/>
        </w:rPr>
        <w:t xml:space="preserve">Per stimare i parametri OU, abbiamo bisogno di una stima del </w:t>
      </w:r>
      <w:r>
        <w:rPr>
          <w:rFonts w:ascii="Cambria" w:cs="Cambria" w:eastAsia="Cambria" w:hAnsi="Cambria"/>
          <w:b/>
          <w:bCs/>
          <w:sz w:val="22"/>
          <w:szCs w:val="22"/>
        </w:rPr>
        <w:t xml:space="preserve">drift</w:t>
      </w:r>
      <w:r>
        <w:rPr>
          <w:rFonts w:ascii="Cambria" w:cs="Cambria" w:eastAsia="Cambria" w:hAnsi="Cambria"/>
          <w:sz w:val="22"/>
          <w:szCs w:val="22"/>
        </w:rPr>
        <w:t xml:space="preserve"> atteso del prezzo — ovvero, di quanto ci aspettiamo che il prezzo si muova nelle prossime ore dato il contesto attuale. Per ottenere questa stima, utilizziamo </w:t>
      </w:r>
      <w:r>
        <w:rPr>
          <w:rFonts w:ascii="Cambria" w:cs="Cambria" w:eastAsia="Cambria" w:hAnsi="Cambria"/>
          <w:b/>
          <w:bCs/>
          <w:sz w:val="22"/>
          <w:szCs w:val="22"/>
        </w:rPr>
        <w:t xml:space="preserve">Chronos-2</w:t>
      </w:r>
      <w:r>
        <w:rPr>
          <w:rFonts w:ascii="Cambria" w:cs="Cambria" w:eastAsia="Cambria" w:hAnsi="Cambria"/>
          <w:sz w:val="22"/>
          <w:szCs w:val="22"/>
        </w:rPr>
        <w:t xml:space="preserve">, un modello di foundation per time series sviluppato da Amazon, che produce previsioni probabilistiche del log-return futuro basandosi su una finestra di contesto di 720 ore (30 giorni).</w:t>
      </w:r>
    </w:p>
    <w:p>
      <w:pPr>
        <w:spacing w:after="160" w:line="312"/>
        <w:jc w:val="both"/>
      </w:pPr>
      <w:r>
        <w:rPr>
          <w:rFonts w:ascii="Cambria" w:cs="Cambria" w:eastAsia="Cambria" w:hAnsi="Cambria"/>
          <w:sz w:val="22"/>
          <w:szCs w:val="22"/>
        </w:rPr>
        <w:t xml:space="preserve">Una volta ottenuto il drift atteso da Chronos-2 per ogni ora e per diversi orizzonti temporali (1 ora, 6 ore, 24 ore), stimiamo i parametri OU tramite una semplice regressione lineare (OLS) del drift sul livello di prezzo corrente, separatamente per ogni regime e per ogni orizzonte.</w:t>
      </w:r>
    </w:p>
    <w:p>
      <w:pPr>
        <w:spacing w:after="160" w:before="280"/>
      </w:pPr>
      <w:r>
        <w:rPr>
          <w:rFonts w:ascii="Calibri" w:cs="Calibri" w:eastAsia="Calibri" w:hAnsi="Calibri"/>
          <w:b/>
          <w:bCs/>
          <w:color w:val="2E75B6"/>
          <w:sz w:val="24"/>
          <w:szCs w:val="24"/>
        </w:rPr>
        <w:t xml:space="preserve">10.3 Perché questo è utile</w:t>
      </w:r>
    </w:p>
    <w:p>
      <w:pPr>
        <w:spacing w:after="160" w:line="312"/>
        <w:jc w:val="both"/>
      </w:pPr>
      <w:r>
        <w:rPr>
          <w:rFonts w:ascii="Cambria" w:cs="Cambria" w:eastAsia="Cambria" w:hAnsi="Cambria"/>
          <w:sz w:val="22"/>
          <w:szCs w:val="22"/>
        </w:rPr>
        <w:t xml:space="preserve">I parametri OU per regime ci dicono cose concrete e azionabili:</w:t>
      </w:r>
    </w:p>
    <w:p>
      <w:pPr>
        <w:spacing w:after="160" w:line="312"/>
        <w:jc w:val="both"/>
      </w:pPr>
      <w:r>
        <w:rPr>
          <w:rFonts w:ascii="Cambria" w:cs="Cambria" w:eastAsia="Cambria" w:hAnsi="Cambria"/>
          <w:b/>
          <w:bCs/>
          <w:sz w:val="22"/>
          <w:szCs w:val="22"/>
        </w:rPr>
        <w:t xml:space="preserve">Per il trading: </w:t>
      </w:r>
      <w:r>
        <w:rPr>
          <w:rFonts w:ascii="Cambria" w:cs="Cambria" w:eastAsia="Cambria" w:hAnsi="Cambria"/>
          <w:sz w:val="22"/>
          <w:szCs w:val="22"/>
        </w:rPr>
        <w:t xml:space="preserve">se il prezzo in un dato regime è significativamente sopra μ, sappiamo che tenderà a scendere con velocità proporzionale a θ. Questo è un segnale di mean-reversion sfruttabile.</w:t>
      </w:r>
    </w:p>
    <w:p>
      <w:pPr>
        <w:spacing w:after="160" w:line="312"/>
        <w:jc w:val="both"/>
      </w:pPr>
      <w:r>
        <w:rPr>
          <w:rFonts w:ascii="Cambria" w:cs="Cambria" w:eastAsia="Cambria" w:hAnsi="Cambria"/>
          <w:b/>
          <w:bCs/>
          <w:sz w:val="22"/>
          <w:szCs w:val="22"/>
        </w:rPr>
        <w:t xml:space="preserve">Per il risk management: </w:t>
      </w:r>
      <w:r>
        <w:rPr>
          <w:rFonts w:ascii="Cambria" w:cs="Cambria" w:eastAsia="Cambria" w:hAnsi="Cambria"/>
          <w:sz w:val="22"/>
          <w:szCs w:val="22"/>
        </w:rPr>
        <w:t xml:space="preserve">σ ci dice quanto è volatile il prezzo in ogni regime, permettendo di calibrare la gestione del rischio in base al regime corrente.</w:t>
      </w:r>
    </w:p>
    <w:p>
      <w:pPr>
        <w:spacing w:after="160" w:line="312"/>
        <w:jc w:val="both"/>
      </w:pPr>
      <w:r>
        <w:rPr>
          <w:rFonts w:ascii="Cambria" w:cs="Cambria" w:eastAsia="Cambria" w:hAnsi="Cambria"/>
          <w:b/>
          <w:bCs/>
          <w:sz w:val="22"/>
          <w:szCs w:val="22"/>
        </w:rPr>
        <w:t xml:space="preserve">Per la comprensione del mercato: </w:t>
      </w:r>
      <w:r>
        <w:rPr>
          <w:rFonts w:ascii="Cambria" w:cs="Cambria" w:eastAsia="Cambria" w:hAnsi="Cambria"/>
          <w:sz w:val="22"/>
          <w:szCs w:val="22"/>
        </w:rPr>
        <w:t xml:space="preserve">confrontando μ, θ, σ e t½ tra regimi diversi, otteniamo un quadro quantitativo delle diverse “modalità operative” del mercato ISO-NE.</w:t>
      </w:r>
    </w:p>
    <w:p>
      <w:pPr>
        <w:pBdr>
          <w:bottom w:val="single" w:color="2E75B6" w:sz="4" w:space="4"/>
        </w:pBdr>
        <w:spacing w:after="200" w:before="360"/>
      </w:pPr>
      <w:r>
        <w:rPr>
          <w:rFonts w:ascii="Calibri" w:cs="Calibri" w:eastAsia="Calibri" w:hAnsi="Calibri"/>
          <w:b/>
          <w:bCs/>
          <w:color w:val="1B3A5C"/>
          <w:sz w:val="28"/>
          <w:szCs w:val="28"/>
        </w:rPr>
        <w:t xml:space="preserve">11. Riepilogo della Pipeline</w:t>
      </w:r>
    </w:p>
    <w:p>
      <w:pPr>
        <w:spacing w:after="160" w:line="312"/>
        <w:jc w:val="both"/>
      </w:pPr>
      <w:r>
        <w:rPr>
          <w:rFonts w:ascii="Cambria" w:cs="Cambria" w:eastAsia="Cambria" w:hAnsi="Cambria"/>
          <w:sz w:val="22"/>
          <w:szCs w:val="22"/>
        </w:rPr>
        <w:t xml:space="preserve">Ricapitoliamo l’intero percorso, dal dato grezzo al risultato finale, in una vista d’insieme.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700"/>
        <w:gridCol w:w="51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Step</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Nome</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Operazione</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Dettaglio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Load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Caricamento dati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Legge isone_dataset.parquet con LMP orario e fuel mix EIA (2021–2025, 43.789 ore).</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02</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Features</w:t>
            </w:r>
          </w:p>
        </w:tc>
        <w:tc>
          <w:tcPr>
            <w:tcW w:type="dxa" w:w="1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Costruzione feature</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Calcola log-return, log-price normalizzato, zero replacement, ILR transform → E_t ∈ ℝ⁹.</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Grid Search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Ottimizzazione parametri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Prova tutte le combinazioni di n_neighbors, min_dist, min_cluster_size. Seleziona quella con DBCV massimo.</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04</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UMAP</w:t>
            </w:r>
          </w:p>
        </w:tc>
        <w:tc>
          <w:tcPr>
            <w:tcW w:type="dxa" w:w="1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Riduzione dimensionale</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Proietta E_t da ℝ⁹ a z_t ∈ ℝ² con i parametri ottimali. Preserva la struttura locale.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HDBSCAN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Clustering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Raggruppa z_t in K regimi (K scoperto automaticamente). Le ore ambigue diventano noise (−1).</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06</w:t>
            </w:r>
          </w:p>
        </w:tc>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Validate</w:t>
            </w:r>
          </w:p>
        </w:tc>
        <w:tc>
          <w:tcPr>
            <w:tcW w:type="dxa" w:w="17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Validazione cluster</w:t>
            </w:r>
          </w:p>
        </w:tc>
        <w:tc>
          <w:tcPr>
            <w:tcW w:type="dxa" w:w="5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Verifica DBCV, persistenza, durata media per regime, distribuzione LMP per regime, interpretabilità economica.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OU Fit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Stima parametri OU</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Per ogni regime r e orizzonte h ∈ {1, 6, 24}h: stima θ, μ, σ, t½ via Chronos-2 + OLS.</w:t>
            </w:r>
          </w:p>
        </w:tc>
      </w:tr>
    </w:tbl>
    <w:p>
      <w:pPr>
        <w:spacing w:after="160"/>
      </w:pPr>
    </w:p>
    <w:p>
      <w:pPr>
        <w:spacing w:after="160" w:line="312"/>
        <w:jc w:val="both"/>
      </w:pPr>
      <w:r>
        <w:rPr>
          <w:rFonts w:ascii="Cambria" w:cs="Cambria" w:eastAsia="Cambria" w:hAnsi="Cambria"/>
          <w:sz w:val="22"/>
          <w:szCs w:val="22"/>
        </w:rPr>
        <w:t xml:space="preserve">I dati fluiscono da uno step all’altro in formato parquet: isone_dataset.parquet → features.parquet → (grid_results.csv + best_params.json) → umap.parquet → regimes.parquet → cluster_validation.csv → ou_params.parquet. Ogni step legge l’output del precedente e produce il suo, in modo che la pipeline sia riproducibile e ogni risultato intermedio sia ispezionabile.</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AAAAA"/>
        <w:sz w:val="16"/>
        <w:szCs w:val="16"/>
      </w:rPr>
      <w:t xml:space="preserve">Page </w:t>
    </w:r>
    <w:r>
      <w:rPr>
        <w:rFonts w:ascii="Calibri" w:cs="Calibri" w:eastAsia="Calibri" w:hAnsi="Calibri"/>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AAAAAA"/>
        <w:sz w:val="16"/>
        <w:szCs w:val="16"/>
      </w:rPr>
      <w:t xml:space="preserve">Methodology — Pipeline di Regime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2026-03-06T18:26:56.113Z</dcterms:created>
  <dcterms:modified xsi:type="dcterms:W3CDTF">2026-03-06T18:26:56.114Z</dcterms:modified>
</cp:coreProperties>
</file>

<file path=docProps/custom.xml><?xml version="1.0" encoding="utf-8"?>
<Properties xmlns="http://schemas.openxmlformats.org/officeDocument/2006/custom-properties" xmlns:vt="http://schemas.openxmlformats.org/officeDocument/2006/docPropsVTypes"/>
</file>