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5C"/>
          <w:sz w:val="36"/>
          <w:szCs w:val="36"/>
        </w:rPr>
        <w:t xml:space="preserve">Methodology — Pipeline di Regime Detection</w:t>
      </w:r>
    </w:p>
    <w:p>
      <w:pPr>
        <w:spacing w:after="40"/>
        <w:jc w:val="center"/>
      </w:pPr>
      <w:r>
        <w:rPr>
          <w:rFonts w:ascii="Calibri" w:cs="Calibri" w:eastAsia="Calibri" w:hAnsi="Calibri"/>
          <w:color w:val="2E75B6"/>
          <w:sz w:val="26"/>
          <w:szCs w:val="26"/>
        </w:rPr>
        <w:t xml:space="preserve">Validazione, Transizioni, Simulazione e Backtest</w:t>
      </w:r>
    </w:p>
    <w:p>
      <w:pPr>
        <w:spacing w:after="40"/>
        <w:jc w:val="center"/>
      </w:pPr>
      <w:r>
        <w:rPr>
          <w:rFonts w:ascii="Cambria" w:cs="Cambria" w:eastAsia="Cambria" w:hAnsi="Cambria"/>
          <w:i/>
          <w:iCs/>
          <w:color w:val="666666"/>
          <w:sz w:val="22"/>
          <w:szCs w:val="22"/>
        </w:rPr>
        <w:t xml:space="preserve">ISONE Electricity Market — Geometry-Driven Regime Identification</w:t>
      </w:r>
    </w:p>
    <w:p>
      <w:pPr>
        <w:pBdr>
          <w:bottom w:val="single" w:color="2E75B6" w:sz="2" w:space="8"/>
        </w:pBdr>
        <w:spacing w:after="400"/>
        <w:jc w:val="center"/>
      </w:pPr>
      <w:r>
        <w:rPr>
          <w:rFonts w:ascii="Cambria" w:cs="Cambria" w:eastAsia="Cambria" w:hAnsi="Cambria"/>
          <w:color w:val="999999"/>
          <w:sz w:val="20"/>
          <w:szCs w:val="20"/>
        </w:rPr>
        <w:t xml:space="preserve">Working Document — March 2026 — Parte 3</w:t>
      </w:r>
    </w:p>
    <w:p>
      <w:pPr>
        <w:spacing w:after="160" w:line="312"/>
        <w:jc w:val="both"/>
      </w:pPr>
      <w:r>
        <w:rPr>
          <w:rFonts w:ascii="Cambria" w:cs="Cambria" w:eastAsia="Cambria" w:hAnsi="Cambria"/>
          <w:sz w:val="22"/>
          <w:szCs w:val="22"/>
        </w:rPr>
        <w:t xml:space="preserve">Nella Parte 2 abbiamo descritto come partire dai dati grezzi e arrivare ai regimi di mercato (step 01–07). Questa Parte 3 copre tutto ciò che viene dopo: la validazione del modello OU, la costruzione della matrice di transizione tra regimi, la simulazione Monte Carlo di traiettorie sintetiche di prezzo, e il backtest out-of-sample che verifica se il modello funziona su dati che non ha mai visto.</w:t>
      </w:r>
    </w:p>
    <w:p>
      <w:pPr>
        <w:pBdr>
          <w:bottom w:val="single" w:color="2E75B6" w:sz="4" w:space="4"/>
        </w:pBdr>
        <w:spacing w:after="200" w:before="360"/>
      </w:pPr>
      <w:r>
        <w:rPr>
          <w:rFonts w:ascii="Calibri" w:cs="Calibri" w:eastAsia="Calibri" w:hAnsi="Calibri"/>
          <w:b/>
          <w:bCs/>
          <w:color w:val="1B3A5C"/>
          <w:sz w:val="28"/>
          <w:szCs w:val="28"/>
        </w:rPr>
        <w:t xml:space="preserve">12. Validazione del Modello Ornstein-Uhlenbeck (Step 08)</w:t>
      </w:r>
    </w:p>
    <w:p>
      <w:pPr>
        <w:spacing w:after="160" w:before="280"/>
      </w:pPr>
      <w:r>
        <w:rPr>
          <w:rFonts w:ascii="Calibri" w:cs="Calibri" w:eastAsia="Calibri" w:hAnsi="Calibri"/>
          <w:b/>
          <w:bCs/>
          <w:color w:val="2E75B6"/>
          <w:sz w:val="24"/>
          <w:szCs w:val="24"/>
        </w:rPr>
        <w:t xml:space="preserve">12.1 Perché validare il fit OU</w:t>
      </w:r>
    </w:p>
    <w:p>
      <w:pPr>
        <w:spacing w:after="160" w:line="312"/>
        <w:jc w:val="both"/>
      </w:pPr>
      <w:r>
        <w:rPr>
          <w:rFonts w:ascii="Cambria" w:cs="Cambria" w:eastAsia="Cambria" w:hAnsi="Cambria"/>
          <w:sz w:val="22"/>
          <w:szCs w:val="22"/>
        </w:rPr>
        <w:t xml:space="preserve">Nello step 07 abbiamo stimato, per ogni regime e per ogni orizzonte temporale, i parametri del processo OU (θ, μ, σ, t½). Ma il fatto di aver ottenuto dei numeri non significa che quei numeri abbiano senso. Prima di usarli per simulare traiettorie di prezzo, dobbiamo verificare che il modello OU sia effettivamente una buona descrizione di come si comporta il prezzo dentro ogni regime.</w:t>
      </w:r>
    </w:p>
    <w:p>
      <w:pPr>
        <w:spacing w:after="160" w:line="312"/>
        <w:jc w:val="both"/>
      </w:pPr>
      <w:r>
        <w:rPr>
          <w:rFonts w:ascii="Cambria" w:cs="Cambria" w:eastAsia="Cambria" w:hAnsi="Cambria"/>
          <w:sz w:val="22"/>
          <w:szCs w:val="22"/>
        </w:rPr>
        <w:t xml:space="preserve">Se non facessimo questa verifica, rischieremmo di costruire simulazioni su fondamenta fragili. Immagina di calcolare la media e la varianza di un lancio di dadi: i numeri escono, ma se qualcuno ti dice che quei dadi sono truccati, la media e la varianza non ti servono a nulla. Allo stesso modo, i parametri OU sono utili solo se il modello OU descrive bene i dati.</w:t>
      </w:r>
    </w:p>
    <w:p>
      <w:pPr>
        <w:spacing w:after="160" w:before="280"/>
      </w:pPr>
      <w:r>
        <w:rPr>
          <w:rFonts w:ascii="Calibri" w:cs="Calibri" w:eastAsia="Calibri" w:hAnsi="Calibri"/>
          <w:b/>
          <w:bCs/>
          <w:color w:val="2E75B6"/>
          <w:sz w:val="24"/>
          <w:szCs w:val="24"/>
        </w:rPr>
        <w:t xml:space="preserve">12.2 I controlli che eseguiamo</w:t>
      </w:r>
    </w:p>
    <w:p>
      <w:pPr>
        <w:spacing w:after="160" w:line="312"/>
        <w:jc w:val="both"/>
      </w:pPr>
      <w:r>
        <w:rPr>
          <w:rFonts w:ascii="Cambria" w:cs="Cambria" w:eastAsia="Cambria" w:hAnsi="Cambria"/>
          <w:sz w:val="22"/>
          <w:szCs w:val="22"/>
        </w:rPr>
        <w:t xml:space="preserve">Per ogni combinazione (regime r, orizzonte h), eseguiamo sei verifiche. Le spieghiamo una per una.</w:t>
      </w:r>
    </w:p>
    <w:p>
      <w:pPr>
        <w:spacing w:after="120" w:before="200"/>
      </w:pPr>
      <w:r>
        <w:rPr>
          <w:rFonts w:ascii="Calibri" w:cs="Calibri" w:eastAsia="Calibri" w:hAnsi="Calibri"/>
          <w:b/>
          <w:bCs/>
          <w:i/>
          <w:iCs/>
          <w:color w:val="333333"/>
          <w:sz w:val="22"/>
          <w:szCs w:val="22"/>
        </w:rPr>
        <w:t xml:space="preserve">12.2.1 R² della regressione</w:t>
      </w:r>
    </w:p>
    <w:p>
      <w:pPr>
        <w:spacing w:after="160" w:line="312"/>
        <w:jc w:val="both"/>
      </w:pPr>
      <w:r>
        <w:rPr>
          <w:rFonts w:ascii="Cambria" w:cs="Cambria" w:eastAsia="Cambria" w:hAnsi="Cambria"/>
          <w:sz w:val="22"/>
          <w:szCs w:val="22"/>
        </w:rPr>
        <w:t xml:space="preserve">Ricordiamo come abbiamo stimato i parametri OU: attraverso una regressione lineare (OLS) del drift atteso sul livello di prezzo corrente. L’</w:t>
      </w:r>
      <w:r>
        <w:rPr>
          <w:rFonts w:ascii="Cambria" w:cs="Cambria" w:eastAsia="Cambria" w:hAnsi="Cambria"/>
          <w:b/>
          <w:bCs/>
          <w:sz w:val="22"/>
          <w:szCs w:val="22"/>
        </w:rPr>
        <w:t xml:space="preserve">R²</w:t>
      </w:r>
      <w:r>
        <w:rPr>
          <w:rFonts w:ascii="Cambria" w:cs="Cambria" w:eastAsia="Cambria" w:hAnsi="Cambria"/>
          <w:sz w:val="22"/>
          <w:szCs w:val="22"/>
        </w:rPr>
        <w:t xml:space="preserve"> di questa regressione ci dice quanta parte della variabilità del drift è spiegata dal livello di prezzo. Un R² alto (vicino a 1) significa che il prezzo ha un forte effetto di mean-reversion: quando è lontano dall’equilibrio, il drift lo riporta indietro in modo prevedibile. Un R² basso (vicino a 0) significa che il drift è sostanzialmente casuale e non dipende dal livello di prezzo, il che suggerirebbe che il modello OU non è appropriato per quel regime.</w:t>
      </w:r>
    </w:p>
    <w:p>
      <w:pPr>
        <w:spacing w:after="120" w:before="200"/>
      </w:pPr>
      <w:r>
        <w:rPr>
          <w:rFonts w:ascii="Calibri" w:cs="Calibri" w:eastAsia="Calibri" w:hAnsi="Calibri"/>
          <w:b/>
          <w:bCs/>
          <w:i/>
          <w:iCs/>
          <w:color w:val="333333"/>
          <w:sz w:val="22"/>
          <w:szCs w:val="22"/>
        </w:rPr>
        <w:t xml:space="preserve">12.2.2 Test t sul coefficiente b</w:t>
      </w:r>
    </w:p>
    <w:p>
      <w:pPr>
        <w:spacing w:after="160" w:line="312"/>
        <w:jc w:val="both"/>
      </w:pPr>
      <w:r>
        <w:rPr>
          <w:rFonts w:ascii="Cambria" w:cs="Cambria" w:eastAsia="Cambria" w:hAnsi="Cambria"/>
          <w:sz w:val="22"/>
          <w:szCs w:val="22"/>
        </w:rPr>
        <w:t xml:space="preserve">Nella regressione del drift, il coefficiente </w:t>
      </w:r>
      <w:r>
        <w:rPr>
          <w:rFonts w:ascii="Cambria" w:cs="Cambria" w:eastAsia="Cambria" w:hAnsi="Cambria"/>
          <w:b/>
          <w:bCs/>
          <w:sz w:val="22"/>
          <w:szCs w:val="22"/>
        </w:rPr>
        <w:t xml:space="preserve">b</w:t>
      </w:r>
      <w:r>
        <w:rPr>
          <w:rFonts w:ascii="Cambria" w:cs="Cambria" w:eastAsia="Cambria" w:hAnsi="Cambria"/>
          <w:sz w:val="22"/>
          <w:szCs w:val="22"/>
        </w:rPr>
        <w:t xml:space="preserve"> è il parametro chiave. Il modello OU richiede che b sia </w:t>
      </w:r>
      <w:r>
        <w:rPr>
          <w:rFonts w:ascii="Cambria" w:cs="Cambria" w:eastAsia="Cambria" w:hAnsi="Cambria"/>
          <w:b/>
          <w:bCs/>
          <w:sz w:val="22"/>
          <w:szCs w:val="22"/>
        </w:rPr>
        <w:t xml:space="preserve">negativo</w:t>
      </w:r>
      <w:r>
        <w:rPr>
          <w:rFonts w:ascii="Cambria" w:cs="Cambria" w:eastAsia="Cambria" w:hAnsi="Cambria"/>
          <w:sz w:val="22"/>
          <w:szCs w:val="22"/>
        </w:rPr>
        <w:t xml:space="preserve">: questo significa che quando il prezzo è sopra l’equilibrio, il drift è negativo (il prezzo tende a scendere), e quando è sotto l’equilibrio, il drift è positivo (il prezzo tende a salire). È l’essenza della mean-reversion.</w:t>
      </w:r>
    </w:p>
    <w:p>
      <w:pPr>
        <w:spacing w:after="160" w:line="312"/>
        <w:jc w:val="both"/>
      </w:pPr>
      <w:r>
        <w:rPr>
          <w:rFonts w:ascii="Cambria" w:cs="Cambria" w:eastAsia="Cambria" w:hAnsi="Cambria"/>
          <w:sz w:val="22"/>
          <w:szCs w:val="22"/>
        </w:rPr>
        <w:t xml:space="preserve">Se b fosse positivo o nullo, significherebbe che il prezzo non torna verso un equilibrio — anzi, tende ad allontanarsi. In quel caso, il modello OU non sarebbe valido per quel regime. Il </w:t>
      </w:r>
      <w:r>
        <w:rPr>
          <w:rFonts w:ascii="Cambria" w:cs="Cambria" w:eastAsia="Cambria" w:hAnsi="Cambria"/>
          <w:b/>
          <w:bCs/>
          <w:sz w:val="22"/>
          <w:szCs w:val="22"/>
        </w:rPr>
        <w:t xml:space="preserve">test t</w:t>
      </w:r>
      <w:r>
        <w:rPr>
          <w:rFonts w:ascii="Cambria" w:cs="Cambria" w:eastAsia="Cambria" w:hAnsi="Cambria"/>
          <w:sz w:val="22"/>
          <w:szCs w:val="22"/>
        </w:rPr>
        <w:t xml:space="preserve"> verifica formalmente se b è significativamente negativo (p &lt; 0.05). Se il test fallisce, quel regime non è ben descritto da un processo OU e potrebbe richiedere un modello diverso.</w:t>
      </w:r>
    </w:p>
    <w:p>
      <w:pPr>
        <w:spacing w:after="120" w:before="200"/>
      </w:pPr>
      <w:r>
        <w:rPr>
          <w:rFonts w:ascii="Calibri" w:cs="Calibri" w:eastAsia="Calibri" w:hAnsi="Calibri"/>
          <w:b/>
          <w:bCs/>
          <w:i/>
          <w:iCs/>
          <w:color w:val="333333"/>
          <w:sz w:val="22"/>
          <w:szCs w:val="22"/>
        </w:rPr>
        <w:t xml:space="preserve">12.2.3 Test di Jarque-Bera sui residui</w:t>
      </w:r>
    </w:p>
    <w:p>
      <w:pPr>
        <w:spacing w:after="160" w:line="312"/>
        <w:jc w:val="both"/>
      </w:pPr>
      <w:r>
        <w:rPr>
          <w:rFonts w:ascii="Cambria" w:cs="Cambria" w:eastAsia="Cambria" w:hAnsi="Cambria"/>
          <w:sz w:val="22"/>
          <w:szCs w:val="22"/>
        </w:rPr>
        <w:t xml:space="preserve">Ogni modello statistico fa delle ipotesi. Il nostro modello assume che i </w:t>
      </w:r>
      <w:r>
        <w:rPr>
          <w:rFonts w:ascii="Cambria" w:cs="Cambria" w:eastAsia="Cambria" w:hAnsi="Cambria"/>
          <w:b/>
          <w:bCs/>
          <w:sz w:val="22"/>
          <w:szCs w:val="22"/>
        </w:rPr>
        <w:t xml:space="preserve">residui</w:t>
      </w:r>
      <w:r>
        <w:rPr>
          <w:rFonts w:ascii="Cambria" w:cs="Cambria" w:eastAsia="Cambria" w:hAnsi="Cambria"/>
          <w:sz w:val="22"/>
          <w:szCs w:val="22"/>
        </w:rPr>
        <w:t xml:space="preserve"> della regressione (la differenza tra il drift osservato e quello previsto dal modello) siano distribuiti normalmente. Il </w:t>
      </w:r>
      <w:r>
        <w:rPr>
          <w:rFonts w:ascii="Cambria" w:cs="Cambria" w:eastAsia="Cambria" w:hAnsi="Cambria"/>
          <w:b/>
          <w:bCs/>
          <w:sz w:val="22"/>
          <w:szCs w:val="22"/>
        </w:rPr>
        <w:t xml:space="preserve">test di Jarque-Bera</w:t>
      </w:r>
      <w:r>
        <w:rPr>
          <w:rFonts w:ascii="Cambria" w:cs="Cambria" w:eastAsia="Cambria" w:hAnsi="Cambria"/>
          <w:sz w:val="22"/>
          <w:szCs w:val="22"/>
        </w:rPr>
        <w:t xml:space="preserve"> verifica questa ipotesi, controllando se i residui hanno la forma della classica campana gaussiana.</w:t>
      </w:r>
    </w:p>
    <w:p>
      <w:pPr>
        <w:spacing w:after="160" w:line="312"/>
        <w:jc w:val="both"/>
      </w:pPr>
      <w:r>
        <w:rPr>
          <w:rFonts w:ascii="Cambria" w:cs="Cambria" w:eastAsia="Cambria" w:hAnsi="Cambria"/>
          <w:sz w:val="22"/>
          <w:szCs w:val="22"/>
        </w:rPr>
        <w:t xml:space="preserve">In pratica, il test misura due cose: la </w:t>
      </w:r>
      <w:r>
        <w:rPr>
          <w:rFonts w:ascii="Cambria" w:cs="Cambria" w:eastAsia="Cambria" w:hAnsi="Cambria"/>
          <w:b/>
          <w:bCs/>
          <w:sz w:val="22"/>
          <w:szCs w:val="22"/>
        </w:rPr>
        <w:t xml:space="preserve">skewness</w:t>
      </w:r>
      <w:r>
        <w:rPr>
          <w:rFonts w:ascii="Cambria" w:cs="Cambria" w:eastAsia="Cambria" w:hAnsi="Cambria"/>
          <w:sz w:val="22"/>
          <w:szCs w:val="22"/>
        </w:rPr>
        <w:t xml:space="preserve"> (asimmetria) e la </w:t>
      </w:r>
      <w:r>
        <w:rPr>
          <w:rFonts w:ascii="Cambria" w:cs="Cambria" w:eastAsia="Cambria" w:hAnsi="Cambria"/>
          <w:b/>
          <w:bCs/>
          <w:sz w:val="22"/>
          <w:szCs w:val="22"/>
        </w:rPr>
        <w:t xml:space="preserve">kurtosis</w:t>
      </w:r>
      <w:r>
        <w:rPr>
          <w:rFonts w:ascii="Cambria" w:cs="Cambria" w:eastAsia="Cambria" w:hAnsi="Cambria"/>
          <w:sz w:val="22"/>
          <w:szCs w:val="22"/>
        </w:rPr>
        <w:t xml:space="preserve"> (peso delle code) dei residui. Se la skewness è diversa da zero, i residui sono asimmetrici. Se la kurtosis è troppo alta, i residui hanno code pesanti (valori estremi più frequenti del previsto). In entrambi i casi, l’ipotesi di normalità viene rifiutata. Questo non invalida necessariamente il modello OU (i prezzi elettrici hanno notoriamente code pesanti), ma ci dice che le bande di confidenza basate sulla normalità potrebbero essere troppo strette.</w:t>
      </w:r>
    </w:p>
    <w:p>
      <w:pPr>
        <w:spacing w:after="120" w:before="200"/>
      </w:pPr>
      <w:r>
        <w:rPr>
          <w:rFonts w:ascii="Calibri" w:cs="Calibri" w:eastAsia="Calibri" w:hAnsi="Calibri"/>
          <w:b/>
          <w:bCs/>
          <w:i/>
          <w:iCs/>
          <w:color w:val="333333"/>
          <w:sz w:val="22"/>
          <w:szCs w:val="22"/>
        </w:rPr>
        <w:t xml:space="preserve">12.2.4 Confronto AIC/BIC: OU per regime vs OU globale</w:t>
      </w:r>
    </w:p>
    <w:p>
      <w:pPr>
        <w:spacing w:after="160" w:line="312"/>
        <w:jc w:val="both"/>
      </w:pPr>
      <w:r>
        <w:rPr>
          <w:rFonts w:ascii="Cambria" w:cs="Cambria" w:eastAsia="Cambria" w:hAnsi="Cambria"/>
          <w:sz w:val="22"/>
          <w:szCs w:val="22"/>
        </w:rPr>
        <w:t xml:space="preserve">Qui la domanda è: vale la pena avere parametri OU diversi per ogni regime, oppure un singolo modello OU per l’intero dataset funzionerebbe altrettanto bene? Se i regimi sono davvero diversi, il modello “per regime” dovrebbe descrivere i dati significativamente meglio del modello “globale”.</w:t>
      </w:r>
    </w:p>
    <w:p>
      <w:pPr>
        <w:spacing w:after="160" w:line="312"/>
        <w:jc w:val="both"/>
      </w:pPr>
      <w:r>
        <w:rPr>
          <w:rFonts w:ascii="Cambria" w:cs="Cambria" w:eastAsia="Cambria" w:hAnsi="Cambria"/>
          <w:sz w:val="22"/>
          <w:szCs w:val="22"/>
        </w:rPr>
        <w:t xml:space="preserve">Per rispondere usiamo due metriche: l’</w:t>
      </w:r>
      <w:r>
        <w:rPr>
          <w:rFonts w:ascii="Cambria" w:cs="Cambria" w:eastAsia="Cambria" w:hAnsi="Cambria"/>
          <w:b/>
          <w:bCs/>
          <w:sz w:val="22"/>
          <w:szCs w:val="22"/>
        </w:rPr>
        <w:t xml:space="preserve">AIC (Akaike Information Criterion)</w:t>
      </w:r>
      <w:r>
        <w:rPr>
          <w:rFonts w:ascii="Cambria" w:cs="Cambria" w:eastAsia="Cambria" w:hAnsi="Cambria"/>
          <w:sz w:val="22"/>
          <w:szCs w:val="22"/>
        </w:rPr>
        <w:t xml:space="preserve"> e il </w:t>
      </w:r>
      <w:r>
        <w:rPr>
          <w:rFonts w:ascii="Cambria" w:cs="Cambria" w:eastAsia="Cambria" w:hAnsi="Cambria"/>
          <w:b/>
          <w:bCs/>
          <w:sz w:val="22"/>
          <w:szCs w:val="22"/>
        </w:rPr>
        <w:t xml:space="preserve">BIC (Bayesian Information Criterion)</w:t>
      </w:r>
      <w:r>
        <w:rPr>
          <w:rFonts w:ascii="Cambria" w:cs="Cambria" w:eastAsia="Cambria" w:hAnsi="Cambria"/>
          <w:sz w:val="22"/>
          <w:szCs w:val="22"/>
        </w:rPr>
        <w:t xml:space="preserve">. Entrambe misurano la qualità di un modello bilanciando la bontà del fit con la complessità del modello (quanti parametri ha). Un modello con più parametri fitta sempre meglio, ma potrebbe star catturando rumore anziché struttura. AIC e BIC penalizzano i parametri in eccesso.</w:t>
      </w:r>
    </w:p>
    <w:p>
      <w:pPr>
        <w:spacing w:after="160" w:line="312"/>
        <w:jc w:val="both"/>
      </w:pPr>
      <w:r>
        <w:rPr>
          <w:rFonts w:ascii="Cambria" w:cs="Cambria" w:eastAsia="Cambria" w:hAnsi="Cambria"/>
          <w:sz w:val="22"/>
          <w:szCs w:val="22"/>
        </w:rPr>
        <w:t xml:space="preserve">Calcoliamo il </w:t>
      </w:r>
      <w:r>
        <w:rPr>
          <w:rFonts w:ascii="Cambria" w:cs="Cambria" w:eastAsia="Cambria" w:hAnsi="Cambria"/>
          <w:b/>
          <w:bCs/>
          <w:sz w:val="22"/>
          <w:szCs w:val="22"/>
        </w:rPr>
        <w:t xml:space="preserve">ΔAIC</w:t>
      </w:r>
      <w:r>
        <w:rPr>
          <w:rFonts w:ascii="Cambria" w:cs="Cambria" w:eastAsia="Cambria" w:hAnsi="Cambria"/>
          <w:sz w:val="22"/>
          <w:szCs w:val="22"/>
        </w:rPr>
        <w:t xml:space="preserve"> e il </w:t>
      </w:r>
      <w:r>
        <w:rPr>
          <w:rFonts w:ascii="Cambria" w:cs="Cambria" w:eastAsia="Cambria" w:hAnsi="Cambria"/>
          <w:b/>
          <w:bCs/>
          <w:sz w:val="22"/>
          <w:szCs w:val="22"/>
        </w:rPr>
        <w:t xml:space="preserve">ΔBIC</w:t>
      </w:r>
      <w:r>
        <w:rPr>
          <w:rFonts w:ascii="Cambria" w:cs="Cambria" w:eastAsia="Cambria" w:hAnsi="Cambria"/>
          <w:sz w:val="22"/>
          <w:szCs w:val="22"/>
        </w:rPr>
        <w:t xml:space="preserve"> come la differenza tra il criterio del modello globale e quello del modello per regime. Se ΔAIC &gt; 0 e ΔBIC &gt; 0, il modello per regime è migliore: i regimi catturano struttura reale nei dati. Se ΔAIC ≤ 0, separare per regimi non aggiunge valore e forse i regimi non hanno dinamiche OU realmente distinte.</w:t>
      </w:r>
    </w:p>
    <w:p>
      <w:pPr>
        <w:spacing w:after="120" w:before="200"/>
      </w:pPr>
      <w:r>
        <w:rPr>
          <w:rFonts w:ascii="Calibri" w:cs="Calibri" w:eastAsia="Calibri" w:hAnsi="Calibri"/>
          <w:b/>
          <w:bCs/>
          <w:i/>
          <w:iCs/>
          <w:color w:val="333333"/>
          <w:sz w:val="22"/>
          <w:szCs w:val="22"/>
        </w:rPr>
        <w:t xml:space="preserve">12.2.5 Plausibilità del tempo di dimezzamento</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tempo di dimezzamento (t½)</w:t>
      </w:r>
      <w:r>
        <w:rPr>
          <w:rFonts w:ascii="Cambria" w:cs="Cambria" w:eastAsia="Cambria" w:hAnsi="Cambria"/>
          <w:sz w:val="22"/>
          <w:szCs w:val="22"/>
        </w:rPr>
        <w:t xml:space="preserve"> è il tempo necessario perché lo scostamento del prezzo dall’equilibrio si riduca della metà. Deve cadere in un intervallo ragionevole per un mercato elettrico orario: tra </w:t>
      </w:r>
      <w:r>
        <w:rPr>
          <w:rFonts w:ascii="Cambria" w:cs="Cambria" w:eastAsia="Cambria" w:hAnsi="Cambria"/>
          <w:b/>
          <w:bCs/>
          <w:sz w:val="22"/>
          <w:szCs w:val="22"/>
        </w:rPr>
        <w:t xml:space="preserve">1 ora</w:t>
      </w:r>
      <w:r>
        <w:rPr>
          <w:rFonts w:ascii="Cambria" w:cs="Cambria" w:eastAsia="Cambria" w:hAnsi="Cambria"/>
          <w:sz w:val="22"/>
          <w:szCs w:val="22"/>
        </w:rPr>
        <w:t xml:space="preserve"> (mean-reversion rapidissima) e </w:t>
      </w:r>
      <w:r>
        <w:rPr>
          <w:rFonts w:ascii="Cambria" w:cs="Cambria" w:eastAsia="Cambria" w:hAnsi="Cambria"/>
          <w:b/>
          <w:bCs/>
          <w:sz w:val="22"/>
          <w:szCs w:val="22"/>
        </w:rPr>
        <w:t xml:space="preserve">720 ore</w:t>
      </w:r>
      <w:r>
        <w:rPr>
          <w:rFonts w:ascii="Cambria" w:cs="Cambria" w:eastAsia="Cambria" w:hAnsi="Cambria"/>
          <w:sz w:val="22"/>
          <w:szCs w:val="22"/>
        </w:rPr>
        <w:t xml:space="preserve"> (30 giorni, mean-reversion molto lenta).</w:t>
      </w:r>
    </w:p>
    <w:p>
      <w:pPr>
        <w:spacing w:after="160" w:line="312"/>
        <w:jc w:val="both"/>
      </w:pPr>
      <w:r>
        <w:rPr>
          <w:rFonts w:ascii="Cambria" w:cs="Cambria" w:eastAsia="Cambria" w:hAnsi="Cambria"/>
          <w:sz w:val="22"/>
          <w:szCs w:val="22"/>
        </w:rPr>
        <w:t xml:space="preserve">Un t½ &lt; 1 ora non ha senso fisico: significherebbe che il prezzo torna all’equilibrio in meno di un’ora, più velocemente del passo temporale dei dati stessi. Un t½ &gt; 720 ore è troppo lungo: dopo 30 giorni il regime potrebbe essere già cambiato più volte, quindi la mean-reversion misurata è probabilmente un artefatto. Valori fuori da questo intervallo sono un segnale di allarme.</w:t>
      </w:r>
    </w:p>
    <w:p>
      <w:pPr>
        <w:spacing w:after="120" w:before="200"/>
      </w:pPr>
      <w:r>
        <w:rPr>
          <w:rFonts w:ascii="Calibri" w:cs="Calibri" w:eastAsia="Calibri" w:hAnsi="Calibri"/>
          <w:b/>
          <w:bCs/>
          <w:i/>
          <w:iCs/>
          <w:color w:val="333333"/>
          <w:sz w:val="22"/>
          <w:szCs w:val="22"/>
        </w:rPr>
        <w:t xml:space="preserve">12.2.6 Stabilità temporale dei parametri (rolling θ)</w:t>
      </w:r>
    </w:p>
    <w:p>
      <w:pPr>
        <w:spacing w:after="160" w:line="312"/>
        <w:jc w:val="both"/>
      </w:pPr>
      <w:r>
        <w:rPr>
          <w:rFonts w:ascii="Cambria" w:cs="Cambria" w:eastAsia="Cambria" w:hAnsi="Cambria"/>
          <w:sz w:val="22"/>
          <w:szCs w:val="22"/>
        </w:rPr>
        <w:t xml:space="preserve">L’ultimo controllo è il più sottile. Anche se i parametri OU sono buoni in media, potrebbero variare molto nel tempo. Se θ è alto nel 2021 ma basso nel 2024 per lo stesso regime, il modello OU con parametri fissi non descrive bene quel regime: la mean-reversion sta cambiando.</w:t>
      </w:r>
    </w:p>
    <w:p>
      <w:pPr>
        <w:spacing w:after="160" w:line="312"/>
        <w:jc w:val="both"/>
      </w:pPr>
      <w:r>
        <w:rPr>
          <w:rFonts w:ascii="Cambria" w:cs="Cambria" w:eastAsia="Cambria" w:hAnsi="Cambria"/>
          <w:sz w:val="22"/>
          <w:szCs w:val="22"/>
        </w:rPr>
        <w:t xml:space="preserve">Per verificarlo, ricalcoliamo θ su finestre temporali mobili (</w:t>
      </w:r>
      <w:r>
        <w:rPr>
          <w:rFonts w:ascii="Cambria" w:cs="Cambria" w:eastAsia="Cambria" w:hAnsi="Cambria"/>
          <w:b/>
          <w:bCs/>
          <w:sz w:val="22"/>
          <w:szCs w:val="22"/>
        </w:rPr>
        <w:t xml:space="preserve">rolling windows</w:t>
      </w:r>
      <w:r>
        <w:rPr>
          <w:rFonts w:ascii="Cambria" w:cs="Cambria" w:eastAsia="Cambria" w:hAnsi="Cambria"/>
          <w:sz w:val="22"/>
          <w:szCs w:val="22"/>
        </w:rPr>
        <w:t xml:space="preserve">) e osserviamo se resta ragionevolmente stabile o se fluttua molto. Se fluttua, potrebbe servire un modello più sofisticato con parametri variabili nel tempo, oppure potrebbe significare che il regime individuato da HDBSCAN raggruppa in realtà due dinamiche diverse.</w:t>
      </w:r>
    </w:p>
    <w:p>
      <w:pPr>
        <w:pBdr>
          <w:bottom w:val="single" w:color="2E75B6" w:sz="4" w:space="4"/>
        </w:pBdr>
        <w:spacing w:after="200" w:before="360"/>
      </w:pPr>
      <w:r>
        <w:rPr>
          <w:rFonts w:ascii="Calibri" w:cs="Calibri" w:eastAsia="Calibri" w:hAnsi="Calibri"/>
          <w:b/>
          <w:bCs/>
          <w:color w:val="1B3A5C"/>
          <w:sz w:val="28"/>
          <w:szCs w:val="28"/>
        </w:rPr>
        <w:t xml:space="preserve">13. Matrice di Transizione tra Regimi (Step 09)</w:t>
      </w:r>
    </w:p>
    <w:p>
      <w:pPr>
        <w:spacing w:after="160" w:before="280"/>
      </w:pPr>
      <w:r>
        <w:rPr>
          <w:rFonts w:ascii="Calibri" w:cs="Calibri" w:eastAsia="Calibri" w:hAnsi="Calibri"/>
          <w:b/>
          <w:bCs/>
          <w:color w:val="2E75B6"/>
          <w:sz w:val="24"/>
          <w:szCs w:val="24"/>
        </w:rPr>
        <w:t xml:space="preserve">13.1 Il concetto</w:t>
      </w:r>
    </w:p>
    <w:p>
      <w:pPr>
        <w:spacing w:after="160" w:line="312"/>
        <w:jc w:val="both"/>
      </w:pPr>
      <w:r>
        <w:rPr>
          <w:rFonts w:ascii="Cambria" w:cs="Cambria" w:eastAsia="Cambria" w:hAnsi="Cambria"/>
          <w:sz w:val="22"/>
          <w:szCs w:val="22"/>
        </w:rPr>
        <w:t xml:space="preserve">Fino a questo punto sappiamo due cose: in quali regimi si trova il mercato (dal clustering) e come si comporta il prezzo dentro ciascun regime (dal fit OU). Manca un pezzo fondamentale: </w:t>
      </w:r>
      <w:r>
        <w:rPr>
          <w:rFonts w:ascii="Cambria" w:cs="Cambria" w:eastAsia="Cambria" w:hAnsi="Cambria"/>
          <w:b/>
          <w:bCs/>
          <w:sz w:val="22"/>
          <w:szCs w:val="22"/>
        </w:rPr>
        <w:t xml:space="preserve">come il mercato passa da un regime all’altro</w:t>
      </w:r>
      <w:r>
        <w:rPr>
          <w:rFonts w:ascii="Cambria" w:cs="Cambria" w:eastAsia="Cambria" w:hAnsi="Cambria"/>
          <w:sz w:val="22"/>
          <w:szCs w:val="22"/>
        </w:rPr>
        <w:t xml:space="preserve">.</w:t>
      </w:r>
    </w:p>
    <w:p>
      <w:pPr>
        <w:spacing w:after="160" w:line="312"/>
        <w:jc w:val="both"/>
      </w:pPr>
      <w:r>
        <w:rPr>
          <w:rFonts w:ascii="Cambria" w:cs="Cambria" w:eastAsia="Cambria" w:hAnsi="Cambria"/>
          <w:sz w:val="22"/>
          <w:szCs w:val="22"/>
        </w:rPr>
        <w:t xml:space="preserve">Se il mercato è nel regime 1 (gas dominante, prezzi medi) a quest’ora, qual è la probabilità che resti nel regime 1 alla prossima ora? E qual è la probabilità che passi al regime 2 (stress, prezzi alti)? Queste probabilità sono raccolte nella </w:t>
      </w:r>
      <w:r>
        <w:rPr>
          <w:rFonts w:ascii="Cambria" w:cs="Cambria" w:eastAsia="Cambria" w:hAnsi="Cambria"/>
          <w:b/>
          <w:bCs/>
          <w:sz w:val="22"/>
          <w:szCs w:val="22"/>
        </w:rPr>
        <w:t xml:space="preserve">matrice di transizione</w:t>
      </w:r>
      <w:r>
        <w:rPr>
          <w:rFonts w:ascii="Cambria" w:cs="Cambria" w:eastAsia="Cambria" w:hAnsi="Cambria"/>
          <w:sz w:val="22"/>
          <w:szCs w:val="22"/>
        </w:rPr>
        <w:t xml:space="preserve">.</w:t>
      </w:r>
    </w:p>
    <w:p>
      <w:pPr>
        <w:spacing w:after="160" w:before="280"/>
      </w:pPr>
      <w:r>
        <w:rPr>
          <w:rFonts w:ascii="Calibri" w:cs="Calibri" w:eastAsia="Calibri" w:hAnsi="Calibri"/>
          <w:b/>
          <w:bCs/>
          <w:color w:val="2E75B6"/>
          <w:sz w:val="24"/>
          <w:szCs w:val="24"/>
        </w:rPr>
        <w:t xml:space="preserve">13.2 Come si costruisce</w:t>
      </w:r>
    </w:p>
    <w:p>
      <w:pPr>
        <w:spacing w:after="160" w:line="312"/>
        <w:jc w:val="both"/>
      </w:pPr>
      <w:r>
        <w:rPr>
          <w:rFonts w:ascii="Cambria" w:cs="Cambria" w:eastAsia="Cambria" w:hAnsi="Cambria"/>
          <w:sz w:val="22"/>
          <w:szCs w:val="22"/>
        </w:rPr>
        <w:t xml:space="preserve">La costruzione è sorprendentemente semplice. Abbiamo 43.789 ore consecutive, ciascuna con un’etichetta di regime (es. 0, 1, 2, 3, o −1 per il rumore). Per ogni coppia di ore consecutive (t, t+1), osserviamo: da quale regime siamo partiti e in quale siamo arrivati.</w:t>
      </w:r>
    </w:p>
    <w:p>
      <w:pPr>
        <w:spacing w:after="160" w:line="312"/>
        <w:jc w:val="both"/>
      </w:pPr>
      <w:r>
        <w:rPr>
          <w:rFonts w:ascii="Cambria" w:cs="Cambria" w:eastAsia="Cambria" w:hAnsi="Cambria"/>
          <w:sz w:val="22"/>
          <w:szCs w:val="22"/>
        </w:rPr>
        <w:t xml:space="preserve">La </w:t>
      </w:r>
      <w:r>
        <w:rPr>
          <w:rFonts w:ascii="Cambria" w:cs="Cambria" w:eastAsia="Cambria" w:hAnsi="Cambria"/>
          <w:b/>
          <w:bCs/>
          <w:sz w:val="22"/>
          <w:szCs w:val="22"/>
        </w:rPr>
        <w:t xml:space="preserve">matrice di transizione A</w:t>
      </w:r>
      <w:r>
        <w:rPr>
          <w:rFonts w:ascii="Cambria" w:cs="Cambria" w:eastAsia="Cambria" w:hAnsi="Cambria"/>
          <w:sz w:val="22"/>
          <w:szCs w:val="22"/>
        </w:rPr>
        <w:t xml:space="preserve"> è una tabella K × K (dove K è il numero di regimi) in cui ogni cella A[i, j] contiene la probabilità di passare dal regime i al regime j. Si calcola come il numero di volte in cui il mercato è passato da i a j, diviso per il numero totale di volte in cui il mercato era in i:</w:t>
      </w:r>
    </w:p>
    <w:p>
      <w:pPr>
        <w:shd w:fill="F5F5F5" w:val="clear"/>
        <w:spacing w:after="80" w:before="80"/>
        <w:ind w:left="360"/>
      </w:pPr>
      <w:r>
        <w:rPr>
          <w:rFonts w:ascii="Consolas" w:cs="Consolas" w:eastAsia="Consolas" w:hAnsi="Consolas"/>
          <w:color w:val="2E4057"/>
          <w:sz w:val="18"/>
          <w:szCs w:val="18"/>
        </w:rPr>
        <w:t xml:space="preserve">A[i, j] = #{ore in cui r_t = i e r_{t+1} = j} / #{ore in cui r_t = i}</w:t>
      </w:r>
    </w:p>
    <w:p>
      <w:pPr>
        <w:spacing w:after="160" w:line="312"/>
        <w:jc w:val="both"/>
      </w:pPr>
      <w:r>
        <w:rPr>
          <w:rFonts w:ascii="Cambria" w:cs="Cambria" w:eastAsia="Cambria" w:hAnsi="Cambria"/>
          <w:sz w:val="22"/>
          <w:szCs w:val="22"/>
        </w:rPr>
        <w:t xml:space="preserve">Per costruzione, ogni riga della matrice somma a 1: partendo dal regime i, devi finire in qualche regime (incluso restare in i).</w:t>
      </w:r>
    </w:p>
    <w:p>
      <w:pPr>
        <w:spacing w:after="160" w:before="280"/>
      </w:pPr>
      <w:r>
        <w:rPr>
          <w:rFonts w:ascii="Calibri" w:cs="Calibri" w:eastAsia="Calibri" w:hAnsi="Calibri"/>
          <w:b/>
          <w:bCs/>
          <w:color w:val="2E75B6"/>
          <w:sz w:val="24"/>
          <w:szCs w:val="24"/>
        </w:rPr>
        <w:t xml:space="preserve">13.3 Come si legge</w:t>
      </w:r>
    </w:p>
    <w:p>
      <w:pPr>
        <w:spacing w:after="160" w:line="312"/>
        <w:jc w:val="both"/>
      </w:pPr>
      <w:r>
        <w:rPr>
          <w:rFonts w:ascii="Cambria" w:cs="Cambria" w:eastAsia="Cambria" w:hAnsi="Cambria"/>
          <w:sz w:val="22"/>
          <w:szCs w:val="22"/>
        </w:rPr>
        <w:t xml:space="preserve">La matrice di transizione si legge per righe. La riga i ti dice: “se sei nel regime i, ecco le probabilità di dove sarai tra un’ora”. I valori sulla </w:t>
      </w:r>
      <w:r>
        <w:rPr>
          <w:rFonts w:ascii="Cambria" w:cs="Cambria" w:eastAsia="Cambria" w:hAnsi="Cambria"/>
          <w:b/>
          <w:bCs/>
          <w:sz w:val="22"/>
          <w:szCs w:val="22"/>
        </w:rPr>
        <w:t xml:space="preserve">diagonale</w:t>
      </w:r>
      <w:r>
        <w:rPr>
          <w:rFonts w:ascii="Cambria" w:cs="Cambria" w:eastAsia="Cambria" w:hAnsi="Cambria"/>
          <w:sz w:val="22"/>
          <w:szCs w:val="22"/>
        </w:rPr>
        <w:t xml:space="preserve"> (A[i, i]) sono particolarmente importanti: rappresentano la probabilità di restare nello stesso regime. Ci aspettiamo che siano molto alti (sopra 0.90 o anche 0.95), perché i regimi di mercato durano tipicamente molte ore consecutive — non cambiano ogni ora.</w:t>
      </w:r>
    </w:p>
    <w:p>
      <w:pPr>
        <w:spacing w:after="160" w:line="312"/>
        <w:jc w:val="both"/>
      </w:pPr>
      <w:r>
        <w:rPr>
          <w:rFonts w:ascii="Cambria" w:cs="Cambria" w:eastAsia="Cambria" w:hAnsi="Cambria"/>
          <w:sz w:val="22"/>
          <w:szCs w:val="22"/>
        </w:rPr>
        <w:t xml:space="preserve">I valori </w:t>
      </w:r>
      <w:r>
        <w:rPr>
          <w:rFonts w:ascii="Cambria" w:cs="Cambria" w:eastAsia="Cambria" w:hAnsi="Cambria"/>
          <w:b/>
          <w:bCs/>
          <w:sz w:val="22"/>
          <w:szCs w:val="22"/>
        </w:rPr>
        <w:t xml:space="preserve">fuori dalla diagonale</w:t>
      </w:r>
      <w:r>
        <w:rPr>
          <w:rFonts w:ascii="Cambria" w:cs="Cambria" w:eastAsia="Cambria" w:hAnsi="Cambria"/>
          <w:sz w:val="22"/>
          <w:szCs w:val="22"/>
        </w:rPr>
        <w:t xml:space="preserve"> (A[i, j] con i ≠ j) rappresentano le probabilità di transizione verso un altro regime. Sono tipicamente piccoli (pochi percento) ma cruciali: ci dicono quali transizioni sono plausibili e quali sono rare o impossibili.</w:t>
      </w:r>
    </w:p>
    <w:p>
      <w:pPr>
        <w:spacing w:after="160" w:before="280"/>
      </w:pPr>
      <w:r>
        <w:rPr>
          <w:rFonts w:ascii="Calibri" w:cs="Calibri" w:eastAsia="Calibri" w:hAnsi="Calibri"/>
          <w:b/>
          <w:bCs/>
          <w:color w:val="2E75B6"/>
          <w:sz w:val="24"/>
          <w:szCs w:val="24"/>
        </w:rPr>
        <w:t xml:space="preserve">13.4 La distribuzione stazionaria</w:t>
      </w:r>
    </w:p>
    <w:p>
      <w:pPr>
        <w:spacing w:after="160" w:line="312"/>
        <w:jc w:val="both"/>
      </w:pPr>
      <w:r>
        <w:rPr>
          <w:rFonts w:ascii="Cambria" w:cs="Cambria" w:eastAsia="Cambria" w:hAnsi="Cambria"/>
          <w:sz w:val="22"/>
          <w:szCs w:val="22"/>
        </w:rPr>
        <w:t xml:space="preserve">La matrice di transizione contiene un’informazione aggiuntiva molto preziosa: la </w:t>
      </w:r>
      <w:r>
        <w:rPr>
          <w:rFonts w:ascii="Cambria" w:cs="Cambria" w:eastAsia="Cambria" w:hAnsi="Cambria"/>
          <w:b/>
          <w:bCs/>
          <w:sz w:val="22"/>
          <w:szCs w:val="22"/>
        </w:rPr>
        <w:t xml:space="preserve">distribuzione stazionaria π</w:t>
      </w:r>
      <w:r>
        <w:rPr>
          <w:rFonts w:ascii="Cambria" w:cs="Cambria" w:eastAsia="Cambria" w:hAnsi="Cambria"/>
          <w:sz w:val="22"/>
          <w:szCs w:val="22"/>
        </w:rPr>
        <w:t xml:space="preserve">. In parole semplici, π ti dice: “se il mercato funzionasse all’infinito con queste stesse probabilità di transizione, quanto tempo passerebbe in ciascun regime?”.</w:t>
      </w:r>
    </w:p>
    <w:p>
      <w:pPr>
        <w:spacing w:after="160" w:line="312"/>
        <w:jc w:val="both"/>
      </w:pPr>
      <w:r>
        <w:rPr>
          <w:rFonts w:ascii="Cambria" w:cs="Cambria" w:eastAsia="Cambria" w:hAnsi="Cambria"/>
          <w:sz w:val="22"/>
          <w:szCs w:val="22"/>
        </w:rPr>
        <w:t xml:space="preserve">Matematicamente, π è un vettore di K probabilità (che sommano a 1) che soddisfa l’equazione:</w:t>
      </w:r>
    </w:p>
    <w:p>
      <w:pPr>
        <w:shd w:fill="F5F5F5" w:val="clear"/>
        <w:spacing w:after="80" w:before="80"/>
        <w:ind w:left="360"/>
      </w:pPr>
      <w:r>
        <w:rPr>
          <w:rFonts w:ascii="Consolas" w:cs="Consolas" w:eastAsia="Consolas" w:hAnsi="Consolas"/>
          <w:color w:val="2E4057"/>
          <w:sz w:val="18"/>
          <w:szCs w:val="18"/>
        </w:rPr>
        <w:t xml:space="preserve">πᵀ · A = πᵀ</w:t>
      </w:r>
    </w:p>
    <w:p>
      <w:pPr>
        <w:spacing w:after="160" w:line="312"/>
        <w:jc w:val="both"/>
      </w:pPr>
      <w:r>
        <w:rPr>
          <w:rFonts w:ascii="Cambria" w:cs="Cambria" w:eastAsia="Cambria" w:hAnsi="Cambria"/>
          <w:sz w:val="22"/>
          <w:szCs w:val="22"/>
        </w:rPr>
        <w:t xml:space="preserve">Questa equazione dice: se applico le probabilità di transizione A alla distribuzione π, ottengo di nuovo π. È un punto fisso. Se π dice che il mercato trascorre il 60% del tempo nel regime 0, il 25% nel regime 1 e il 15% nel regime 2, queste proporzioni restano stabili nel tempo.</w:t>
      </w:r>
    </w:p>
    <w:p>
      <w:pPr>
        <w:spacing w:after="160" w:line="312"/>
        <w:jc w:val="both"/>
      </w:pPr>
      <w:r>
        <w:rPr>
          <w:rFonts w:ascii="Cambria" w:cs="Cambria" w:eastAsia="Cambria" w:hAnsi="Cambria"/>
          <w:sz w:val="22"/>
          <w:szCs w:val="22"/>
        </w:rPr>
        <w:t xml:space="preserve">Tecnicamente, π è l’autovettore sinistro della matrice A corrispondente all’autovalore 1 (che esiste sempre per una matrice stocastica). In pratica, si calcola con una riga di codice. La distribuzione stazionaria ci servirà più avanti come punto di partenza per le simulazioni Monte Carlo.</w:t>
      </w:r>
    </w:p>
    <w:p>
      <w:pPr>
        <w:pBdr>
          <w:bottom w:val="single" w:color="2E75B6" w:sz="4" w:space="4"/>
        </w:pBdr>
        <w:spacing w:after="200" w:before="360"/>
      </w:pPr>
      <w:r>
        <w:rPr>
          <w:rFonts w:ascii="Calibri" w:cs="Calibri" w:eastAsia="Calibri" w:hAnsi="Calibri"/>
          <w:b/>
          <w:bCs/>
          <w:color w:val="1B3A5C"/>
          <w:sz w:val="28"/>
          <w:szCs w:val="28"/>
        </w:rPr>
        <w:t xml:space="preserve">14. Validazione della Matrice di Transizione (Step 10)</w:t>
      </w:r>
    </w:p>
    <w:p>
      <w:pPr>
        <w:spacing w:after="160" w:line="312"/>
        <w:jc w:val="both"/>
      </w:pPr>
      <w:r>
        <w:rPr>
          <w:rFonts w:ascii="Cambria" w:cs="Cambria" w:eastAsia="Cambria" w:hAnsi="Cambria"/>
          <w:sz w:val="22"/>
          <w:szCs w:val="22"/>
        </w:rPr>
        <w:t xml:space="preserve">Come per il modello OU, anche la matrice di transizione va validata prima di fidarci. Non è sufficiente calcolarla: dobbiamo verificare che le sue proprietà siano consistenti con il comportamento reale del mercato.</w:t>
      </w:r>
    </w:p>
    <w:p>
      <w:pPr>
        <w:spacing w:after="160" w:before="280"/>
      </w:pPr>
      <w:r>
        <w:rPr>
          <w:rFonts w:ascii="Calibri" w:cs="Calibri" w:eastAsia="Calibri" w:hAnsi="Calibri"/>
          <w:b/>
          <w:bCs/>
          <w:color w:val="2E75B6"/>
          <w:sz w:val="24"/>
          <w:szCs w:val="24"/>
        </w:rPr>
        <w:t xml:space="preserve">14.1 Test χ² di stazionarietà</w:t>
      </w:r>
    </w:p>
    <w:p>
      <w:pPr>
        <w:spacing w:after="160" w:line="312"/>
        <w:jc w:val="both"/>
      </w:pPr>
      <w:r>
        <w:rPr>
          <w:rFonts w:ascii="Cambria" w:cs="Cambria" w:eastAsia="Cambria" w:hAnsi="Cambria"/>
          <w:sz w:val="22"/>
          <w:szCs w:val="22"/>
        </w:rPr>
        <w:t xml:space="preserve">La matrice di transizione assume che le probabilità di passare da un regime all’altro siano </w:t>
      </w:r>
      <w:r>
        <w:rPr>
          <w:rFonts w:ascii="Cambria" w:cs="Cambria" w:eastAsia="Cambria" w:hAnsi="Cambria"/>
          <w:b/>
          <w:bCs/>
          <w:sz w:val="22"/>
          <w:szCs w:val="22"/>
        </w:rPr>
        <w:t xml:space="preserve">costanti nel tempo</w:t>
      </w:r>
      <w:r>
        <w:rPr>
          <w:rFonts w:ascii="Cambria" w:cs="Cambria" w:eastAsia="Cambria" w:hAnsi="Cambria"/>
          <w:sz w:val="22"/>
          <w:szCs w:val="22"/>
        </w:rPr>
        <w:t xml:space="preserve">. Questo è un’ipotesi forte: stiamo dicendo che le regole di transizione del 2021 sono le stesse del 2025. Potrebbe non essere vero — ad esempio, il mercato potrebbe essere diventato più volatile nel tempo, rendendo le transizioni verso regimi di stress più frequenti.</w:t>
      </w:r>
    </w:p>
    <w:p>
      <w:pPr>
        <w:spacing w:after="160" w:line="312"/>
        <w:jc w:val="both"/>
      </w:pPr>
      <w:r>
        <w:rPr>
          <w:rFonts w:ascii="Cambria" w:cs="Cambria" w:eastAsia="Cambria" w:hAnsi="Cambria"/>
          <w:sz w:val="22"/>
          <w:szCs w:val="22"/>
        </w:rPr>
        <w:t xml:space="preserve">Per verificare, dividiamo la serie storica a metà e calcoliamo la matrice di transizione separatamente sulla prima metà (2021–2023) e sulla seconda metà (2023–2025). Poi usiamo un </w:t>
      </w:r>
      <w:r>
        <w:rPr>
          <w:rFonts w:ascii="Cambria" w:cs="Cambria" w:eastAsia="Cambria" w:hAnsi="Cambria"/>
          <w:b/>
          <w:bCs/>
          <w:sz w:val="22"/>
          <w:szCs w:val="22"/>
        </w:rPr>
        <w:t xml:space="preserve">test del chi-quadrato (χ²)</w:t>
      </w:r>
      <w:r>
        <w:rPr>
          <w:rFonts w:ascii="Cambria" w:cs="Cambria" w:eastAsia="Cambria" w:hAnsi="Cambria"/>
          <w:sz w:val="22"/>
          <w:szCs w:val="22"/>
        </w:rPr>
        <w:t xml:space="preserve"> per verificare se le due matrici sono statisticamente compatibili. Se il test rigetta l’ipotesi di uguaglianza (p &lt; 0.05), le dinamiche di transizione sono cambiate nel tempo e potrebbe servire un modello più ricco.</w:t>
      </w:r>
    </w:p>
    <w:p>
      <w:pPr>
        <w:spacing w:after="160" w:before="280"/>
      </w:pPr>
      <w:r>
        <w:rPr>
          <w:rFonts w:ascii="Calibri" w:cs="Calibri" w:eastAsia="Calibri" w:hAnsi="Calibri"/>
          <w:b/>
          <w:bCs/>
          <w:color w:val="2E75B6"/>
          <w:sz w:val="24"/>
          <w:szCs w:val="24"/>
        </w:rPr>
        <w:t xml:space="preserve">14.2 Entropia di Shannon per riga</w:t>
      </w:r>
    </w:p>
    <w:p>
      <w:pPr>
        <w:spacing w:after="160" w:line="312"/>
        <w:jc w:val="both"/>
      </w:pPr>
      <w:r>
        <w:rPr>
          <w:rFonts w:ascii="Cambria" w:cs="Cambria" w:eastAsia="Cambria" w:hAnsi="Cambria"/>
          <w:sz w:val="22"/>
          <w:szCs w:val="22"/>
        </w:rPr>
        <w:t xml:space="preserve">Per ogni regime i, calcoliamo l’</w:t>
      </w:r>
      <w:r>
        <w:rPr>
          <w:rFonts w:ascii="Cambria" w:cs="Cambria" w:eastAsia="Cambria" w:hAnsi="Cambria"/>
          <w:b/>
          <w:bCs/>
          <w:sz w:val="22"/>
          <w:szCs w:val="22"/>
        </w:rPr>
        <w:t xml:space="preserve">entropia di Shannon</w:t>
      </w:r>
      <w:r>
        <w:rPr>
          <w:rFonts w:ascii="Cambria" w:cs="Cambria" w:eastAsia="Cambria" w:hAnsi="Cambria"/>
          <w:sz w:val="22"/>
          <w:szCs w:val="22"/>
        </w:rPr>
        <w:t xml:space="preserve"> della sua riga nella matrice di transizione:</w:t>
      </w:r>
    </w:p>
    <w:p>
      <w:pPr>
        <w:shd w:fill="F5F5F5" w:val="clear"/>
        <w:spacing w:after="80" w:before="80"/>
        <w:ind w:left="360"/>
      </w:pPr>
      <w:r>
        <w:rPr>
          <w:rFonts w:ascii="Consolas" w:cs="Consolas" w:eastAsia="Consolas" w:hAnsi="Consolas"/>
          <w:color w:val="2E4057"/>
          <w:sz w:val="18"/>
          <w:szCs w:val="18"/>
        </w:rPr>
        <w:t xml:space="preserve">H_i = −Σ_j A[i, j] · log₂(A[i, j])</w:t>
      </w:r>
    </w:p>
    <w:p>
      <w:pPr>
        <w:spacing w:after="160" w:line="312"/>
        <w:jc w:val="both"/>
      </w:pPr>
      <w:r>
        <w:rPr>
          <w:rFonts w:ascii="Cambria" w:cs="Cambria" w:eastAsia="Cambria" w:hAnsi="Cambria"/>
          <w:sz w:val="22"/>
          <w:szCs w:val="22"/>
        </w:rPr>
        <w:t xml:space="preserve">L’entropia misura l’</w:t>
      </w:r>
      <w:r>
        <w:rPr>
          <w:rFonts w:ascii="Cambria" w:cs="Cambria" w:eastAsia="Cambria" w:hAnsi="Cambria"/>
          <w:b/>
          <w:bCs/>
          <w:sz w:val="22"/>
          <w:szCs w:val="22"/>
        </w:rPr>
        <w:t xml:space="preserve">imprevedibilità</w:t>
      </w:r>
      <w:r>
        <w:rPr>
          <w:rFonts w:ascii="Cambria" w:cs="Cambria" w:eastAsia="Cambria" w:hAnsi="Cambria"/>
          <w:sz w:val="22"/>
          <w:szCs w:val="22"/>
        </w:rPr>
        <w:t xml:space="preserve"> delle transizioni a partire dal regime i. Se il regime i ha altissima persistenza (A[i, i] ≈ 0.99 e tutti gli altri A[i, j] ≈ 0), l’entropia è bassa: sappiamo quasi certamente dove sarà il mercato tra un’ora (stesso regime). Se invece le probabilità di transizione sono distribuite su molti regimi, l’entropia è alta: il prossimo regime è incerto.</w:t>
      </w:r>
    </w:p>
    <w:p>
      <w:pPr>
        <w:spacing w:after="160" w:line="312"/>
        <w:jc w:val="both"/>
      </w:pPr>
      <w:r>
        <w:rPr>
          <w:rFonts w:ascii="Cambria" w:cs="Cambria" w:eastAsia="Cambria" w:hAnsi="Cambria"/>
          <w:sz w:val="22"/>
          <w:szCs w:val="22"/>
        </w:rPr>
        <w:t xml:space="preserve">Questa informazione è utile per il risk management: un regime ad alta entropia è intrinsecamente più rischioso perché il mercato potrebbe prendere molte direzioni diverse.</w:t>
      </w:r>
    </w:p>
    <w:p>
      <w:pPr>
        <w:spacing w:after="160" w:before="280"/>
      </w:pPr>
      <w:r>
        <w:rPr>
          <w:rFonts w:ascii="Calibri" w:cs="Calibri" w:eastAsia="Calibri" w:hAnsi="Calibri"/>
          <w:b/>
          <w:bCs/>
          <w:color w:val="2E75B6"/>
          <w:sz w:val="24"/>
          <w:szCs w:val="24"/>
        </w:rPr>
        <w:t xml:space="preserve">14.3 Deviazione dalla persistenza totale</w:t>
      </w:r>
    </w:p>
    <w:p>
      <w:pPr>
        <w:spacing w:after="160" w:line="312"/>
        <w:jc w:val="both"/>
      </w:pPr>
      <w:r>
        <w:rPr>
          <w:rFonts w:ascii="Cambria" w:cs="Cambria" w:eastAsia="Cambria" w:hAnsi="Cambria"/>
          <w:sz w:val="22"/>
          <w:szCs w:val="22"/>
        </w:rPr>
        <w:t xml:space="preserve">Calcoliamo la norma </w:t>
      </w:r>
      <w:r>
        <w:rPr>
          <w:rFonts w:ascii="Cambria" w:cs="Cambria" w:eastAsia="Cambria" w:hAnsi="Cambria"/>
          <w:b/>
          <w:bCs/>
          <w:sz w:val="22"/>
          <w:szCs w:val="22"/>
        </w:rPr>
        <w:t xml:space="preserve">|A − I|</w:t>
      </w:r>
      <w:r>
        <w:rPr>
          <w:rFonts w:ascii="Cambria" w:cs="Cambria" w:eastAsia="Cambria" w:hAnsi="Cambria"/>
          <w:sz w:val="22"/>
          <w:szCs w:val="22"/>
        </w:rPr>
        <w:t xml:space="preserve"> (la distanza tra la matrice di transizione e la matrice identità). La matrice identità I rappresenta il caso di persistenza totale: ogni regime resta sempre in sé stesso, nessuna transizione mai. Quanto più A si avvicina a I, tanto più i regimi sono “appiccicosi” (alta persistenza). Quanto più se ne allontana, tanto più le transizioni sono frequenti.</w:t>
      </w:r>
    </w:p>
    <w:p>
      <w:pPr>
        <w:spacing w:after="160" w:line="312"/>
        <w:jc w:val="both"/>
      </w:pPr>
      <w:r>
        <w:rPr>
          <w:rFonts w:ascii="Cambria" w:cs="Cambria" w:eastAsia="Cambria" w:hAnsi="Cambria"/>
          <w:sz w:val="22"/>
          <w:szCs w:val="22"/>
        </w:rPr>
        <w:t xml:space="preserve">Questo numero ci dà una misura sintetica della “dinamicità” complessiva del mercato tra regimi.</w:t>
      </w:r>
    </w:p>
    <w:p>
      <w:pPr>
        <w:spacing w:after="160" w:before="280"/>
      </w:pPr>
      <w:r>
        <w:rPr>
          <w:rFonts w:ascii="Calibri" w:cs="Calibri" w:eastAsia="Calibri" w:hAnsi="Calibri"/>
          <w:b/>
          <w:bCs/>
          <w:color w:val="2E75B6"/>
          <w:sz w:val="24"/>
          <w:szCs w:val="24"/>
        </w:rPr>
        <w:t xml:space="preserve">14.4 Mixing time</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mixing time</w:t>
      </w:r>
      <w:r>
        <w:rPr>
          <w:rFonts w:ascii="Cambria" w:cs="Cambria" w:eastAsia="Cambria" w:hAnsi="Cambria"/>
          <w:sz w:val="22"/>
          <w:szCs w:val="22"/>
        </w:rPr>
        <w:t xml:space="preserve"> è il numero di passi (ore) necessari affinché la distribuzione dei regimi converga alla distribuzione stazionaria π, indipendentemente dallo stato iniziale. In altre parole: se il mercato parte in un regime qualsiasi, dopo quante ore la probabilità di essere in ciascun regime diventa stabile e indipendente dal punto di partenza?</w:t>
      </w:r>
    </w:p>
    <w:p>
      <w:pPr>
        <w:spacing w:after="160" w:line="312"/>
        <w:jc w:val="both"/>
      </w:pPr>
      <w:r>
        <w:rPr>
          <w:rFonts w:ascii="Cambria" w:cs="Cambria" w:eastAsia="Cambria" w:hAnsi="Cambria"/>
          <w:sz w:val="22"/>
          <w:szCs w:val="22"/>
        </w:rPr>
        <w:t xml:space="preserve">Un mixing time basso (es. 50 ore) significa che il mercato “dimentica” rapidamente da dove è partito. Un mixing time alto (es. 2.000 ore) significa che lo stato iniziale continua a influenzare la distribuzione per molto tempo — i regimi sono molto persistenti e le transizioni rare.</w:t>
      </w:r>
    </w:p>
    <w:p>
      <w:pPr>
        <w:pBdr>
          <w:bottom w:val="single" w:color="2E75B6" w:sz="4" w:space="4"/>
        </w:pBdr>
        <w:spacing w:after="200" w:before="360"/>
      </w:pPr>
      <w:r>
        <w:rPr>
          <w:rFonts w:ascii="Calibri" w:cs="Calibri" w:eastAsia="Calibri" w:hAnsi="Calibri"/>
          <w:b/>
          <w:bCs/>
          <w:color w:val="1B3A5C"/>
          <w:sz w:val="28"/>
          <w:szCs w:val="28"/>
        </w:rPr>
        <w:t xml:space="preserve">15. Simulazione Monte Carlo (Step 11)</w:t>
      </w:r>
    </w:p>
    <w:p>
      <w:pPr>
        <w:spacing w:after="160" w:before="280"/>
      </w:pPr>
      <w:r>
        <w:rPr>
          <w:rFonts w:ascii="Calibri" w:cs="Calibri" w:eastAsia="Calibri" w:hAnsi="Calibri"/>
          <w:b/>
          <w:bCs/>
          <w:color w:val="2E75B6"/>
          <w:sz w:val="24"/>
          <w:szCs w:val="24"/>
        </w:rPr>
        <w:t xml:space="preserve">15.1 L’obiettivo</w:t>
      </w:r>
    </w:p>
    <w:p>
      <w:pPr>
        <w:spacing w:after="160" w:line="312"/>
        <w:jc w:val="both"/>
      </w:pPr>
      <w:r>
        <w:rPr>
          <w:rFonts w:ascii="Cambria" w:cs="Cambria" w:eastAsia="Cambria" w:hAnsi="Cambria"/>
          <w:sz w:val="22"/>
          <w:szCs w:val="22"/>
        </w:rPr>
        <w:t xml:space="preserve">A questo punto della pipeline abbiamo tutti gli ingredienti del modello: i regimi, i parametri OU per ciascun regime, e la matrice di transizione tra regimi. È il momento di mettere tutto insieme e rispondere alla domanda operativa: </w:t>
      </w:r>
      <w:r>
        <w:rPr>
          <w:rFonts w:ascii="Cambria" w:cs="Cambria" w:eastAsia="Cambria" w:hAnsi="Cambria"/>
          <w:b/>
          <w:bCs/>
          <w:sz w:val="22"/>
          <w:szCs w:val="22"/>
        </w:rPr>
        <w:t xml:space="preserve">come potrebbe evolversi il prezzo dell’energia nelle prossime 720 ore (30 giorni)?</w:t>
      </w:r>
    </w:p>
    <w:p>
      <w:pPr>
        <w:spacing w:after="160" w:line="312"/>
        <w:jc w:val="both"/>
      </w:pPr>
      <w:r>
        <w:rPr>
          <w:rFonts w:ascii="Cambria" w:cs="Cambria" w:eastAsia="Cambria" w:hAnsi="Cambria"/>
          <w:sz w:val="22"/>
          <w:szCs w:val="22"/>
        </w:rPr>
        <w:t xml:space="preserve">Non possiamo dare una risposta unica, perché il futuro è incerto. Ma possiamo generare migliaia di scenari possibili — </w:t>
      </w:r>
      <w:r>
        <w:rPr>
          <w:rFonts w:ascii="Cambria" w:cs="Cambria" w:eastAsia="Cambria" w:hAnsi="Cambria"/>
          <w:b/>
          <w:bCs/>
          <w:sz w:val="22"/>
          <w:szCs w:val="22"/>
        </w:rPr>
        <w:t xml:space="preserve">traiettorie sintetiche</w:t>
      </w:r>
      <w:r>
        <w:rPr>
          <w:rFonts w:ascii="Cambria" w:cs="Cambria" w:eastAsia="Cambria" w:hAnsi="Cambria"/>
          <w:sz w:val="22"/>
          <w:szCs w:val="22"/>
        </w:rPr>
        <w:t xml:space="preserve"> — ciascuna coerente con le regole che abbiamo scoperto nei dati storici. L’insieme di tutte queste traiettorie ci dà una </w:t>
      </w:r>
      <w:r>
        <w:rPr>
          <w:rFonts w:ascii="Cambria" w:cs="Cambria" w:eastAsia="Cambria" w:hAnsi="Cambria"/>
          <w:i/>
          <w:iCs/>
          <w:sz w:val="22"/>
          <w:szCs w:val="22"/>
        </w:rPr>
        <w:t xml:space="preserve">distribuzione</w:t>
      </w:r>
      <w:r>
        <w:rPr>
          <w:rFonts w:ascii="Cambria" w:cs="Cambria" w:eastAsia="Cambria" w:hAnsi="Cambria"/>
          <w:sz w:val="22"/>
          <w:szCs w:val="22"/>
        </w:rPr>
        <w:t xml:space="preserve"> di prezzi futuri possibili: non un singolo numero, ma un ventaglio di possibilità con le loro probabilità.</w:t>
      </w:r>
    </w:p>
    <w:p>
      <w:pPr>
        <w:spacing w:after="160" w:line="312"/>
        <w:jc w:val="both"/>
      </w:pPr>
      <w:r>
        <w:rPr>
          <w:rFonts w:ascii="Cambria" w:cs="Cambria" w:eastAsia="Cambria" w:hAnsi="Cambria"/>
          <w:sz w:val="22"/>
          <w:szCs w:val="22"/>
        </w:rPr>
        <w:t xml:space="preserve">Questo è il </w:t>
      </w:r>
      <w:r>
        <w:rPr>
          <w:rFonts w:ascii="Cambria" w:cs="Cambria" w:eastAsia="Cambria" w:hAnsi="Cambria"/>
          <w:b/>
          <w:bCs/>
          <w:sz w:val="22"/>
          <w:szCs w:val="22"/>
        </w:rPr>
        <w:t xml:space="preserve">metodo Monte Carlo</w:t>
      </w:r>
      <w:r>
        <w:rPr>
          <w:rFonts w:ascii="Cambria" w:cs="Cambria" w:eastAsia="Cambria" w:hAnsi="Cambria"/>
          <w:sz w:val="22"/>
          <w:szCs w:val="22"/>
        </w:rPr>
        <w:t xml:space="preserve">: generare un grande numero di scenari casuali per approssimare una distribuzione di probabilità che non si può calcolare analiticamente.</w:t>
      </w:r>
    </w:p>
    <w:p>
      <w:pPr>
        <w:spacing w:after="160" w:before="280"/>
      </w:pPr>
      <w:r>
        <w:rPr>
          <w:rFonts w:ascii="Calibri" w:cs="Calibri" w:eastAsia="Calibri" w:hAnsi="Calibri"/>
          <w:b/>
          <w:bCs/>
          <w:color w:val="2E75B6"/>
          <w:sz w:val="24"/>
          <w:szCs w:val="24"/>
        </w:rPr>
        <w:t xml:space="preserve">15.2 Come funziona, passo per passo</w:t>
      </w:r>
    </w:p>
    <w:p>
      <w:pPr>
        <w:spacing w:after="160" w:line="312"/>
        <w:jc w:val="both"/>
      </w:pPr>
      <w:r>
        <w:rPr>
          <w:rFonts w:ascii="Cambria" w:cs="Cambria" w:eastAsia="Cambria" w:hAnsi="Cambria"/>
          <w:sz w:val="22"/>
          <w:szCs w:val="22"/>
        </w:rPr>
        <w:t xml:space="preserve">Generiamo </w:t>
      </w:r>
      <w:r>
        <w:rPr>
          <w:rFonts w:ascii="Cambria" w:cs="Cambria" w:eastAsia="Cambria" w:hAnsi="Cambria"/>
          <w:b/>
          <w:bCs/>
          <w:sz w:val="22"/>
          <w:szCs w:val="22"/>
        </w:rPr>
        <w:t xml:space="preserve">1.000 traiettorie</w:t>
      </w:r>
      <w:r>
        <w:rPr>
          <w:rFonts w:ascii="Cambria" w:cs="Cambria" w:eastAsia="Cambria" w:hAnsi="Cambria"/>
          <w:sz w:val="22"/>
          <w:szCs w:val="22"/>
        </w:rPr>
        <w:t xml:space="preserve">, ciascuna lunga </w:t>
      </w:r>
      <w:r>
        <w:rPr>
          <w:rFonts w:ascii="Cambria" w:cs="Cambria" w:eastAsia="Cambria" w:hAnsi="Cambria"/>
          <w:b/>
          <w:bCs/>
          <w:sz w:val="22"/>
          <w:szCs w:val="22"/>
        </w:rPr>
        <w:t xml:space="preserve">720 ore</w:t>
      </w:r>
      <w:r>
        <w:rPr>
          <w:rFonts w:ascii="Cambria" w:cs="Cambria" w:eastAsia="Cambria" w:hAnsi="Cambria"/>
          <w:sz w:val="22"/>
          <w:szCs w:val="22"/>
        </w:rPr>
        <w:t xml:space="preserve"> (30 giorni). Per ogni traiettoria, il procedimento è:</w:t>
      </w:r>
    </w:p>
    <w:p>
      <w:pPr>
        <w:spacing w:after="120" w:before="200"/>
      </w:pPr>
      <w:r>
        <w:rPr>
          <w:rFonts w:ascii="Calibri" w:cs="Calibri" w:eastAsia="Calibri" w:hAnsi="Calibri"/>
          <w:b/>
          <w:bCs/>
          <w:i/>
          <w:iCs/>
          <w:color w:val="333333"/>
          <w:sz w:val="22"/>
          <w:szCs w:val="22"/>
        </w:rPr>
        <w:t xml:space="preserve">15.2.1 Scelta del regime iniziale</w:t>
      </w:r>
    </w:p>
    <w:p>
      <w:pPr>
        <w:spacing w:after="160" w:line="312"/>
        <w:jc w:val="both"/>
      </w:pPr>
      <w:r>
        <w:rPr>
          <w:rFonts w:ascii="Cambria" w:cs="Cambria" w:eastAsia="Cambria" w:hAnsi="Cambria"/>
          <w:sz w:val="22"/>
          <w:szCs w:val="22"/>
        </w:rPr>
        <w:t xml:space="preserve">Il regime di partenza viene estratto casualmente dalla </w:t>
      </w:r>
      <w:r>
        <w:rPr>
          <w:rFonts w:ascii="Cambria" w:cs="Cambria" w:eastAsia="Cambria" w:hAnsi="Cambria"/>
          <w:b/>
          <w:bCs/>
          <w:sz w:val="22"/>
          <w:szCs w:val="22"/>
        </w:rPr>
        <w:t xml:space="preserve">distribuzione stazionaria π</w:t>
      </w:r>
      <w:r>
        <w:rPr>
          <w:rFonts w:ascii="Cambria" w:cs="Cambria" w:eastAsia="Cambria" w:hAnsi="Cambria"/>
          <w:sz w:val="22"/>
          <w:szCs w:val="22"/>
        </w:rPr>
        <w:t xml:space="preserve"> che abbiamo calcolato nello step 09. Se π dice che il mercato trascorre il 60% del tempo nel regime 0, il 25% nel regime 1 e il 15% nel regime 2, c’è il 60% di probabilità che la traiettoria parta dal regime 0, il 25% dal regime 1, eccetera. Questo garantisce che le traiettorie riflettano le proporzioni storiche dei regimi.</w:t>
      </w:r>
    </w:p>
    <w:p>
      <w:pPr>
        <w:spacing w:after="120" w:before="200"/>
      </w:pPr>
      <w:r>
        <w:rPr>
          <w:rFonts w:ascii="Calibri" w:cs="Calibri" w:eastAsia="Calibri" w:hAnsi="Calibri"/>
          <w:b/>
          <w:bCs/>
          <w:i/>
          <w:iCs/>
          <w:color w:val="333333"/>
          <w:sz w:val="22"/>
          <w:szCs w:val="22"/>
        </w:rPr>
        <w:t xml:space="preserve">15.2.2 Scelta del prezzo iniziale</w:t>
      </w:r>
    </w:p>
    <w:p>
      <w:pPr>
        <w:spacing w:after="160" w:line="312"/>
        <w:jc w:val="both"/>
      </w:pPr>
      <w:r>
        <w:rPr>
          <w:rFonts w:ascii="Cambria" w:cs="Cambria" w:eastAsia="Cambria" w:hAnsi="Cambria"/>
          <w:sz w:val="22"/>
          <w:szCs w:val="22"/>
        </w:rPr>
        <w:t xml:space="preserve">Il log-return iniziale X₀ viene estratto da una distribuzione normale con media μ e varianza σ² del regime iniziale. In pratica, stiamo dicendo: “se il mercato parte in questo regime, il prezzo iniziale è tipico di questo regime”.</w:t>
      </w:r>
    </w:p>
    <w:p>
      <w:pPr>
        <w:spacing w:after="120" w:before="200"/>
      </w:pPr>
      <w:r>
        <w:rPr>
          <w:rFonts w:ascii="Calibri" w:cs="Calibri" w:eastAsia="Calibri" w:hAnsi="Calibri"/>
          <w:b/>
          <w:bCs/>
          <w:i/>
          <w:iCs/>
          <w:color w:val="333333"/>
          <w:sz w:val="22"/>
          <w:szCs w:val="22"/>
        </w:rPr>
        <w:t xml:space="preserve">15.2.3 Transizioni tra regimi</w:t>
      </w:r>
    </w:p>
    <w:p>
      <w:pPr>
        <w:spacing w:after="160" w:line="312"/>
        <w:jc w:val="both"/>
      </w:pPr>
      <w:r>
        <w:rPr>
          <w:rFonts w:ascii="Cambria" w:cs="Cambria" w:eastAsia="Cambria" w:hAnsi="Cambria"/>
          <w:sz w:val="22"/>
          <w:szCs w:val="22"/>
        </w:rPr>
        <w:t xml:space="preserve">Ogni </w:t>
      </w:r>
      <w:r>
        <w:rPr>
          <w:rFonts w:ascii="Cambria" w:cs="Cambria" w:eastAsia="Cambria" w:hAnsi="Cambria"/>
          <w:b/>
          <w:bCs/>
          <w:sz w:val="22"/>
          <w:szCs w:val="22"/>
        </w:rPr>
        <w:t xml:space="preserve">6 ore</w:t>
      </w:r>
      <w:r>
        <w:rPr>
          <w:rFonts w:ascii="Cambria" w:cs="Cambria" w:eastAsia="Cambria" w:hAnsi="Cambria"/>
          <w:sz w:val="22"/>
          <w:szCs w:val="22"/>
        </w:rPr>
        <w:t xml:space="preserve">, il regime può cambiare. La scelta avviene estraendo casualmente dalla riga corrispondente della matrice di transizione. Se siamo nel regime 1, guardiamo la riga 1 della matrice A e estraiamo il prossimo regime in base alle probabilità che ci troviamo. Nella maggior parte dei casi resteremo nello stesso regime (alta persistenza), ma occasionalmente passeremo a un regime diverso.</w:t>
      </w:r>
    </w:p>
    <w:p>
      <w:pPr>
        <w:spacing w:after="160" w:line="312"/>
        <w:jc w:val="both"/>
      </w:pPr>
      <w:r>
        <w:rPr>
          <w:rFonts w:ascii="Cambria" w:cs="Cambria" w:eastAsia="Cambria" w:hAnsi="Cambria"/>
          <w:sz w:val="22"/>
          <w:szCs w:val="22"/>
        </w:rPr>
        <w:t xml:space="preserve">Perché ogni 6 ore e non ogni ora? Le transizioni di regime nel mercato elettrico non avvengono su scala oraria — sono fenomeni più lenti. Permettere transizioni ogni ora genererebbe un “zapping” irrealistico tra regimi. L’intervallo di 6 ore è un compromesso tra flessibilità e realismo.</w:t>
      </w:r>
    </w:p>
    <w:p>
      <w:pPr>
        <w:spacing w:after="120" w:before="200"/>
      </w:pPr>
      <w:r>
        <w:rPr>
          <w:rFonts w:ascii="Calibri" w:cs="Calibri" w:eastAsia="Calibri" w:hAnsi="Calibri"/>
          <w:b/>
          <w:bCs/>
          <w:i/>
          <w:iCs/>
          <w:color w:val="333333"/>
          <w:sz w:val="22"/>
          <w:szCs w:val="22"/>
        </w:rPr>
        <w:t xml:space="preserve">15.2.4 Evoluzione del prezzo dentro il regime</w:t>
      </w:r>
    </w:p>
    <w:p>
      <w:pPr>
        <w:spacing w:after="160" w:line="312"/>
        <w:jc w:val="both"/>
      </w:pPr>
      <w:r>
        <w:rPr>
          <w:rFonts w:ascii="Cambria" w:cs="Cambria" w:eastAsia="Cambria" w:hAnsi="Cambria"/>
          <w:sz w:val="22"/>
          <w:szCs w:val="22"/>
        </w:rPr>
        <w:t xml:space="preserve">Tra una transizione e l’altra (dentro un regime stabile), il prezzo evolve secondo il processo OU, simulato con lo schema di </w:t>
      </w:r>
      <w:r>
        <w:rPr>
          <w:rFonts w:ascii="Cambria" w:cs="Cambria" w:eastAsia="Cambria" w:hAnsi="Cambria"/>
          <w:b/>
          <w:bCs/>
          <w:sz w:val="22"/>
          <w:szCs w:val="22"/>
        </w:rPr>
        <w:t xml:space="preserve">Euler-Maruyama</w:t>
      </w:r>
      <w:r>
        <w:rPr>
          <w:rFonts w:ascii="Cambria" w:cs="Cambria" w:eastAsia="Cambria" w:hAnsi="Cambria"/>
          <w:sz w:val="22"/>
          <w:szCs w:val="22"/>
        </w:rPr>
        <w:t xml:space="preserve"> con passo orario:</w:t>
      </w:r>
    </w:p>
    <w:p>
      <w:pPr>
        <w:shd w:fill="F5F5F5" w:val="clear"/>
        <w:spacing w:after="80" w:before="80"/>
        <w:ind w:left="360"/>
      </w:pPr>
      <w:r>
        <w:rPr>
          <w:rFonts w:ascii="Consolas" w:cs="Consolas" w:eastAsia="Consolas" w:hAnsi="Consolas"/>
          <w:color w:val="2E4057"/>
          <w:sz w:val="18"/>
          <w:szCs w:val="18"/>
        </w:rPr>
        <w:t xml:space="preserve">X_{t+1} = X_t + θ_r · (μ_r − X_t) · Δt + σ_r · √Δt · ε_t</w:t>
      </w:r>
    </w:p>
    <w:p>
      <w:pPr>
        <w:spacing w:after="160" w:line="312"/>
        <w:jc w:val="both"/>
      </w:pPr>
      <w:r>
        <w:rPr>
          <w:rFonts w:ascii="Cambria" w:cs="Cambria" w:eastAsia="Cambria" w:hAnsi="Cambria"/>
          <w:sz w:val="22"/>
          <w:szCs w:val="22"/>
        </w:rPr>
        <w:t xml:space="preserve">Traduciamo questa formula pezzo per pezzo:</w:t>
      </w:r>
    </w:p>
    <w:p>
      <w:pPr>
        <w:spacing w:after="160" w:line="312"/>
        <w:jc w:val="both"/>
      </w:pPr>
      <w:r>
        <w:rPr>
          <w:rFonts w:ascii="Cambria" w:cs="Cambria" w:eastAsia="Cambria" w:hAnsi="Cambria"/>
          <w:b/>
          <w:bCs/>
          <w:sz w:val="22"/>
          <w:szCs w:val="22"/>
        </w:rPr>
        <w:t xml:space="preserve">X_t</w:t>
      </w:r>
      <w:r>
        <w:rPr>
          <w:rFonts w:ascii="Cambria" w:cs="Cambria" w:eastAsia="Cambria" w:hAnsi="Cambria"/>
          <w:sz w:val="22"/>
          <w:szCs w:val="22"/>
        </w:rPr>
        <w:t xml:space="preserve"> è il log-return corrente del prezzo.</w:t>
      </w:r>
    </w:p>
    <w:p>
      <w:pPr>
        <w:spacing w:after="160" w:line="312"/>
        <w:jc w:val="both"/>
      </w:pPr>
      <w:r>
        <w:rPr>
          <w:rFonts w:ascii="Cambria" w:cs="Cambria" w:eastAsia="Cambria" w:hAnsi="Cambria"/>
          <w:b/>
          <w:bCs/>
          <w:sz w:val="22"/>
          <w:szCs w:val="22"/>
        </w:rPr>
        <w:t xml:space="preserve">θ_r · (μ_r − X_t) · Δt</w:t>
      </w:r>
      <w:r>
        <w:rPr>
          <w:rFonts w:ascii="Cambria" w:cs="Cambria" w:eastAsia="Cambria" w:hAnsi="Cambria"/>
          <w:sz w:val="22"/>
          <w:szCs w:val="22"/>
        </w:rPr>
        <w:t xml:space="preserve"> è la componente di </w:t>
      </w:r>
      <w:r>
        <w:rPr>
          <w:rFonts w:ascii="Cambria" w:cs="Cambria" w:eastAsia="Cambria" w:hAnsi="Cambria"/>
          <w:i/>
          <w:iCs/>
          <w:sz w:val="22"/>
          <w:szCs w:val="22"/>
        </w:rPr>
        <w:t xml:space="preserve">mean-reversion</w:t>
      </w:r>
      <w:r>
        <w:rPr>
          <w:rFonts w:ascii="Cambria" w:cs="Cambria" w:eastAsia="Cambria" w:hAnsi="Cambria"/>
          <w:sz w:val="22"/>
          <w:szCs w:val="22"/>
        </w:rPr>
        <w:t xml:space="preserve">. È l’elastico che tira il prezzo verso l’equilibrio μ del regime corrente. Se X_t è sopra μ_r, questo termine è negativo (tira giù). Se è sotto, è positivo (tira su). L’intensità della forza è proporzionale a θ_r (la velocità di mean-reversion del regime) e alla distanza da μ_r.</w:t>
      </w:r>
    </w:p>
    <w:p>
      <w:pPr>
        <w:spacing w:after="160" w:line="312"/>
        <w:jc w:val="both"/>
      </w:pPr>
      <w:r>
        <w:rPr>
          <w:rFonts w:ascii="Cambria" w:cs="Cambria" w:eastAsia="Cambria" w:hAnsi="Cambria"/>
          <w:b/>
          <w:bCs/>
          <w:sz w:val="22"/>
          <w:szCs w:val="22"/>
        </w:rPr>
        <w:t xml:space="preserve">σ_r · √Δt · ε_t</w:t>
      </w:r>
      <w:r>
        <w:rPr>
          <w:rFonts w:ascii="Cambria" w:cs="Cambria" w:eastAsia="Cambria" w:hAnsi="Cambria"/>
          <w:sz w:val="22"/>
          <w:szCs w:val="22"/>
        </w:rPr>
        <w:t xml:space="preserve"> è la componente </w:t>
      </w:r>
      <w:r>
        <w:rPr>
          <w:rFonts w:ascii="Cambria" w:cs="Cambria" w:eastAsia="Cambria" w:hAnsi="Cambria"/>
          <w:i/>
          <w:iCs/>
          <w:sz w:val="22"/>
          <w:szCs w:val="22"/>
        </w:rPr>
        <w:t xml:space="preserve">stocastica</w:t>
      </w:r>
      <w:r>
        <w:rPr>
          <w:rFonts w:ascii="Cambria" w:cs="Cambria" w:eastAsia="Cambria" w:hAnsi="Cambria"/>
          <w:sz w:val="22"/>
          <w:szCs w:val="22"/>
        </w:rPr>
        <w:t xml:space="preserve"> (casuale). ε_t è un numero estratto casualmente da una distribuzione normale standard (media 0, varianza 1). Questo termine rappresenta gli shock casuali che colpiscono il prezzo ogni ora: variazioni impreviste nella domanda, guasti, cambiamenti meteo. L’ampiezza degli shock è data da σ_r, la volatilità del regime.</w:t>
      </w:r>
    </w:p>
    <w:p>
      <w:pPr>
        <w:spacing w:after="160" w:line="312"/>
        <w:jc w:val="both"/>
      </w:pPr>
      <w:r>
        <w:rPr>
          <w:rFonts w:ascii="Cambria" w:cs="Cambria" w:eastAsia="Cambria" w:hAnsi="Cambria"/>
          <w:b/>
          <w:bCs/>
          <w:sz w:val="22"/>
          <w:szCs w:val="22"/>
        </w:rPr>
        <w:t xml:space="preserve">Δt = 1</w:t>
      </w:r>
      <w:r>
        <w:rPr>
          <w:rFonts w:ascii="Cambria" w:cs="Cambria" w:eastAsia="Cambria" w:hAnsi="Cambria"/>
          <w:sz w:val="22"/>
          <w:szCs w:val="22"/>
        </w:rPr>
        <w:t xml:space="preserve"> ora (il nostro passo temporale).</w:t>
      </w:r>
    </w:p>
    <w:p>
      <w:pPr>
        <w:spacing w:after="120" w:before="200"/>
      </w:pPr>
      <w:r>
        <w:rPr>
          <w:rFonts w:ascii="Calibri" w:cs="Calibri" w:eastAsia="Calibri" w:hAnsi="Calibri"/>
          <w:b/>
          <w:bCs/>
          <w:i/>
          <w:iCs/>
          <w:color w:val="333333"/>
          <w:sz w:val="22"/>
          <w:szCs w:val="22"/>
        </w:rPr>
        <w:t xml:space="preserve">15.2.5 Ricostruzione del prezzo LMP</w:t>
      </w:r>
    </w:p>
    <w:p>
      <w:pPr>
        <w:spacing w:after="160" w:line="312"/>
        <w:jc w:val="both"/>
      </w:pPr>
      <w:r>
        <w:rPr>
          <w:rFonts w:ascii="Cambria" w:cs="Cambria" w:eastAsia="Cambria" w:hAnsi="Cambria"/>
          <w:sz w:val="22"/>
          <w:szCs w:val="22"/>
        </w:rPr>
        <w:t xml:space="preserve">Finora abbiamo simulato il log-return. Per ricostruire il prezzo in dollari per MWh, usiamo la relazione:</w:t>
      </w:r>
    </w:p>
    <w:p>
      <w:pPr>
        <w:shd w:fill="F5F5F5" w:val="clear"/>
        <w:spacing w:after="80" w:before="80"/>
        <w:ind w:left="360"/>
      </w:pPr>
      <w:r>
        <w:rPr>
          <w:rFonts w:ascii="Consolas" w:cs="Consolas" w:eastAsia="Consolas" w:hAnsi="Consolas"/>
          <w:color w:val="2E4057"/>
          <w:sz w:val="18"/>
          <w:szCs w:val="18"/>
        </w:rPr>
        <w:t xml:space="preserve">LMP_t = LMP_0 · exp(Σ X_k)    per k = 1, ..., t</w:t>
      </w:r>
    </w:p>
    <w:p>
      <w:pPr>
        <w:spacing w:after="160" w:line="312"/>
        <w:jc w:val="both"/>
      </w:pPr>
      <w:r>
        <w:rPr>
          <w:rFonts w:ascii="Cambria" w:cs="Cambria" w:eastAsia="Cambria" w:hAnsi="Cambria"/>
          <w:sz w:val="22"/>
          <w:szCs w:val="22"/>
        </w:rPr>
        <w:t xml:space="preserve">Ovvero, il prezzo al tempo t è il prezzo iniziale moltiplicato per l’esponenziale della somma cumulata dei log-return simulati. Questa formula è la conseguenza diretta dell’aver lavorato in scala logaritmica: i log-return si sommano, e l’esponenziale ci riporta ai prezzi.</w:t>
      </w:r>
    </w:p>
    <w:p>
      <w:pPr>
        <w:spacing w:after="160" w:before="280"/>
      </w:pPr>
      <w:r>
        <w:rPr>
          <w:rFonts w:ascii="Calibri" w:cs="Calibri" w:eastAsia="Calibri" w:hAnsi="Calibri"/>
          <w:b/>
          <w:bCs/>
          <w:color w:val="2E75B6"/>
          <w:sz w:val="24"/>
          <w:szCs w:val="24"/>
        </w:rPr>
        <w:t xml:space="preserve">15.3 Il risultato</w:t>
      </w:r>
    </w:p>
    <w:p>
      <w:pPr>
        <w:spacing w:after="160" w:line="312"/>
        <w:jc w:val="both"/>
      </w:pPr>
      <w:r>
        <w:rPr>
          <w:rFonts w:ascii="Cambria" w:cs="Cambria" w:eastAsia="Cambria" w:hAnsi="Cambria"/>
          <w:sz w:val="22"/>
          <w:szCs w:val="22"/>
        </w:rPr>
        <w:t xml:space="preserve">L’output è un dataset di </w:t>
      </w:r>
      <w:r>
        <w:rPr>
          <w:rFonts w:ascii="Cambria" w:cs="Cambria" w:eastAsia="Cambria" w:hAnsi="Cambria"/>
          <w:b/>
          <w:bCs/>
          <w:sz w:val="22"/>
          <w:szCs w:val="22"/>
        </w:rPr>
        <w:t xml:space="preserve">1.000 traiettorie × 720 ore</w:t>
      </w:r>
      <w:r>
        <w:rPr>
          <w:rFonts w:ascii="Cambria" w:cs="Cambria" w:eastAsia="Cambria" w:hAnsi="Cambria"/>
          <w:sz w:val="22"/>
          <w:szCs w:val="22"/>
        </w:rPr>
        <w:t xml:space="preserve">, ovvero 720.000 prezzi sintetici organizzati in una matrice. Ogni riga è uno scenario possibile dell’evoluzione del prezzo su 30 giorni. Da questa matrice possiamo calcolare, per ogni ora futura, la mediana, i percentili 5° e 95° (la banda di confidenza al 90%), la probabilità di spike (prezzo sopra una soglia), e qualsiasi altra statistica di interesse.</w:t>
      </w:r>
    </w:p>
    <w:p>
      <w:pPr>
        <w:pBdr>
          <w:bottom w:val="single" w:color="2E75B6" w:sz="4" w:space="4"/>
        </w:pBdr>
        <w:spacing w:after="200" w:before="360"/>
      </w:pPr>
      <w:r>
        <w:rPr>
          <w:rFonts w:ascii="Calibri" w:cs="Calibri" w:eastAsia="Calibri" w:hAnsi="Calibri"/>
          <w:b/>
          <w:bCs/>
          <w:color w:val="1B3A5C"/>
          <w:sz w:val="28"/>
          <w:szCs w:val="28"/>
        </w:rPr>
        <w:t xml:space="preserve">16. Validazione delle Simulazioni Monte Carlo (Step 12)</w:t>
      </w:r>
    </w:p>
    <w:p>
      <w:pPr>
        <w:spacing w:after="160" w:line="312"/>
        <w:jc w:val="both"/>
      </w:pPr>
      <w:r>
        <w:rPr>
          <w:rFonts w:ascii="Cambria" w:cs="Cambria" w:eastAsia="Cambria" w:hAnsi="Cambria"/>
          <w:sz w:val="22"/>
          <w:szCs w:val="22"/>
        </w:rPr>
        <w:t xml:space="preserve">Abbiamo generato migliaia di traiettorie sintetiche. Ma somigliano davvero al mercato reale? Se le traiettorie simulate producono prezzi troppo bassi, troppo stabili, o con dinamiche irrealistiche, il modello non è affidabile. Questa fase confronta le traiettorie simulate con i dati storici reali su cinque dimensioni.</w:t>
      </w:r>
    </w:p>
    <w:p>
      <w:pPr>
        <w:spacing w:after="160" w:before="280"/>
      </w:pPr>
      <w:r>
        <w:rPr>
          <w:rFonts w:ascii="Calibri" w:cs="Calibri" w:eastAsia="Calibri" w:hAnsi="Calibri"/>
          <w:b/>
          <w:bCs/>
          <w:color w:val="2E75B6"/>
          <w:sz w:val="24"/>
          <w:szCs w:val="24"/>
        </w:rPr>
        <w:t xml:space="preserve">16.1 Distanza di Wasserstein</w:t>
      </w:r>
    </w:p>
    <w:p>
      <w:pPr>
        <w:spacing w:after="160" w:line="312"/>
        <w:jc w:val="both"/>
      </w:pPr>
      <w:r>
        <w:rPr>
          <w:rFonts w:ascii="Cambria" w:cs="Cambria" w:eastAsia="Cambria" w:hAnsi="Cambria"/>
          <w:sz w:val="22"/>
          <w:szCs w:val="22"/>
        </w:rPr>
        <w:t xml:space="preserve">La </w:t>
      </w:r>
      <w:r>
        <w:rPr>
          <w:rFonts w:ascii="Cambria" w:cs="Cambria" w:eastAsia="Cambria" w:hAnsi="Cambria"/>
          <w:b/>
          <w:bCs/>
          <w:sz w:val="22"/>
          <w:szCs w:val="22"/>
        </w:rPr>
        <w:t xml:space="preserve">distanza di Wasserstein</w:t>
      </w:r>
      <w:r>
        <w:rPr>
          <w:rFonts w:ascii="Cambria" w:cs="Cambria" w:eastAsia="Cambria" w:hAnsi="Cambria"/>
          <w:sz w:val="22"/>
          <w:szCs w:val="22"/>
        </w:rPr>
        <w:t xml:space="preserve"> (anche detta </w:t>
      </w:r>
      <w:r>
        <w:rPr>
          <w:rFonts w:ascii="Cambria" w:cs="Cambria" w:eastAsia="Cambria" w:hAnsi="Cambria"/>
          <w:i/>
          <w:iCs/>
          <w:sz w:val="22"/>
          <w:szCs w:val="22"/>
        </w:rPr>
        <w:t xml:space="preserve">Earth Mover’s Distance</w:t>
      </w:r>
      <w:r>
        <w:rPr>
          <w:rFonts w:ascii="Cambria" w:cs="Cambria" w:eastAsia="Cambria" w:hAnsi="Cambria"/>
          <w:sz w:val="22"/>
          <w:szCs w:val="22"/>
        </w:rPr>
        <w:t xml:space="preserve">) è la metrica principale di questo step. Misura quanto “lavoro” serve per trasformare la distribuzione simulata nella distribuzione reale. Immagina di avere due pile di sabbia con forme diverse: la distanza di Wasserstein è la quantità minima di sabbia che devi spostare per rendere identiche le due pile.</w:t>
      </w:r>
    </w:p>
    <w:p>
      <w:pPr>
        <w:spacing w:after="160" w:line="312"/>
        <w:jc w:val="both"/>
      </w:pPr>
      <w:r>
        <w:rPr>
          <w:rFonts w:ascii="Cambria" w:cs="Cambria" w:eastAsia="Cambria" w:hAnsi="Cambria"/>
          <w:sz w:val="22"/>
          <w:szCs w:val="22"/>
        </w:rPr>
        <w:t xml:space="preserve">Se la distanza è piccola, le simulazioni producono prezzi con la stessa distribuzione del mercato reale. Se è grande, c’è una discrepanza significativa.</w:t>
      </w:r>
    </w:p>
    <w:p>
      <w:pPr>
        <w:spacing w:after="160" w:before="280"/>
      </w:pPr>
      <w:r>
        <w:rPr>
          <w:rFonts w:ascii="Calibri" w:cs="Calibri" w:eastAsia="Calibri" w:hAnsi="Calibri"/>
          <w:b/>
          <w:bCs/>
          <w:color w:val="2E75B6"/>
          <w:sz w:val="24"/>
          <w:szCs w:val="24"/>
        </w:rPr>
        <w:t xml:space="preserve">16.2 Test di Kolmogorov-Smirnov</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test KS</w:t>
      </w:r>
      <w:r>
        <w:rPr>
          <w:rFonts w:ascii="Cambria" w:cs="Cambria" w:eastAsia="Cambria" w:hAnsi="Cambria"/>
          <w:sz w:val="22"/>
          <w:szCs w:val="22"/>
        </w:rPr>
        <w:t xml:space="preserve"> verifica formalmente se la distribuzione simulata e quella reale sono la stessa distribuzione. Confronta le funzioni di distribuzione cumulative (CDF) delle due: se la differenza massima tra le due CDF è troppo grande, il test rigetta l’ipotesi che provengano dalla stessa distribuzione.</w:t>
      </w:r>
    </w:p>
    <w:p>
      <w:pPr>
        <w:spacing w:after="160" w:line="312"/>
        <w:jc w:val="both"/>
      </w:pPr>
      <w:r>
        <w:rPr>
          <w:rFonts w:ascii="Cambria" w:cs="Cambria" w:eastAsia="Cambria" w:hAnsi="Cambria"/>
          <w:sz w:val="22"/>
          <w:szCs w:val="22"/>
        </w:rPr>
        <w:t xml:space="preserve">Il test KS è complementare alla distanza di Wasserstein: la Wasserstein dice “quanto sono diverse”, il test KS dice “sono statisticamente diverse, sì o no”.</w:t>
      </w:r>
    </w:p>
    <w:p>
      <w:pPr>
        <w:spacing w:after="160" w:before="280"/>
      </w:pPr>
      <w:r>
        <w:rPr>
          <w:rFonts w:ascii="Calibri" w:cs="Calibri" w:eastAsia="Calibri" w:hAnsi="Calibri"/>
          <w:b/>
          <w:bCs/>
          <w:color w:val="2E75B6"/>
          <w:sz w:val="24"/>
          <w:szCs w:val="24"/>
        </w:rPr>
        <w:t xml:space="preserve">16.3 Frequenza degli spike</w:t>
      </w:r>
    </w:p>
    <w:p>
      <w:pPr>
        <w:spacing w:after="160" w:line="312"/>
        <w:jc w:val="both"/>
      </w:pPr>
      <w:r>
        <w:rPr>
          <w:rFonts w:ascii="Cambria" w:cs="Cambria" w:eastAsia="Cambria" w:hAnsi="Cambria"/>
          <w:sz w:val="22"/>
          <w:szCs w:val="22"/>
        </w:rPr>
        <w:t xml:space="preserve">Uno spike è un’ora in cui il prezzo supera una soglia alta (nel nostro caso, 100 $/MWh). Gli spike sono eventi rari ma critici per il risk management: un singolo spike può costare più di settimane di prezzi normali.</w:t>
      </w:r>
    </w:p>
    <w:p>
      <w:pPr>
        <w:spacing w:after="160" w:line="312"/>
        <w:jc w:val="both"/>
      </w:pPr>
      <w:r>
        <w:rPr>
          <w:rFonts w:ascii="Cambria" w:cs="Cambria" w:eastAsia="Cambria" w:hAnsi="Cambria"/>
          <w:sz w:val="22"/>
          <w:szCs w:val="22"/>
        </w:rPr>
        <w:t xml:space="preserve">Calcoliamo la frequenza degli spike nelle traiettorie simulate e la confrontiamo con quella reale. Il rapporto dovrebbe essere vicino a 1. Se le simulazioni producono troppi pochi spike, il modello sottostima il rischio. Se ne produce troppi, lo sovrastima.</w:t>
      </w:r>
    </w:p>
    <w:p>
      <w:pPr>
        <w:spacing w:after="160" w:before="280"/>
      </w:pPr>
      <w:r>
        <w:rPr>
          <w:rFonts w:ascii="Calibri" w:cs="Calibri" w:eastAsia="Calibri" w:hAnsi="Calibri"/>
          <w:b/>
          <w:bCs/>
          <w:color w:val="2E75B6"/>
          <w:sz w:val="24"/>
          <w:szCs w:val="24"/>
        </w:rPr>
        <w:t xml:space="preserve">16.4 Autocorrelazione</w:t>
      </w:r>
    </w:p>
    <w:p>
      <w:pPr>
        <w:spacing w:after="160" w:line="312"/>
        <w:jc w:val="both"/>
      </w:pPr>
      <w:r>
        <w:rPr>
          <w:rFonts w:ascii="Cambria" w:cs="Cambria" w:eastAsia="Cambria" w:hAnsi="Cambria"/>
          <w:sz w:val="22"/>
          <w:szCs w:val="22"/>
        </w:rPr>
        <w:t xml:space="preserve">L’</w:t>
      </w:r>
      <w:r>
        <w:rPr>
          <w:rFonts w:ascii="Cambria" w:cs="Cambria" w:eastAsia="Cambria" w:hAnsi="Cambria"/>
          <w:b/>
          <w:bCs/>
          <w:sz w:val="22"/>
          <w:szCs w:val="22"/>
        </w:rPr>
        <w:t xml:space="preserve">autocorrelazione</w:t>
      </w:r>
      <w:r>
        <w:rPr>
          <w:rFonts w:ascii="Cambria" w:cs="Cambria" w:eastAsia="Cambria" w:hAnsi="Cambria"/>
          <w:sz w:val="22"/>
          <w:szCs w:val="22"/>
        </w:rPr>
        <w:t xml:space="preserve"> misura quanto il prezzo di un’ora è correlato con il prezzo delle ore successive. In un mercato elettrico, l’autocorrelazione è alta a lag brevi (il prezzo tra un’ora sarà probabilmente simile a quello attuale) e si riduce a lag più lunghi. Confrontiamo l’autocorrelazione a lag 1 ora, 6 ore e 24 ore tra simulato e reale. Se differiscono significativamente, la struttura temporale delle simulazioni non è realistica.</w:t>
      </w:r>
    </w:p>
    <w:p>
      <w:pPr>
        <w:spacing w:after="160" w:before="280"/>
      </w:pPr>
      <w:r>
        <w:rPr>
          <w:rFonts w:ascii="Calibri" w:cs="Calibri" w:eastAsia="Calibri" w:hAnsi="Calibri"/>
          <w:b/>
          <w:bCs/>
          <w:color w:val="2E75B6"/>
          <w:sz w:val="24"/>
          <w:szCs w:val="24"/>
        </w:rPr>
        <w:t xml:space="preserve">16.5 Momenti</w:t>
      </w:r>
    </w:p>
    <w:p>
      <w:pPr>
        <w:spacing w:after="160" w:line="312"/>
        <w:jc w:val="both"/>
      </w:pPr>
      <w:r>
        <w:rPr>
          <w:rFonts w:ascii="Cambria" w:cs="Cambria" w:eastAsia="Cambria" w:hAnsi="Cambria"/>
          <w:sz w:val="22"/>
          <w:szCs w:val="22"/>
        </w:rPr>
        <w:t xml:space="preserve">Infine, confrontiamo i quattro </w:t>
      </w:r>
      <w:r>
        <w:rPr>
          <w:rFonts w:ascii="Cambria" w:cs="Cambria" w:eastAsia="Cambria" w:hAnsi="Cambria"/>
          <w:b/>
          <w:bCs/>
          <w:sz w:val="22"/>
          <w:szCs w:val="22"/>
        </w:rPr>
        <w:t xml:space="preserve">momenti statistici</w:t>
      </w:r>
      <w:r>
        <w:rPr>
          <w:rFonts w:ascii="Cambria" w:cs="Cambria" w:eastAsia="Cambria" w:hAnsi="Cambria"/>
          <w:sz w:val="22"/>
          <w:szCs w:val="22"/>
        </w:rPr>
        <w:t xml:space="preserve"> fondamentali della distribuzione dei prezzi:</w:t>
      </w:r>
    </w:p>
    <w:p>
      <w:pPr>
        <w:spacing w:after="160" w:line="312"/>
        <w:jc w:val="both"/>
      </w:pPr>
      <w:r>
        <w:rPr>
          <w:rFonts w:ascii="Cambria" w:cs="Cambria" w:eastAsia="Cambria" w:hAnsi="Cambria"/>
          <w:b/>
          <w:bCs/>
          <w:sz w:val="22"/>
          <w:szCs w:val="22"/>
        </w:rPr>
        <w:t xml:space="preserve">Media (μ): </w:t>
      </w:r>
      <w:r>
        <w:rPr>
          <w:rFonts w:ascii="Cambria" w:cs="Cambria" w:eastAsia="Cambria" w:hAnsi="Cambria"/>
          <w:sz w:val="22"/>
          <w:szCs w:val="22"/>
        </w:rPr>
        <w:t xml:space="preserve">il livello medio dei prezzi. Deve essere simile tra simulato e reale.</w:t>
      </w:r>
    </w:p>
    <w:p>
      <w:pPr>
        <w:spacing w:after="160" w:line="312"/>
        <w:jc w:val="both"/>
      </w:pPr>
      <w:r>
        <w:rPr>
          <w:rFonts w:ascii="Cambria" w:cs="Cambria" w:eastAsia="Cambria" w:hAnsi="Cambria"/>
          <w:b/>
          <w:bCs/>
          <w:sz w:val="22"/>
          <w:szCs w:val="22"/>
        </w:rPr>
        <w:t xml:space="preserve">Deviazione standard (σ): </w:t>
      </w:r>
      <w:r>
        <w:rPr>
          <w:rFonts w:ascii="Cambria" w:cs="Cambria" w:eastAsia="Cambria" w:hAnsi="Cambria"/>
          <w:sz w:val="22"/>
          <w:szCs w:val="22"/>
        </w:rPr>
        <w:t xml:space="preserve">la dispersione dei prezzi intorno alla media. Se le simulazioni hanno σ troppo bassa, producono prezzi troppo “piatti” e prevedibili.</w:t>
      </w:r>
    </w:p>
    <w:p>
      <w:pPr>
        <w:spacing w:after="160" w:line="312"/>
        <w:jc w:val="both"/>
      </w:pPr>
      <w:r>
        <w:rPr>
          <w:rFonts w:ascii="Cambria" w:cs="Cambria" w:eastAsia="Cambria" w:hAnsi="Cambria"/>
          <w:b/>
          <w:bCs/>
          <w:sz w:val="22"/>
          <w:szCs w:val="22"/>
        </w:rPr>
        <w:t xml:space="preserve">Skewness (asimmetria): </w:t>
      </w:r>
      <w:r>
        <w:rPr>
          <w:rFonts w:ascii="Cambria" w:cs="Cambria" w:eastAsia="Cambria" w:hAnsi="Cambria"/>
          <w:sz w:val="22"/>
          <w:szCs w:val="22"/>
        </w:rPr>
        <w:t xml:space="preserve">i prezzi elettrici sono tipicamente asimmetrici a destra (skewness positiva): ci sono più spike verso l’alto che verso il basso. Le simulazioni devono catturare questa asimmetria.</w:t>
      </w:r>
    </w:p>
    <w:p>
      <w:pPr>
        <w:spacing w:after="160" w:line="312"/>
        <w:jc w:val="both"/>
      </w:pPr>
      <w:r>
        <w:rPr>
          <w:rFonts w:ascii="Cambria" w:cs="Cambria" w:eastAsia="Cambria" w:hAnsi="Cambria"/>
          <w:b/>
          <w:bCs/>
          <w:sz w:val="22"/>
          <w:szCs w:val="22"/>
        </w:rPr>
        <w:t xml:space="preserve">Kurtosis (peso delle code): </w:t>
      </w:r>
      <w:r>
        <w:rPr>
          <w:rFonts w:ascii="Cambria" w:cs="Cambria" w:eastAsia="Cambria" w:hAnsi="Cambria"/>
          <w:sz w:val="22"/>
          <w:szCs w:val="22"/>
        </w:rPr>
        <w:t xml:space="preserve">i prezzi elettrici hanno code pesanti (kurtosis elevata): i valori estremi sono più frequenti di quanto una distribuzione normale prevederebbe. Se la kurtosis simulata è troppo bassa, il modello sottostima la frequenza degli eventi estremi.</w:t>
      </w:r>
    </w:p>
    <w:p>
      <w:pPr>
        <w:pBdr>
          <w:bottom w:val="single" w:color="2E75B6" w:sz="4" w:space="4"/>
        </w:pBdr>
        <w:spacing w:after="200" w:before="360"/>
      </w:pPr>
      <w:r>
        <w:rPr>
          <w:rFonts w:ascii="Calibri" w:cs="Calibri" w:eastAsia="Calibri" w:hAnsi="Calibri"/>
          <w:b/>
          <w:bCs/>
          <w:color w:val="1B3A5C"/>
          <w:sz w:val="28"/>
          <w:szCs w:val="28"/>
        </w:rPr>
        <w:t xml:space="preserve">17. Backtest Condizionato Out-of-Sample (Step 13)</w:t>
      </w:r>
    </w:p>
    <w:p>
      <w:pPr>
        <w:spacing w:after="160" w:before="280"/>
      </w:pPr>
      <w:r>
        <w:rPr>
          <w:rFonts w:ascii="Calibri" w:cs="Calibri" w:eastAsia="Calibri" w:hAnsi="Calibri"/>
          <w:b/>
          <w:bCs/>
          <w:color w:val="2E75B6"/>
          <w:sz w:val="24"/>
          <w:szCs w:val="24"/>
        </w:rPr>
        <w:t xml:space="preserve">17.1 Il principio</w:t>
      </w:r>
    </w:p>
    <w:p>
      <w:pPr>
        <w:spacing w:after="160" w:line="312"/>
        <w:jc w:val="both"/>
      </w:pPr>
      <w:r>
        <w:rPr>
          <w:rFonts w:ascii="Cambria" w:cs="Cambria" w:eastAsia="Cambria" w:hAnsi="Cambria"/>
          <w:sz w:val="22"/>
          <w:szCs w:val="22"/>
        </w:rPr>
        <w:t xml:space="preserve">Tutte le validazioni degli step precedenti confrontano il modello con lo </w:t>
      </w:r>
      <w:r>
        <w:rPr>
          <w:rFonts w:ascii="Cambria" w:cs="Cambria" w:eastAsia="Cambria" w:hAnsi="Cambria"/>
          <w:i/>
          <w:iCs/>
          <w:sz w:val="22"/>
          <w:szCs w:val="22"/>
        </w:rPr>
        <w:t xml:space="preserve">stesso dataset</w:t>
      </w:r>
      <w:r>
        <w:rPr>
          <w:rFonts w:ascii="Cambria" w:cs="Cambria" w:eastAsia="Cambria" w:hAnsi="Cambria"/>
          <w:sz w:val="22"/>
          <w:szCs w:val="22"/>
        </w:rPr>
        <w:t xml:space="preserve"> su cui è stato costruito. Questo è un problema: qualsiasi modello, anche uno cattivo, può sembrare buono quando lo testi sui dati che ha già visto. È come studiare le risposte di un esame e poi sostenere quello stesso esame: il voto sarà alto, ma non dimostra che hai capito la materia.</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backtest out-of-sample</w:t>
      </w:r>
      <w:r>
        <w:rPr>
          <w:rFonts w:ascii="Cambria" w:cs="Cambria" w:eastAsia="Cambria" w:hAnsi="Cambria"/>
          <w:sz w:val="22"/>
          <w:szCs w:val="22"/>
        </w:rPr>
        <w:t xml:space="preserve"> è l’esame vero. Prendiamo l’intero anno </w:t>
      </w:r>
      <w:r>
        <w:rPr>
          <w:rFonts w:ascii="Cambria" w:cs="Cambria" w:eastAsia="Cambria" w:hAnsi="Cambria"/>
          <w:b/>
          <w:bCs/>
          <w:sz w:val="22"/>
          <w:szCs w:val="22"/>
        </w:rPr>
        <w:t xml:space="preserve">2025</w:t>
      </w:r>
      <w:r>
        <w:rPr>
          <w:rFonts w:ascii="Cambria" w:cs="Cambria" w:eastAsia="Cambria" w:hAnsi="Cambria"/>
          <w:sz w:val="22"/>
          <w:szCs w:val="22"/>
        </w:rPr>
        <w:t xml:space="preserve"> e lo trattiamo come se non lo avessimo mai visto. Per ogni giorno del 2025, partiamo dalla situazione reale di quel giorno (il regime e il prezzo osservati) e generiamo 1.000 traiettorie per i 30 giorni successivi. Poi confrontiamo le traiettorie con quello che è realmente successo.</w:t>
      </w:r>
    </w:p>
    <w:p>
      <w:pPr>
        <w:spacing w:after="160" w:line="312"/>
        <w:jc w:val="both"/>
      </w:pPr>
      <w:r>
        <w:rPr>
          <w:rFonts w:ascii="Cambria" w:cs="Cambria" w:eastAsia="Cambria" w:hAnsi="Cambria"/>
          <w:sz w:val="22"/>
          <w:szCs w:val="22"/>
        </w:rPr>
        <w:t xml:space="preserve">Questo ci dice: se avessimo usato questo modello per fare previsioni ogni giorno del 2025, quanto sarebbero state accurate?</w:t>
      </w:r>
    </w:p>
    <w:p>
      <w:pPr>
        <w:spacing w:after="160" w:before="280"/>
      </w:pPr>
      <w:r>
        <w:rPr>
          <w:rFonts w:ascii="Calibri" w:cs="Calibri" w:eastAsia="Calibri" w:hAnsi="Calibri"/>
          <w:b/>
          <w:bCs/>
          <w:color w:val="2E75B6"/>
          <w:sz w:val="24"/>
          <w:szCs w:val="24"/>
        </w:rPr>
        <w:t xml:space="preserve">17.2 La procedura</w:t>
      </w:r>
    </w:p>
    <w:p>
      <w:pPr>
        <w:spacing w:after="160" w:line="312"/>
        <w:jc w:val="both"/>
      </w:pPr>
      <w:r>
        <w:rPr>
          <w:rFonts w:ascii="Cambria" w:cs="Cambria" w:eastAsia="Cambria" w:hAnsi="Cambria"/>
          <w:sz w:val="22"/>
          <w:szCs w:val="22"/>
        </w:rPr>
        <w:t xml:space="preserve">Per ciascuno dei 365 giorni del 2025:</w:t>
      </w:r>
    </w:p>
    <w:p>
      <w:pPr>
        <w:spacing w:after="160" w:line="312"/>
        <w:jc w:val="both"/>
      </w:pPr>
      <w:r>
        <w:rPr>
          <w:rFonts w:ascii="Cambria" w:cs="Cambria" w:eastAsia="Cambria" w:hAnsi="Cambria"/>
          <w:b/>
          <w:bCs/>
          <w:sz w:val="22"/>
          <w:szCs w:val="22"/>
        </w:rPr>
        <w:t xml:space="preserve">Passo 1: </w:t>
      </w:r>
      <w:r>
        <w:rPr>
          <w:rFonts w:ascii="Cambria" w:cs="Cambria" w:eastAsia="Cambria" w:hAnsi="Cambria"/>
          <w:sz w:val="22"/>
          <w:szCs w:val="22"/>
        </w:rPr>
        <w:t xml:space="preserve">Osserviamo il regime r_d e il prezzo LMP_d reali di quel giorno.</w:t>
      </w:r>
    </w:p>
    <w:p>
      <w:pPr>
        <w:spacing w:after="160" w:line="312"/>
        <w:jc w:val="both"/>
      </w:pPr>
      <w:r>
        <w:rPr>
          <w:rFonts w:ascii="Cambria" w:cs="Cambria" w:eastAsia="Cambria" w:hAnsi="Cambria"/>
          <w:b/>
          <w:bCs/>
          <w:sz w:val="22"/>
          <w:szCs w:val="22"/>
        </w:rPr>
        <w:t xml:space="preserve">Passo 2: </w:t>
      </w:r>
      <w:r>
        <w:rPr>
          <w:rFonts w:ascii="Cambria" w:cs="Cambria" w:eastAsia="Cambria" w:hAnsi="Cambria"/>
          <w:sz w:val="22"/>
          <w:szCs w:val="22"/>
        </w:rPr>
        <w:t xml:space="preserve">Generiamo 1.000 traiettorie di 720 ore partendo da (r_d, LMP_d), usando il modello (parametri OU per regime + matrice di transizione) stimato sui dati fino al 2024. Importante: il modello non ha mai visto i dati del 2025.</w:t>
      </w:r>
    </w:p>
    <w:p>
      <w:pPr>
        <w:spacing w:after="160" w:line="312"/>
        <w:jc w:val="both"/>
      </w:pPr>
      <w:r>
        <w:rPr>
          <w:rFonts w:ascii="Cambria" w:cs="Cambria" w:eastAsia="Cambria" w:hAnsi="Cambria"/>
          <w:b/>
          <w:bCs/>
          <w:sz w:val="22"/>
          <w:szCs w:val="22"/>
        </w:rPr>
        <w:t xml:space="preserve">Passo 3: </w:t>
      </w:r>
      <w:r>
        <w:rPr>
          <w:rFonts w:ascii="Cambria" w:cs="Cambria" w:eastAsia="Cambria" w:hAnsi="Cambria"/>
          <w:sz w:val="22"/>
          <w:szCs w:val="22"/>
        </w:rPr>
        <w:t xml:space="preserve">Confrontiamo le 1.000 traiettorie con il prezzo reale osservato nei 720 ore successivi.</w:t>
      </w:r>
    </w:p>
    <w:p>
      <w:pPr>
        <w:spacing w:after="160" w:before="280"/>
      </w:pPr>
      <w:r>
        <w:rPr>
          <w:rFonts w:ascii="Calibri" w:cs="Calibri" w:eastAsia="Calibri" w:hAnsi="Calibri"/>
          <w:b/>
          <w:bCs/>
          <w:color w:val="2E75B6"/>
          <w:sz w:val="24"/>
          <w:szCs w:val="24"/>
        </w:rPr>
        <w:t xml:space="preserve">17.3 Le metriche</w:t>
      </w:r>
    </w:p>
    <w:p>
      <w:pPr>
        <w:spacing w:after="160" w:line="312"/>
        <w:jc w:val="both"/>
      </w:pPr>
      <w:r>
        <w:rPr>
          <w:rFonts w:ascii="Cambria" w:cs="Cambria" w:eastAsia="Cambria" w:hAnsi="Cambria"/>
          <w:sz w:val="22"/>
          <w:szCs w:val="22"/>
        </w:rPr>
        <w:t xml:space="preserve">Per ogni giorno, calcoliamo cinque metriche che valutano la qualità delle previsioni probabilistiche.</w:t>
      </w:r>
    </w:p>
    <w:p>
      <w:pPr>
        <w:spacing w:after="120" w:before="200"/>
      </w:pPr>
      <w:r>
        <w:rPr>
          <w:rFonts w:ascii="Calibri" w:cs="Calibri" w:eastAsia="Calibri" w:hAnsi="Calibri"/>
          <w:b/>
          <w:bCs/>
          <w:i/>
          <w:iCs/>
          <w:color w:val="333333"/>
          <w:sz w:val="22"/>
          <w:szCs w:val="22"/>
        </w:rPr>
        <w:t xml:space="preserve">17.3.1 CRPS (Continuous Ranked Probability Score)</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CRPS</w:t>
      </w:r>
      <w:r>
        <w:rPr>
          <w:rFonts w:ascii="Cambria" w:cs="Cambria" w:eastAsia="Cambria" w:hAnsi="Cambria"/>
          <w:sz w:val="22"/>
          <w:szCs w:val="22"/>
        </w:rPr>
        <w:t xml:space="preserve"> è la metrica più importante di tutte. Misura simultaneamente due qualità di una previsione probabilistica: la </w:t>
      </w:r>
      <w:r>
        <w:rPr>
          <w:rFonts w:ascii="Cambria" w:cs="Cambria" w:eastAsia="Cambria" w:hAnsi="Cambria"/>
          <w:b/>
          <w:bCs/>
          <w:sz w:val="22"/>
          <w:szCs w:val="22"/>
        </w:rPr>
        <w:t xml:space="preserve">calibrazione</w:t>
      </w:r>
      <w:r>
        <w:rPr>
          <w:rFonts w:ascii="Cambria" w:cs="Cambria" w:eastAsia="Cambria" w:hAnsi="Cambria"/>
          <w:sz w:val="22"/>
          <w:szCs w:val="22"/>
        </w:rPr>
        <w:t xml:space="preserve"> (le probabilità previste corrispondono alle frequenze osservate?) e la </w:t>
      </w:r>
      <w:r>
        <w:rPr>
          <w:rFonts w:ascii="Cambria" w:cs="Cambria" w:eastAsia="Cambria" w:hAnsi="Cambria"/>
          <w:b/>
          <w:bCs/>
          <w:sz w:val="22"/>
          <w:szCs w:val="22"/>
        </w:rPr>
        <w:t xml:space="preserve">sharpness</w:t>
      </w:r>
      <w:r>
        <w:rPr>
          <w:rFonts w:ascii="Cambria" w:cs="Cambria" w:eastAsia="Cambria" w:hAnsi="Cambria"/>
          <w:sz w:val="22"/>
          <w:szCs w:val="22"/>
        </w:rPr>
        <w:t xml:space="preserve"> (la distribuzione prevista è concentrata o troppo larga?).</w:t>
      </w:r>
    </w:p>
    <w:p>
      <w:pPr>
        <w:spacing w:after="160" w:line="312"/>
        <w:jc w:val="both"/>
      </w:pPr>
      <w:r>
        <w:rPr>
          <w:rFonts w:ascii="Cambria" w:cs="Cambria" w:eastAsia="Cambria" w:hAnsi="Cambria"/>
          <w:sz w:val="22"/>
          <w:szCs w:val="22"/>
        </w:rPr>
        <w:t xml:space="preserve">Il CRPS vale 0 per una previsione perfetta e cresce quando la previsione peggiora. Si può interpretare come l’errore medio assoluto generalizzato al caso probabilistico. Un modello con CRPS basso è un modello che assegna alta probabilità ai valori che effettivamente si realizzano, con bande di confidenza né troppo strette (che mancherebbero molti valori) né troppo larghe (che sarebbero inutilmente vaghe).</w:t>
      </w:r>
    </w:p>
    <w:p>
      <w:pPr>
        <w:spacing w:after="120" w:before="200"/>
      </w:pPr>
      <w:r>
        <w:rPr>
          <w:rFonts w:ascii="Calibri" w:cs="Calibri" w:eastAsia="Calibri" w:hAnsi="Calibri"/>
          <w:b/>
          <w:bCs/>
          <w:i/>
          <w:iCs/>
          <w:color w:val="333333"/>
          <w:sz w:val="22"/>
          <w:szCs w:val="22"/>
        </w:rPr>
        <w:t xml:space="preserve">17.3.2 Coverage al 90%</w:t>
      </w:r>
    </w:p>
    <w:p>
      <w:pPr>
        <w:spacing w:after="160" w:line="312"/>
        <w:jc w:val="both"/>
      </w:pPr>
      <w:r>
        <w:rPr>
          <w:rFonts w:ascii="Cambria" w:cs="Cambria" w:eastAsia="Cambria" w:hAnsi="Cambria"/>
          <w:sz w:val="22"/>
          <w:szCs w:val="22"/>
        </w:rPr>
        <w:t xml:space="preserve">Per ogni ora prevista, calcoliamo il percentile 5° e il 95° delle 1.000 traiettorie. Questo intervallo dovrebbe contenere il prezzo reale nel </w:t>
      </w:r>
      <w:r>
        <w:rPr>
          <w:rFonts w:ascii="Cambria" w:cs="Cambria" w:eastAsia="Cambria" w:hAnsi="Cambria"/>
          <w:b/>
          <w:bCs/>
          <w:sz w:val="22"/>
          <w:szCs w:val="22"/>
        </w:rPr>
        <w:t xml:space="preserve">90% dei casi</w:t>
      </w:r>
      <w:r>
        <w:rPr>
          <w:rFonts w:ascii="Cambria" w:cs="Cambria" w:eastAsia="Cambria" w:hAnsi="Cambria"/>
          <w:sz w:val="22"/>
          <w:szCs w:val="22"/>
        </w:rPr>
        <w:t xml:space="preserve">. Se lo contiene meno spesso (es. 80%), il modello è troppo sicuro di sé: le bande sono troppo strette. Se lo contiene più spesso (es. 97%), il modello è troppo conservativo: le bande sono inutilmente larghe.</w:t>
      </w:r>
    </w:p>
    <w:p>
      <w:pPr>
        <w:spacing w:after="160" w:line="312"/>
        <w:jc w:val="both"/>
      </w:pPr>
      <w:r>
        <w:rPr>
          <w:rFonts w:ascii="Cambria" w:cs="Cambria" w:eastAsia="Cambria" w:hAnsi="Cambria"/>
          <w:sz w:val="22"/>
          <w:szCs w:val="22"/>
        </w:rPr>
        <w:t xml:space="preserve">La coverage ideale è esattamente 90%: né di più, né di meno.</w:t>
      </w:r>
    </w:p>
    <w:p>
      <w:pPr>
        <w:spacing w:after="120" w:before="200"/>
      </w:pPr>
      <w:r>
        <w:rPr>
          <w:rFonts w:ascii="Calibri" w:cs="Calibri" w:eastAsia="Calibri" w:hAnsi="Calibri"/>
          <w:b/>
          <w:bCs/>
          <w:i/>
          <w:iCs/>
          <w:color w:val="333333"/>
          <w:sz w:val="22"/>
          <w:szCs w:val="22"/>
        </w:rPr>
        <w:t xml:space="preserve">17.3.3 Ampiezza dell’intervallo</w:t>
      </w:r>
    </w:p>
    <w:p>
      <w:pPr>
        <w:spacing w:after="160" w:line="312"/>
        <w:jc w:val="both"/>
      </w:pPr>
      <w:r>
        <w:rPr>
          <w:rFonts w:ascii="Cambria" w:cs="Cambria" w:eastAsia="Cambria" w:hAnsi="Cambria"/>
          <w:sz w:val="22"/>
          <w:szCs w:val="22"/>
        </w:rPr>
        <w:t xml:space="preserve">Insieme alla coverage, guardiamo la </w:t>
      </w:r>
      <w:r>
        <w:rPr>
          <w:rFonts w:ascii="Cambria" w:cs="Cambria" w:eastAsia="Cambria" w:hAnsi="Cambria"/>
          <w:b/>
          <w:bCs/>
          <w:sz w:val="22"/>
          <w:szCs w:val="22"/>
        </w:rPr>
        <w:t xml:space="preserve">larghezza media dell’intervallo</w:t>
      </w:r>
      <w:r>
        <w:rPr>
          <w:rFonts w:ascii="Cambria" w:cs="Cambria" w:eastAsia="Cambria" w:hAnsi="Cambria"/>
          <w:sz w:val="22"/>
          <w:szCs w:val="22"/>
        </w:rPr>
        <w:t xml:space="preserve"> [p5, p95]. Due modelli possono avere entrambi coverage del 90%, ma uno potrebbe avere intervalli larghi 200 $/MWh e l’altro 50 $/MWh. Il secondo è chiaramente più utile: dice “il prezzo sarà tra 40 e 90” anziché “il prezzo sarà tra 0 e 200”.</w:t>
      </w:r>
    </w:p>
    <w:p>
      <w:pPr>
        <w:spacing w:after="160" w:line="312"/>
        <w:jc w:val="both"/>
      </w:pPr>
      <w:r>
        <w:rPr>
          <w:rFonts w:ascii="Cambria" w:cs="Cambria" w:eastAsia="Cambria" w:hAnsi="Cambria"/>
          <w:sz w:val="22"/>
          <w:szCs w:val="22"/>
        </w:rPr>
        <w:t xml:space="preserve">Il modello ideale ha alta coverage </w:t>
      </w:r>
      <w:r>
        <w:rPr>
          <w:rFonts w:ascii="Cambria" w:cs="Cambria" w:eastAsia="Cambria" w:hAnsi="Cambria"/>
          <w:i/>
          <w:iCs/>
          <w:sz w:val="22"/>
          <w:szCs w:val="22"/>
        </w:rPr>
        <w:t xml:space="preserve">e</w:t>
      </w:r>
      <w:r>
        <w:rPr>
          <w:rFonts w:ascii="Cambria" w:cs="Cambria" w:eastAsia="Cambria" w:hAnsi="Cambria"/>
          <w:sz w:val="22"/>
          <w:szCs w:val="22"/>
        </w:rPr>
        <w:t xml:space="preserve"> intervalli stretti.</w:t>
      </w:r>
    </w:p>
    <w:p>
      <w:pPr>
        <w:spacing w:after="120" w:before="200"/>
      </w:pPr>
      <w:r>
        <w:rPr>
          <w:rFonts w:ascii="Calibri" w:cs="Calibri" w:eastAsia="Calibri" w:hAnsi="Calibri"/>
          <w:b/>
          <w:bCs/>
          <w:i/>
          <w:iCs/>
          <w:color w:val="333333"/>
          <w:sz w:val="22"/>
          <w:szCs w:val="22"/>
        </w:rPr>
        <w:t xml:space="preserve">17.3.4 MAE e RMSE</w:t>
      </w:r>
    </w:p>
    <w:p>
      <w:pPr>
        <w:spacing w:after="160" w:line="312"/>
        <w:jc w:val="both"/>
      </w:pPr>
      <w:r>
        <w:rPr>
          <w:rFonts w:ascii="Cambria" w:cs="Cambria" w:eastAsia="Cambria" w:hAnsi="Cambria"/>
          <w:sz w:val="22"/>
          <w:szCs w:val="22"/>
        </w:rPr>
        <w:t xml:space="preserve">Il </w:t>
      </w:r>
      <w:r>
        <w:rPr>
          <w:rFonts w:ascii="Cambria" w:cs="Cambria" w:eastAsia="Cambria" w:hAnsi="Cambria"/>
          <w:b/>
          <w:bCs/>
          <w:sz w:val="22"/>
          <w:szCs w:val="22"/>
        </w:rPr>
        <w:t xml:space="preserve">MAE (Mean Absolute Error)</w:t>
      </w:r>
      <w:r>
        <w:rPr>
          <w:rFonts w:ascii="Cambria" w:cs="Cambria" w:eastAsia="Cambria" w:hAnsi="Cambria"/>
          <w:sz w:val="22"/>
          <w:szCs w:val="22"/>
        </w:rPr>
        <w:t xml:space="preserve"> è la differenza media (in valore assoluto) tra la mediana delle traiettorie e il prezzo reale. Il </w:t>
      </w:r>
      <w:r>
        <w:rPr>
          <w:rFonts w:ascii="Cambria" w:cs="Cambria" w:eastAsia="Cambria" w:hAnsi="Cambria"/>
          <w:b/>
          <w:bCs/>
          <w:sz w:val="22"/>
          <w:szCs w:val="22"/>
        </w:rPr>
        <w:t xml:space="preserve">RMSE (Root Mean Squared Error)</w:t>
      </w:r>
      <w:r>
        <w:rPr>
          <w:rFonts w:ascii="Cambria" w:cs="Cambria" w:eastAsia="Cambria" w:hAnsi="Cambria"/>
          <w:sz w:val="22"/>
          <w:szCs w:val="22"/>
        </w:rPr>
        <w:t xml:space="preserve"> è simile, ma penalizza maggiormente gli errori grandi. Insieme ci dicono quanto è accurata la previsione “puntuale” (la mediana) del modello.</w:t>
      </w:r>
    </w:p>
    <w:p>
      <w:pPr>
        <w:spacing w:after="120" w:before="200"/>
      </w:pPr>
      <w:r>
        <w:rPr>
          <w:rFonts w:ascii="Calibri" w:cs="Calibri" w:eastAsia="Calibri" w:hAnsi="Calibri"/>
          <w:b/>
          <w:bCs/>
          <w:i/>
          <w:iCs/>
          <w:color w:val="333333"/>
          <w:sz w:val="22"/>
          <w:szCs w:val="22"/>
        </w:rPr>
        <w:t xml:space="preserve">17.3.5 Distanza di Wasserstein</w:t>
      </w:r>
    </w:p>
    <w:p>
      <w:pPr>
        <w:spacing w:after="160" w:line="312"/>
        <w:jc w:val="both"/>
      </w:pPr>
      <w:r>
        <w:rPr>
          <w:rFonts w:ascii="Cambria" w:cs="Cambria" w:eastAsia="Cambria" w:hAnsi="Cambria"/>
          <w:sz w:val="22"/>
          <w:szCs w:val="22"/>
        </w:rPr>
        <w:t xml:space="preserve">Stessa metrica dello step 12, ma applicata su ciascuna finestra di 720 ore del backtest. Ci dice se la distribuzione simulata assomiglia a quella reale non solo in media, ma giorno per giorno.</w:t>
      </w:r>
    </w:p>
    <w:p>
      <w:pPr>
        <w:spacing w:after="160" w:before="280"/>
      </w:pPr>
      <w:r>
        <w:rPr>
          <w:rFonts w:ascii="Calibri" w:cs="Calibri" w:eastAsia="Calibri" w:hAnsi="Calibri"/>
          <w:b/>
          <w:bCs/>
          <w:color w:val="2E75B6"/>
          <w:sz w:val="24"/>
          <w:szCs w:val="24"/>
        </w:rPr>
        <w:t xml:space="preserve">17.4 Output</w:t>
      </w:r>
    </w:p>
    <w:p>
      <w:pPr>
        <w:spacing w:after="160" w:line="312"/>
        <w:jc w:val="both"/>
      </w:pPr>
      <w:r>
        <w:rPr>
          <w:rFonts w:ascii="Cambria" w:cs="Cambria" w:eastAsia="Cambria" w:hAnsi="Cambria"/>
          <w:sz w:val="22"/>
          <w:szCs w:val="22"/>
        </w:rPr>
        <w:t xml:space="preserve">L’output del backtest è duplice. Un file </w:t>
      </w:r>
      <w:r>
        <w:rPr>
          <w:rFonts w:ascii="Cambria" w:cs="Cambria" w:eastAsia="Cambria" w:hAnsi="Cambria"/>
          <w:b/>
          <w:bCs/>
          <w:sz w:val="22"/>
          <w:szCs w:val="22"/>
        </w:rPr>
        <w:t xml:space="preserve">backtest.parquet</w:t>
      </w:r>
      <w:r>
        <w:rPr>
          <w:rFonts w:ascii="Cambria" w:cs="Cambria" w:eastAsia="Cambria" w:hAnsi="Cambria"/>
          <w:sz w:val="22"/>
          <w:szCs w:val="22"/>
        </w:rPr>
        <w:t xml:space="preserve"> contiene le cinque metriche per ciascuno dei 365 giorni, permettendo di analizzare come la qualità del modello varia nel tempo (ci sono periodi in cui il modello funziona meglio o peggio?). Un file </w:t>
      </w:r>
      <w:r>
        <w:rPr>
          <w:rFonts w:ascii="Cambria" w:cs="Cambria" w:eastAsia="Cambria" w:hAnsi="Cambria"/>
          <w:b/>
          <w:bCs/>
          <w:sz w:val="22"/>
          <w:szCs w:val="22"/>
        </w:rPr>
        <w:t xml:space="preserve">backtest_agg.csv</w:t>
      </w:r>
      <w:r>
        <w:rPr>
          <w:rFonts w:ascii="Cambria" w:cs="Cambria" w:eastAsia="Cambria" w:hAnsi="Cambria"/>
          <w:sz w:val="22"/>
          <w:szCs w:val="22"/>
        </w:rPr>
        <w:t xml:space="preserve"> contiene le metriche aggregate (media, mediana, percentili) sull’intero anno, fornendo il quadro complessivo della performance.</w:t>
      </w:r>
    </w:p>
    <w:p>
      <w:pPr>
        <w:spacing w:after="160" w:line="312"/>
        <w:jc w:val="both"/>
      </w:pPr>
      <w:r>
        <w:rPr>
          <w:rFonts w:ascii="Cambria" w:cs="Cambria" w:eastAsia="Cambria" w:hAnsi="Cambria"/>
          <w:sz w:val="22"/>
          <w:szCs w:val="22"/>
        </w:rPr>
        <w:t xml:space="preserve">Il runtime stimato per l’intero backtest è di circa 3–4 ore su una GPU RTX 3080, data la necessità di generare 365 × 1.000 = 365.000 traiettorie.</w:t>
      </w:r>
    </w:p>
    <w:p>
      <w:pPr>
        <w:pBdr>
          <w:bottom w:val="single" w:color="2E75B6" w:sz="4" w:space="4"/>
        </w:pBdr>
        <w:spacing w:after="200" w:before="360"/>
      </w:pPr>
      <w:r>
        <w:rPr>
          <w:rFonts w:ascii="Calibri" w:cs="Calibri" w:eastAsia="Calibri" w:hAnsi="Calibri"/>
          <w:b/>
          <w:bCs/>
          <w:color w:val="1B3A5C"/>
          <w:sz w:val="28"/>
          <w:szCs w:val="28"/>
        </w:rPr>
        <w:t xml:space="preserve">18. Riepilogo Completo della Pipeline</w:t>
      </w:r>
    </w:p>
    <w:p>
      <w:pPr>
        <w:spacing w:after="160" w:line="312"/>
        <w:jc w:val="both"/>
      </w:pPr>
      <w:r>
        <w:rPr>
          <w:rFonts w:ascii="Cambria" w:cs="Cambria" w:eastAsia="Cambria" w:hAnsi="Cambria"/>
          <w:sz w:val="22"/>
          <w:szCs w:val="22"/>
        </w:rPr>
        <w:t xml:space="preserve">Mettiamo insieme tutte e tre le parti del documento in un’unica tabella.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64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Step</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Nome</w:t>
            </w:r>
          </w:p>
        </w:tc>
        <w:tc>
          <w:tcPr>
            <w:tcW w:type="dxa" w:w="6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Calibri" w:cs="Calibri" w:eastAsia="Calibri" w:hAnsi="Calibri"/>
                <w:b/>
                <w:bCs/>
                <w:color w:val="1B3A5C"/>
                <w:sz w:val="20"/>
                <w:szCs w:val="20"/>
              </w:rPr>
              <w:t xml:space="preserve">Descrizione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Load</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Caricamento isone_dataset.parquet (43.789 ore, 2021–2025)</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02</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Features</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Log-return + log-price normalizzato + ILR transform → E_t ∈ ℝ⁹</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Grid Search</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Ottimizzazione UMAP + HDBSCAN via grid search su DBCV</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04</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UMAP</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Riduzione dimensionale E_t → z_t ∈ ℝ²</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HDBSCAN</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Clustering z_t → K regimi (K automatico, noise = −1)</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06</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Validate Cluster</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DBCV, persistenza, durata, distribuzione LMP, interpretabilità</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OU Fit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Stima θ, μ, σ, t½ per regime e orizzonte via Chronos-2 + OLS</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08</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Validate OU</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R², test t su b, Jarque-Bera, ΔAIC/ΔBIC, t½ range, rolling θ</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09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Transition</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Matrice A[i,j] + distribuzione stazionaria π</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10</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Validate Trans.</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Test χ² stazionarietà, entropia Shannon, |A−I|, mixing time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Monte Carlo</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1.000 traiettorie × 720h con OU + transizioni ogni 6h</w:t>
            </w:r>
          </w:p>
        </w:tc>
      </w:tr>
      <w:tr>
        <w:tc>
          <w:tcPr>
            <w:tcW w:type="dxa" w:w="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center"/>
            </w:pPr>
            <w:r>
              <w:rPr>
                <w:rFonts w:ascii="Calibri" w:cs="Calibri" w:eastAsia="Calibri" w:hAnsi="Calibri"/>
                <w:b/>
                <w:bCs/>
                <w:sz w:val="20"/>
                <w:szCs w:val="20"/>
              </w:rPr>
              <w:t xml:space="preserve">12</w:t>
            </w:r>
          </w:p>
        </w:tc>
        <w:tc>
          <w:tcPr>
            <w:tcW w:type="dxa" w:w="1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b/>
                <w:bCs/>
                <w:sz w:val="20"/>
                <w:szCs w:val="20"/>
              </w:rPr>
              <w:t xml:space="preserve">Validate MC</w:t>
            </w:r>
          </w:p>
        </w:tc>
        <w:tc>
          <w:tcPr>
            <w:tcW w:type="dxa" w:w="64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pPr>
              <w:jc w:val="left"/>
            </w:pPr>
            <w:r>
              <w:rPr>
                <w:rFonts w:ascii="Calibri" w:cs="Calibri" w:eastAsia="Calibri" w:hAnsi="Calibri"/>
                <w:sz w:val="20"/>
                <w:szCs w:val="20"/>
              </w:rPr>
              <w:t xml:space="preserve">Wasserstein, KS, spike frequency, autocorrelazione, momenti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alibri" w:cs="Calibri" w:eastAsia="Calibri" w:hAnsi="Calibri"/>
                <w:b/>
                <w:bCs/>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b/>
                <w:bCs/>
                <w:sz w:val="20"/>
                <w:szCs w:val="20"/>
              </w:rPr>
              <w:t xml:space="preserve">Backtest</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alibri" w:cs="Calibri" w:eastAsia="Calibri" w:hAnsi="Calibri"/>
                <w:sz w:val="20"/>
                <w:szCs w:val="20"/>
              </w:rPr>
              <w:t xml:space="preserve">Out-of-sample 2025: CRPS, coverage 90%, MAE/RMSE, Wasserstein</w:t>
            </w:r>
          </w:p>
        </w:tc>
      </w:tr>
    </w:tbl>
    <w:p>
      <w:pPr>
        <w:spacing w:after="200"/>
      </w:pPr>
    </w:p>
    <w:p>
      <w:pPr>
        <w:spacing w:after="160" w:line="312"/>
        <w:jc w:val="both"/>
      </w:pPr>
      <w:r>
        <w:rPr>
          <w:rFonts w:ascii="Cambria" w:cs="Cambria" w:eastAsia="Cambria" w:hAnsi="Cambria"/>
          <w:sz w:val="22"/>
          <w:szCs w:val="22"/>
        </w:rPr>
        <w:t xml:space="preserve">I file fluiscono da uno step all’altro: isone_dataset.parquet → features.parquet → best_params.json → umap.parquet → regimes.parquet → cluster_validation.csv → ou_params.parquet → ou_validation.csv → transition.parquet → trans_validation.csv → trajectories.parquet → mc_validation.csv → backtest.parquet + backtest_agg.csv.</w:t>
      </w:r>
    </w:p>
    <w:p>
      <w:pPr>
        <w:spacing w:after="160" w:line="312"/>
        <w:jc w:val="both"/>
      </w:pPr>
      <w:r>
        <w:rPr>
          <w:rFonts w:ascii="Cambria" w:cs="Cambria" w:eastAsia="Cambria" w:hAnsi="Cambria"/>
          <w:sz w:val="22"/>
          <w:szCs w:val="22"/>
        </w:rPr>
        <w:t xml:space="preserve">Ogni step legge l’output del precedente e produce il suo, garantendo riproducibilità completa. Ogni risultato intermedio è ispezionabile e ogni fase di validazione funziona come un cancello: se le metriche non superano le soglie attese, la pipeline si ferma e segnala il problema.</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6"/>
        <w:szCs w:val="16"/>
      </w:rPr>
      <w:t xml:space="preserve">Page </w:t>
    </w:r>
    <w:r>
      <w:rPr>
        <w:rFonts w:ascii="Calibri" w:cs="Calibri" w:eastAsia="Calibri" w:hAnsi="Calibri"/>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AAAAAA"/>
        <w:sz w:val="16"/>
        <w:szCs w:val="16"/>
      </w:rPr>
      <w:t xml:space="preserve">Methodology — Validazione, Simulazione e Backtest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2026-03-06T18:45:29.533Z</dcterms:created>
  <dcterms:modified xsi:type="dcterms:W3CDTF">2026-03-06T18:45:29.534Z</dcterms:modified>
</cp:coreProperties>
</file>

<file path=docProps/custom.xml><?xml version="1.0" encoding="utf-8"?>
<Properties xmlns="http://schemas.openxmlformats.org/officeDocument/2006/custom-properties" xmlns:vt="http://schemas.openxmlformats.org/officeDocument/2006/docPropsVTypes"/>
</file>