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2026, the primary difference between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Explorer Access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Basic Access</w:t>
      </w:r>
      <w:r w:rsidDel="00000000" w:rsidR="00000000" w:rsidRPr="00000000">
        <w:rPr>
          <w:rFonts w:ascii="Arial" w:cs="Arial" w:eastAsia="Arial" w:hAnsi="Arial"/>
          <w:rtl w:val="0"/>
        </w:rPr>
        <w:t xml:space="preserve"> is the ease of acquisition versus the power and scale of the API.</w:t>
      </w:r>
    </w:p>
    <w:p w:rsidR="00000000" w:rsidDel="00000000" w:rsidP="00000000" w:rsidRDefault="00000000" w:rsidRPr="00000000" w14:paraId="00000002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Google introduced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Explorer Access</w:t>
      </w:r>
      <w:r w:rsidDel="00000000" w:rsidR="00000000" w:rsidRPr="00000000">
        <w:rPr>
          <w:rFonts w:ascii="Arial" w:cs="Arial" w:eastAsia="Arial" w:hAnsi="Arial"/>
          <w:rtl w:val="0"/>
        </w:rPr>
        <w:t xml:space="preserve"> (late 2025/early 2026) as a "fast-track" tier to solve the long wait times for manual token reviews. It serves as a bridge between a restricted Test Account and a fully verified production tool.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80" w:lineRule="auto"/>
        <w:rPr>
          <w:rFonts w:ascii="Arial" w:cs="Arial" w:eastAsia="Arial" w:hAnsi="Arial"/>
          <w:sz w:val="26"/>
          <w:szCs w:val="26"/>
        </w:rPr>
      </w:pPr>
      <w:bookmarkStart w:colFirst="0" w:colLast="0" w:name="_enbptzhpjzoz" w:id="0"/>
      <w:bookmarkEnd w:id="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Comparison Overview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8.5491419656787"/>
        <w:gridCol w:w="3757.6287051482063"/>
        <w:gridCol w:w="3713.822152886116"/>
        <w:tblGridChange w:id="0">
          <w:tblGrid>
            <w:gridCol w:w="1888.5491419656787"/>
            <w:gridCol w:w="3757.6287051482063"/>
            <w:gridCol w:w="3713.82215288611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Explorer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Basic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Approval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Automatic/Instant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(usually granted upon sign-up).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Manual Review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(requires application and ~2+ day wait).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Daily Quota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2,880 operations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per day.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15,000 operations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per day.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Account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Production (Live) &amp; Test accounts.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Production (Live) &amp; Test accounts.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Restricted.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Cannot create accounts or use Keyword Planner.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Full.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Most campaign and planning features are unlocked.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Billing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Prohibited (must use the web UI).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Allowed via API (for budgeting/invoicing).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Proof-of-concept, small internal tools, or single-client setups.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Established apps, agencies, or small SaaS platforms.</w:t>
            </w:r>
          </w:p>
        </w:tc>
      </w:tr>
    </w:tbl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80" w:lineRule="auto"/>
        <w:rPr>
          <w:rFonts w:ascii="Arial" w:cs="Arial" w:eastAsia="Arial" w:hAnsi="Arial"/>
          <w:sz w:val="26"/>
          <w:szCs w:val="26"/>
        </w:rPr>
      </w:pPr>
      <w:bookmarkStart w:colFirst="0" w:colLast="0" w:name="_suyk6jsmjzse" w:id="1"/>
      <w:bookmarkEnd w:id="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Key Differences Detailed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lineRule="auto"/>
        <w:rPr>
          <w:rFonts w:ascii="Arial" w:cs="Arial" w:eastAsia="Arial" w:hAnsi="Arial"/>
          <w:sz w:val="22"/>
          <w:szCs w:val="22"/>
        </w:rPr>
      </w:pPr>
      <w:bookmarkStart w:colFirst="0" w:colLast="0" w:name="_sb3ey776dkcl" w:id="2"/>
      <w:bookmarkEnd w:id="2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Quota and Operations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Explorer Access:</w:t>
      </w:r>
      <w:r w:rsidDel="00000000" w:rsidR="00000000" w:rsidRPr="00000000">
        <w:rPr>
          <w:rFonts w:ascii="Arial" w:cs="Arial" w:eastAsia="Arial" w:hAnsi="Arial"/>
          <w:rtl w:val="0"/>
        </w:rPr>
        <w:t xml:space="preserve"> Limited 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2,880 operations</w:t>
      </w:r>
      <w:r w:rsidDel="00000000" w:rsidR="00000000" w:rsidRPr="00000000">
        <w:rPr>
          <w:rFonts w:ascii="Arial" w:cs="Arial" w:eastAsia="Arial" w:hAnsi="Arial"/>
          <w:rtl w:val="0"/>
        </w:rPr>
        <w:t xml:space="preserve"> per day. This is roughly 2 operations per minute, which is sufficient for small-scale reporting or occasional campaign updates but will quickly run out for large-scale automation.</w:t>
        <w:br w:type="textWrapping"/>
        <w:t xml:space="preserve">+1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Basic Access:</w:t>
      </w:r>
      <w:r w:rsidDel="00000000" w:rsidR="00000000" w:rsidRPr="00000000">
        <w:rPr>
          <w:rFonts w:ascii="Arial" w:cs="Arial" w:eastAsia="Arial" w:hAnsi="Arial"/>
          <w:rtl w:val="0"/>
        </w:rPr>
        <w:t xml:space="preserve"> Offers a much higher ceiling of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15,000 operations</w:t>
      </w:r>
      <w:r w:rsidDel="00000000" w:rsidR="00000000" w:rsidRPr="00000000">
        <w:rPr>
          <w:rFonts w:ascii="Arial" w:cs="Arial" w:eastAsia="Arial" w:hAnsi="Arial"/>
          <w:rtl w:val="0"/>
        </w:rPr>
        <w:t xml:space="preserve"> per day, allowing for more frequent data polling and bulk changes.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lineRule="auto"/>
        <w:rPr>
          <w:rFonts w:ascii="Arial" w:cs="Arial" w:eastAsia="Arial" w:hAnsi="Arial"/>
          <w:sz w:val="22"/>
          <w:szCs w:val="22"/>
        </w:rPr>
      </w:pPr>
      <w:bookmarkStart w:colFirst="0" w:colLast="0" w:name="_xarmrsd8kzlr" w:id="3"/>
      <w:bookmarkEnd w:id="3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Functional Restrictions</w:t>
      </w:r>
    </w:p>
    <w:p w:rsidR="00000000" w:rsidDel="00000000" w:rsidP="00000000" w:rsidRDefault="00000000" w:rsidRPr="00000000" w14:paraId="0000001F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Explorer Access is designed for "safe" experimentation on live accounts. Because it is granted automatically, Google restricts high-risk features to prevent abuse: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CustomerService:</w:t>
      </w:r>
      <w:r w:rsidDel="00000000" w:rsidR="00000000" w:rsidRPr="00000000">
        <w:rPr>
          <w:rFonts w:ascii="Arial" w:cs="Arial" w:eastAsia="Arial" w:hAnsi="Arial"/>
          <w:rtl w:val="0"/>
        </w:rPr>
        <w:t xml:space="preserve"> You cannot programmatically create new Google Ads accounts.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Keyword Planner:</w:t>
      </w:r>
      <w:r w:rsidDel="00000000" w:rsidR="00000000" w:rsidRPr="00000000">
        <w:rPr>
          <w:rFonts w:ascii="Arial" w:cs="Arial" w:eastAsia="Arial" w:hAnsi="Arial"/>
          <w:rtl w:val="0"/>
        </w:rPr>
        <w:t xml:space="preserve"> Access to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KeywordPlanService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search volume data is typically blocked.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Financials:</w:t>
      </w:r>
      <w:r w:rsidDel="00000000" w:rsidR="00000000" w:rsidRPr="00000000">
        <w:rPr>
          <w:rFonts w:ascii="Arial" w:cs="Arial" w:eastAsia="Arial" w:hAnsi="Arial"/>
          <w:rtl w:val="0"/>
        </w:rPr>
        <w:t xml:space="preserve"> You cannot manage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BillingSetup</w:t>
      </w:r>
      <w:r w:rsidDel="00000000" w:rsidR="00000000" w:rsidRPr="00000000">
        <w:rPr>
          <w:rFonts w:ascii="Arial" w:cs="Arial" w:eastAsia="Arial" w:hAnsi="Arial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AccountBudgetProposal</w:t>
      </w:r>
      <w:r w:rsidDel="00000000" w:rsidR="00000000" w:rsidRPr="00000000">
        <w:rPr>
          <w:rFonts w:ascii="Arial" w:cs="Arial" w:eastAsia="Arial" w:hAnsi="Arial"/>
          <w:rtl w:val="0"/>
        </w:rPr>
        <w:t xml:space="preserve"> services.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lineRule="auto"/>
        <w:rPr>
          <w:rFonts w:ascii="Arial" w:cs="Arial" w:eastAsia="Arial" w:hAnsi="Arial"/>
          <w:sz w:val="22"/>
          <w:szCs w:val="22"/>
        </w:rPr>
      </w:pPr>
      <w:bookmarkStart w:colFirst="0" w:colLast="0" w:name="_d2ixr56hkp76" w:id="4"/>
      <w:bookmarkEnd w:id="4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Onboarding Friction</w:t>
      </w:r>
    </w:p>
    <w:p w:rsidR="00000000" w:rsidDel="00000000" w:rsidP="00000000" w:rsidRDefault="00000000" w:rsidRPr="00000000" w14:paraId="00000024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biggest advantage of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Explorer Access</w:t>
      </w:r>
      <w:r w:rsidDel="00000000" w:rsidR="00000000" w:rsidRPr="00000000">
        <w:rPr>
          <w:rFonts w:ascii="Arial" w:cs="Arial" w:eastAsia="Arial" w:hAnsi="Arial"/>
          <w:rtl w:val="0"/>
        </w:rPr>
        <w:t xml:space="preserve"> is that you can start building on production data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immediately</w:t>
      </w:r>
      <w:r w:rsidDel="00000000" w:rsidR="00000000" w:rsidRPr="00000000">
        <w:rPr>
          <w:rFonts w:ascii="Arial" w:cs="Arial" w:eastAsia="Arial" w:hAnsi="Arial"/>
          <w:rtl w:val="0"/>
        </w:rPr>
        <w:t xml:space="preserve">. Previously, developers were stuck in "Test Account Access" (which can only talk to fake test accounts) for weeks while waiting for Google's compliance team to review their Basic Access application.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80" w:lineRule="auto"/>
        <w:rPr>
          <w:rFonts w:ascii="Arial" w:cs="Arial" w:eastAsia="Arial" w:hAnsi="Arial"/>
          <w:sz w:val="26"/>
          <w:szCs w:val="26"/>
        </w:rPr>
      </w:pPr>
      <w:bookmarkStart w:colFirst="0" w:colLast="0" w:name="_98xflgasoxwp" w:id="5"/>
      <w:bookmarkEnd w:id="5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Which one should you use?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Use Explorer Access if:</w:t>
      </w:r>
      <w:r w:rsidDel="00000000" w:rsidR="00000000" w:rsidRPr="00000000">
        <w:rPr>
          <w:rFonts w:ascii="Arial" w:cs="Arial" w:eastAsia="Arial" w:hAnsi="Arial"/>
          <w:rtl w:val="0"/>
        </w:rPr>
        <w:t xml:space="preserve"> You are a solo developer or an in-house marketer building a custom dashboard or a simple script for a single company.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Use Basic Access if:</w:t>
      </w:r>
      <w:r w:rsidDel="00000000" w:rsidR="00000000" w:rsidRPr="00000000">
        <w:rPr>
          <w:rFonts w:ascii="Arial" w:cs="Arial" w:eastAsia="Arial" w:hAnsi="Arial"/>
          <w:rtl w:val="0"/>
        </w:rPr>
        <w:t xml:space="preserve"> You are building a tool you intend to sell to others (SaaS), you manage a large agency portfolio, or you need to automate account creation and billing.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zD4mcbPuquG9L40_P-UelQ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rFonts w:ascii="Calibri" w:cs="Calibri" w:eastAsia="Calibri" w:hAnsi="Calibri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b w:val="1"/>
      <w:bCs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