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Trade-Screener</w:t>
      </w:r>
      <w:r>
        <w:t xml:space="preserve"> </w:t>
      </w:r>
      <w:r>
        <w:t xml:space="preserve">Code</w:t>
      </w:r>
      <w:r>
        <w:t xml:space="preserve"> </w:t>
      </w:r>
      <w:r>
        <w:t xml:space="preserve">Audit</w:t>
      </w:r>
    </w:p>
    <w:p>
      <w:pPr>
        <w:pStyle w:val="Author"/>
      </w:pPr>
      <w:r>
        <w:t xml:space="preserve">Prepared</w:t>
      </w:r>
      <w:r>
        <w:t xml:space="preserve"> </w:t>
      </w:r>
      <w:r>
        <w:t xml:space="preserve">for</w:t>
      </w:r>
      <w:r>
        <w:t xml:space="preserve"> </w:t>
      </w:r>
      <w:r>
        <w:t xml:space="preserve">Craig</w:t>
      </w:r>
      <w:r>
        <w:t xml:space="preserve"> </w:t>
      </w:r>
      <w:r>
        <w:t xml:space="preserve">Banks</w:t>
      </w:r>
      <w:r>
        <w:t xml:space="preserve"> </w:t>
      </w:r>
      <w:r>
        <w:t xml:space="preserve">Jr</w:t>
      </w:r>
    </w:p>
    <w:p>
      <w:pPr>
        <w:pStyle w:val="Date"/>
      </w:pPr>
      <w:r>
        <w:t xml:space="preserve">July</w:t>
      </w:r>
      <w:r>
        <w:t xml:space="preserve"> </w:t>
      </w:r>
      <w:r>
        <w:t xml:space="preserve">2,</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Heading1"/>
      </w:pPr>
      <w:bookmarkStart w:id="20" w:name="executive-summary"/>
      <w:r>
        <w:t xml:space="preserve">Executive Summary</w:t>
      </w:r>
      <w:bookmarkEnd w:id="20"/>
    </w:p>
    <w:p>
      <w:pPr>
        <w:pStyle w:val="FirstParagraph"/>
      </w:pPr>
      <w:r>
        <w:t xml:space="preserve">This audit covers the full</w:t>
      </w:r>
      <w:r>
        <w:t xml:space="preserve"> </w:t>
      </w:r>
      <w:r>
        <w:rPr>
          <w:rStyle w:val="VerbatimChar"/>
        </w:rPr>
        <w:t xml:space="preserve">cbanksjr/Trade-Screener</w:t>
      </w:r>
      <w:r>
        <w:t xml:space="preserve"> </w:t>
      </w:r>
      <w:r>
        <w:t xml:space="preserve">repository as of commit</w:t>
      </w:r>
      <w:r>
        <w:t xml:space="preserve"> </w:t>
      </w:r>
      <w:r>
        <w:rPr>
          <w:rStyle w:val="VerbatimChar"/>
        </w:rPr>
        <w:t xml:space="preserve">3bbdd90</w:t>
      </w:r>
      <w:r>
        <w:t xml:space="preserve"> </w:t>
      </w:r>
      <w:r>
        <w:t xml:space="preserve">(</w:t>
      </w:r>
      <w:r>
        <w:t xml:space="preserve">“</w:t>
      </w:r>
      <w:r>
        <w:t xml:space="preserve">Tighten liquidity and option quality filters</w:t>
      </w:r>
      <w:r>
        <w:t xml:space="preserve">”</w:t>
      </w:r>
      <w:r>
        <w:t xml:space="preserve">) on</w:t>
      </w:r>
      <w:r>
        <w:t xml:space="preserve"> </w:t>
      </w:r>
      <w:r>
        <w:rPr>
          <w:rStyle w:val="VerbatimChar"/>
        </w:rPr>
        <w:t xml:space="preserve">main</w:t>
      </w:r>
      <w:r>
        <w:t xml:space="preserve">: every file under</w:t>
      </w:r>
      <w:r>
        <w:t xml:space="preserve"> </w:t>
      </w:r>
      <w:r>
        <w:rPr>
          <w:rStyle w:val="VerbatimChar"/>
        </w:rPr>
        <w:t xml:space="preserve">server/</w:t>
      </w:r>
      <w:r>
        <w:t xml:space="preserve">,</w:t>
      </w:r>
      <w:r>
        <w:t xml:space="preserve"> </w:t>
      </w:r>
      <w:r>
        <w:rPr>
          <w:rStyle w:val="VerbatimChar"/>
        </w:rPr>
        <w:t xml:space="preserve">shared/</w:t>
      </w:r>
      <w:r>
        <w:t xml:space="preserve">, and</w:t>
      </w:r>
      <w:r>
        <w:t xml:space="preserve"> </w:t>
      </w:r>
      <w:r>
        <w:rPr>
          <w:rStyle w:val="VerbatimChar"/>
        </w:rPr>
        <w:t xml:space="preserve">src/</w:t>
      </w:r>
      <w:r>
        <w:t xml:space="preserve">, plus configuration (</w:t>
      </w:r>
      <w:r>
        <w:rPr>
          <w:rStyle w:val="VerbatimChar"/>
        </w:rPr>
        <w:t xml:space="preserve">config.yaml</w:t>
      </w:r>
      <w:r>
        <w:t xml:space="preserve">,</w:t>
      </w:r>
      <w:r>
        <w:t xml:space="preserve"> </w:t>
      </w:r>
      <w:r>
        <w:rPr>
          <w:rStyle w:val="VerbatimChar"/>
        </w:rPr>
        <w:t xml:space="preserve">.env.example</w:t>
      </w:r>
      <w:r>
        <w:t xml:space="preserve">,</w:t>
      </w:r>
      <w:r>
        <w:t xml:space="preserve"> </w:t>
      </w:r>
      <w:r>
        <w:rPr>
          <w:rStyle w:val="VerbatimChar"/>
        </w:rPr>
        <w:t xml:space="preserve">vite.config.ts</w:t>
      </w:r>
      <w:r>
        <w:t xml:space="preserve">,</w:t>
      </w:r>
      <w:r>
        <w:t xml:space="preserve"> </w:t>
      </w:r>
      <w:r>
        <w:rPr>
          <w:rStyle w:val="VerbatimChar"/>
        </w:rPr>
        <w:t xml:space="preserve">package.json</w:t>
      </w:r>
      <w:r>
        <w:t xml:space="preserve">). The app is a single-user Node/Express + React screener that scores S&amp;P 500 + Nasdaq 100 + a curated ETF list for long call-option</w:t>
      </w:r>
      <w:r>
        <w:t xml:space="preserve"> </w:t>
      </w:r>
      <w:r>
        <w:t xml:space="preserve">“</w:t>
      </w:r>
      <w:r>
        <w:t xml:space="preserve">squeeze compression</w:t>
      </w:r>
      <w:r>
        <w:t xml:space="preserve">”</w:t>
      </w:r>
      <w:r>
        <w:t xml:space="preserve"> </w:t>
      </w:r>
      <w:r>
        <w:t xml:space="preserve">setups, using Schwab as the primary market-data source, Financial Modeling Prep (FMP) as a fallback/context layer, and QuantData as an institutional-positioning overlay. Persistence is SQLite locally (via a shelled-out</w:t>
      </w:r>
      <w:r>
        <w:t xml:space="preserve"> </w:t>
      </w:r>
      <w:r>
        <w:rPr>
          <w:rStyle w:val="VerbatimChar"/>
        </w:rPr>
        <w:t xml:space="preserve">sqlite3</w:t>
      </w:r>
      <w:r>
        <w:t xml:space="preserve"> </w:t>
      </w:r>
      <w:r>
        <w:t xml:space="preserve">CLI) or Postgres/Supabase in production.</w:t>
      </w:r>
    </w:p>
    <w:p>
      <w:pPr>
        <w:pStyle w:val="BodyText"/>
      </w:pPr>
      <w:r>
        <w:t xml:space="preserve">The codebase is small, readable, and mostly well-tested (eight</w:t>
      </w:r>
      <w:r>
        <w:t xml:space="preserve"> </w:t>
      </w:r>
      <w:r>
        <w:rPr>
          <w:rStyle w:val="VerbatimChar"/>
        </w:rPr>
        <w:t xml:space="preserve">*.test.ts</w:t>
      </w:r>
      <w:r>
        <w:t xml:space="preserve"> </w:t>
      </w:r>
      <w:r>
        <w:t xml:space="preserve">files covering indicators, scanner, and the Schwab/FMP/QuantData normalization logic). The scoring logic is more thoughtfully layered than the README’s summary suggests — it separates a hard pass/fail</w:t>
      </w:r>
      <w:r>
        <w:t xml:space="preserve"> </w:t>
      </w:r>
      <w:r>
        <w:t xml:space="preserve">“</w:t>
      </w:r>
      <w:r>
        <w:t xml:space="preserve">universe</w:t>
      </w:r>
      <w:r>
        <w:t xml:space="preserve">”</w:t>
      </w:r>
      <w:r>
        <w:t xml:space="preserve"> </w:t>
      </w:r>
      <w:r>
        <w:t xml:space="preserve">gate, a 0-100 weighted</w:t>
      </w:r>
      <w:r>
        <w:t xml:space="preserve"> </w:t>
      </w:r>
      <w:r>
        <w:t xml:space="preserve">“</w:t>
      </w:r>
      <w:r>
        <w:t xml:space="preserve">setup score,</w:t>
      </w:r>
      <w:r>
        <w:t xml:space="preserve">”</w:t>
      </w:r>
      <w:r>
        <w:t xml:space="preserve"> </w:t>
      </w:r>
      <w:r>
        <w:t xml:space="preserve">a letter grade derived purely from that score, and two independent post-hoc overlays (FMP Institutional Edge, QuantData Institutional Positioning) that are explicitly documented as informational/veto-only rather than grade-altering. That separation is real and correctly implemented for the QuantData layer. The most serious problems found are not in the high-level design; they are places where the implementation quietly does not do what its own comments, constants, and UI text claim it does — which is exactly the kind of gap that produces a false trade signal without ever throwing an error.</w:t>
      </w:r>
    </w:p>
    <w:p>
      <w:pPr>
        <w:pStyle w:val="BodyText"/>
      </w:pPr>
      <w:r>
        <w:t xml:space="preserve">Scores below are qualitative, out of 10, reflecting this specific codebase at this commit: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Basis</w:t>
            </w:r>
          </w:p>
        </w:tc>
      </w:tr>
      <w:tr>
        <w:tc>
          <w:p>
            <w:pPr>
              <w:pStyle w:val="Compact"/>
              <w:jc w:val="left"/>
            </w:pPr>
            <w:r>
              <w:t xml:space="preserve">Overall code quality</w:t>
            </w:r>
          </w:p>
        </w:tc>
        <w:tc>
          <w:p>
            <w:pPr>
              <w:pStyle w:val="Compact"/>
              <w:jc w:val="left"/>
            </w:pPr>
            <w:r>
              <w:t xml:space="preserve">7/10</w:t>
            </w:r>
          </w:p>
        </w:tc>
        <w:tc>
          <w:p>
            <w:pPr>
              <w:pStyle w:val="Compact"/>
              <w:jc w:val="left"/>
            </w:pPr>
            <w:r>
              <w:t xml:space="preserve">Consistent style, decent test coverage, clear module boundaries; let down by several duplicated implementations of the same business rule and a couple of silently-unenforced constraints.</w:t>
            </w:r>
          </w:p>
        </w:tc>
      </w:tr>
      <w:tr>
        <w:tc>
          <w:p>
            <w:pPr>
              <w:pStyle w:val="Compact"/>
              <w:jc w:val="left"/>
            </w:pPr>
            <w:r>
              <w:t xml:space="preserve">Accuracy</w:t>
            </w:r>
          </w:p>
        </w:tc>
        <w:tc>
          <w:p>
            <w:pPr>
              <w:pStyle w:val="Compact"/>
              <w:jc w:val="left"/>
            </w:pPr>
            <w:r>
              <w:t xml:space="preserve">5/10</w:t>
            </w:r>
          </w:p>
        </w:tc>
        <w:tc>
          <w:p>
            <w:pPr>
              <w:pStyle w:val="Compact"/>
              <w:jc w:val="left"/>
            </w:pPr>
            <w:r>
              <w:t xml:space="preserve">The core squeeze/EMA/grading pipeline is sound, but at least two paths (grade-cap enforcement, candle-length validation) do not do what their own code and messaging claim, and one data-fallback path can blend static mock data into</w:t>
            </w:r>
            <w:r>
              <w:t xml:space="preserve"> </w:t>
            </w:r>
            <w:r>
              <w:t xml:space="preserve">“</w:t>
            </w:r>
            <w:r>
              <w:t xml:space="preserve">live</w:t>
            </w:r>
            <w:r>
              <w:t xml:space="preserve">”</w:t>
            </w:r>
            <w:r>
              <w:t xml:space="preserve"> </w:t>
            </w:r>
            <w:r>
              <w:t xml:space="preserve">results with no visible flag.</w:t>
            </w:r>
          </w:p>
        </w:tc>
      </w:tr>
      <w:tr>
        <w:tc>
          <w:p>
            <w:pPr>
              <w:pStyle w:val="Compact"/>
              <w:jc w:val="left"/>
            </w:pPr>
            <w:r>
              <w:t xml:space="preserve">Performance</w:t>
            </w:r>
          </w:p>
        </w:tc>
        <w:tc>
          <w:p>
            <w:pPr>
              <w:pStyle w:val="Compact"/>
              <w:jc w:val="left"/>
            </w:pPr>
            <w:r>
              <w:t xml:space="preserve">5/10</w:t>
            </w:r>
          </w:p>
        </w:tc>
        <w:tc>
          <w:p>
            <w:pPr>
              <w:pStyle w:val="Compact"/>
              <w:jc w:val="left"/>
            </w:pPr>
            <w:r>
              <w:t xml:space="preserve">Fine at current single-user scale; the per-query SQLite subprocess spawn and the O(n squared) squeeze-dot recomputation are real bottlenecks that will show up as scan time grows with universe size or history length.</w:t>
            </w:r>
          </w:p>
        </w:tc>
      </w:tr>
      <w:tr>
        <w:tc>
          <w:p>
            <w:pPr>
              <w:pStyle w:val="Compact"/>
              <w:jc w:val="left"/>
            </w:pPr>
            <w:r>
              <w:t xml:space="preserve">Reliability</w:t>
            </w:r>
          </w:p>
        </w:tc>
        <w:tc>
          <w:p>
            <w:pPr>
              <w:pStyle w:val="Compact"/>
              <w:jc w:val="left"/>
            </w:pPr>
            <w:r>
              <w:t xml:space="preserve">6/10</w:t>
            </w:r>
          </w:p>
        </w:tc>
        <w:tc>
          <w:p>
            <w:pPr>
              <w:pStyle w:val="Compact"/>
              <w:jc w:val="left"/>
            </w:pPr>
            <w:r>
              <w:t xml:space="preserve">No retry/backoff on any external API, a known</w:t>
            </w:r>
            <w:r>
              <w:t xml:space="preserve"> </w:t>
            </w:r>
            <w:r>
              <w:t xml:space="preserve">“</w:t>
            </w:r>
            <w:r>
              <w:t xml:space="preserve">database is locked</w:t>
            </w:r>
            <w:r>
              <w:t xml:space="preserve">”</w:t>
            </w:r>
            <w:r>
              <w:t xml:space="preserve"> </w:t>
            </w:r>
            <w:r>
              <w:t xml:space="preserve">failure mode is suppressed rather than fixed, and the frontend can get stuck in a permanent loading state on a failed scan request.</w:t>
            </w:r>
          </w:p>
        </w:tc>
      </w:tr>
      <w:tr>
        <w:tc>
          <w:p>
            <w:pPr>
              <w:pStyle w:val="Compact"/>
              <w:jc w:val="left"/>
            </w:pPr>
            <w:r>
              <w:t xml:space="preserve">Maintainability</w:t>
            </w:r>
          </w:p>
        </w:tc>
        <w:tc>
          <w:p>
            <w:pPr>
              <w:pStyle w:val="Compact"/>
              <w:jc w:val="left"/>
            </w:pPr>
            <w:r>
              <w:t xml:space="preserve">7/10</w:t>
            </w:r>
          </w:p>
        </w:tc>
        <w:tc>
          <w:p>
            <w:pPr>
              <w:pStyle w:val="Compact"/>
              <w:jc w:val="left"/>
            </w:pPr>
            <w:r>
              <w:t xml:space="preserve">Small files, clear naming, real tests. Docked for the several places where the same rule (entry-zone qualification, grade-from-score, cached-vs-live grade derivation) is implemented twice rather than shared.</w:t>
            </w:r>
          </w:p>
        </w:tc>
      </w:tr>
    </w:tbl>
    <w:p>
      <w:pPr>
        <w:pStyle w:val="Heading1"/>
      </w:pPr>
      <w:bookmarkStart w:id="21" w:name="critical-issues"/>
      <w:r>
        <w:t xml:space="preserve">Critical Issues</w:t>
      </w:r>
      <w:bookmarkEnd w:id="21"/>
    </w:p>
    <w:p>
      <w:pPr>
        <w:pStyle w:val="FirstParagraph"/>
      </w:pPr>
      <w:r>
        <w:t xml:space="preserve">Ranked by potential to produce an incorrect grade, score, or trade recommendation.</w:t>
      </w:r>
    </w:p>
    <w:p>
      <w:pPr>
        <w:pStyle w:val="BodyText"/>
      </w:pPr>
      <w:r>
        <w:rPr>
          <w:b/>
        </w:rPr>
        <w:t xml:space="preserve">1. The</w:t>
      </w:r>
      <w:r>
        <w:rPr>
          <w:b/>
        </w:rPr>
        <w:t xml:space="preserve"> </w:t>
      </w:r>
      <w:r>
        <w:rPr>
          <w:b/>
        </w:rPr>
        <w:t xml:space="preserve">“</w:t>
      </w:r>
      <w:r>
        <w:rPr>
          <w:b/>
        </w:rPr>
        <w:t xml:space="preserve">A grade capped</w:t>
      </w:r>
      <w:r>
        <w:rPr>
          <w:b/>
        </w:rPr>
        <w:t xml:space="preserve">”</w:t>
      </w:r>
      <w:r>
        <w:rPr>
          <w:b/>
        </w:rPr>
        <w:t xml:space="preserve"> </w:t>
      </w:r>
      <w:r>
        <w:rPr>
          <w:b/>
        </w:rPr>
        <w:t xml:space="preserve">message is not backed by any actual cap — a setup missing two of six scoring factors can still be graded A.</w:t>
      </w:r>
      <w:r>
        <w:t xml:space="preserve"> </w:t>
      </w:r>
      <w:r>
        <w:rPr>
          <w:rStyle w:val="VerbatimChar"/>
        </w:rPr>
        <w:t xml:space="preserve">server/scoring.ts</w:t>
      </w:r>
      <w:r>
        <w:t xml:space="preserve">, function</w:t>
      </w:r>
      <w:r>
        <w:t xml:space="preserve"> </w:t>
      </w:r>
      <w:r>
        <w:rPr>
          <w:rStyle w:val="VerbatimChar"/>
        </w:rPr>
        <w:t xml:space="preserve">evaluateSetupScore</w:t>
      </w:r>
      <w:r>
        <w:t xml:space="preserve">. The six setup-score factors are weighted</w:t>
      </w:r>
      <w:r>
        <w:t xml:space="preserve"> </w:t>
      </w:r>
      <w:r>
        <w:rPr>
          <w:rStyle w:val="VerbatimChar"/>
        </w:rPr>
        <w:t xml:space="preserve">{"Daily Structure": 30, "Daily Squeeze Momentum": 25, "Compression Quality": 15, "Relative Strength": 15, "Sector Strength": 10, "Catalyst Safety": 5}</w:t>
      </w:r>
      <w:r>
        <w:t xml:space="preserve"> </w:t>
      </w:r>
      <w:r>
        <w:t xml:space="preserve">(100 points total).</w:t>
      </w:r>
      <w:r>
        <w:t xml:space="preserve"> </w:t>
      </w:r>
      <w:r>
        <w:rPr>
          <w:rStyle w:val="VerbatimChar"/>
        </w:rPr>
        <w:t xml:space="preserve">factorContribution()</w:t>
      </w:r>
      <w:r>
        <w:t xml:space="preserve"> </w:t>
      </w:r>
      <w:r>
        <w:t xml:space="preserve">awards full weight for</w:t>
      </w:r>
      <w:r>
        <w:t xml:space="preserve"> </w:t>
      </w:r>
      <w:r>
        <w:t xml:space="preserve">“</w:t>
      </w:r>
      <w:r>
        <w:t xml:space="preserve">Bullish,</w:t>
      </w:r>
      <w:r>
        <w:t xml:space="preserve">”</w:t>
      </w:r>
      <w:r>
        <w:t xml:space="preserve"> </w:t>
      </w:r>
      <w:r>
        <w:t xml:space="preserve">half weight for</w:t>
      </w:r>
      <w:r>
        <w:t xml:space="preserve"> </w:t>
      </w:r>
      <w:r>
        <w:t xml:space="preserve">“</w:t>
      </w:r>
      <w:r>
        <w:t xml:space="preserve">Neutral</w:t>
      </w:r>
      <w:r>
        <w:t xml:space="preserve">”</w:t>
      </w:r>
      <w:r>
        <w:t xml:space="preserve"> </w:t>
      </w:r>
      <w:r>
        <w:t xml:space="preserve">and for</w:t>
      </w:r>
      <w:r>
        <w:t xml:space="preserve"> </w:t>
      </w:r>
      <w:r>
        <w:t xml:space="preserve">“</w:t>
      </w:r>
      <w:r>
        <w:t xml:space="preserve">Insufficient Data</w:t>
      </w:r>
      <w:r>
        <w:t xml:space="preserve">”</w:t>
      </w:r>
      <w:r>
        <w:t xml:space="preserve"> </w:t>
      </w:r>
      <w:r>
        <w:t xml:space="preserve">alike, and zero for</w:t>
      </w:r>
      <w:r>
        <w:t xml:space="preserve"> </w:t>
      </w:r>
      <w:r>
        <w:t xml:space="preserve">“</w:t>
      </w:r>
      <w:r>
        <w:t xml:space="preserve">Bearish.</w:t>
      </w:r>
      <w:r>
        <w:t xml:space="preserve">”</w:t>
      </w:r>
      <w:r>
        <w:t xml:space="preserve"> </w:t>
      </w:r>
      <w:r>
        <w:t xml:space="preserve">Separately,</w:t>
      </w:r>
      <w:r>
        <w:t xml:space="preserve"> </w:t>
      </w:r>
      <w:r>
        <w:rPr>
          <w:rStyle w:val="VerbatimChar"/>
        </w:rPr>
        <w:t xml:space="preserve">evaluateSetupScore</w:t>
      </w:r>
      <w:r>
        <w:t xml:space="preserve"> </w:t>
      </w:r>
      <w:r>
        <w:t xml:space="preserve">computes</w:t>
      </w:r>
      <w:r>
        <w:t xml:space="preserve"> </w:t>
      </w:r>
      <w:r>
        <w:rPr>
          <w:rStyle w:val="VerbatimChar"/>
        </w:rPr>
        <w:t xml:space="preserve">capA = scored.some(item =&gt; (item.name === "Sector Strength" || item.name === "Catalyst Safety") &amp;&amp; item.status === "Insufficient Data")</w:t>
      </w:r>
      <w:r>
        <w:t xml:space="preserve"> </w:t>
      </w:r>
      <w:r>
        <w:t xml:space="preserve">and returns it on the result object — but</w:t>
      </w:r>
      <w:r>
        <w:t xml:space="preserve"> </w:t>
      </w:r>
      <w:r>
        <w:rPr>
          <w:rStyle w:val="VerbatimChar"/>
        </w:rPr>
        <w:t xml:space="preserve">capA</w:t>
      </w:r>
      <w:r>
        <w:t xml:space="preserve"> </w:t>
      </w:r>
      <w:r>
        <w:t xml:space="preserve">is never read anywhere else in the file, never returned from</w:t>
      </w:r>
      <w:r>
        <w:t xml:space="preserve"> </w:t>
      </w:r>
      <w:r>
        <w:rPr>
          <w:rStyle w:val="VerbatimChar"/>
        </w:rPr>
        <w:t xml:space="preserve">gradeSetup</w:t>
      </w:r>
      <w:r>
        <w:t xml:space="preserve">, and never used to touch</w:t>
      </w:r>
      <w:r>
        <w:t xml:space="preserve"> </w:t>
      </w:r>
      <w:r>
        <w:rPr>
          <w:rStyle w:val="VerbatimChar"/>
        </w:rPr>
        <w:t xml:space="preserve">grade</w:t>
      </w:r>
      <w:r>
        <w:t xml:space="preserve">. The letter grade is computed purely as</w:t>
      </w:r>
      <w:r>
        <w:t xml:space="preserve"> </w:t>
      </w:r>
      <w:r>
        <w:rPr>
          <w:rStyle w:val="VerbatimChar"/>
        </w:rPr>
        <w:t xml:space="preserve">score &gt;= 90 ? "A" : score &gt;= 70 ? "B" : "C"</w:t>
      </w:r>
      <w:r>
        <w:t xml:space="preserve"> </w:t>
      </w:r>
      <w:r>
        <w:t xml:space="preserve">before</w:t>
      </w:r>
      <w:r>
        <w:t xml:space="preserve"> </w:t>
      </w:r>
      <w:r>
        <w:rPr>
          <w:rStyle w:val="VerbatimChar"/>
        </w:rPr>
        <w:t xml:space="preserve">capA</w:t>
      </w:r>
      <w:r>
        <w:t xml:space="preserve"> </w:t>
      </w:r>
      <w:r>
        <w:t xml:space="preserve">is even computed. Meanwhile, the factor detail strings shown to the user explicitly say</w:t>
      </w:r>
      <w:r>
        <w:t xml:space="preserve"> </w:t>
      </w:r>
      <w:r>
        <w:t xml:space="preserve">“</w:t>
      </w:r>
      <w:r>
        <w:t xml:space="preserve">Sector unavailable; A grade capped.</w:t>
      </w:r>
      <w:r>
        <w:t xml:space="preserve">”</w:t>
      </w:r>
      <w:r>
        <w:t xml:space="preserve"> </w:t>
      </w:r>
      <w:r>
        <w:t xml:space="preserve">and</w:t>
      </w:r>
      <w:r>
        <w:t xml:space="preserve"> </w:t>
      </w:r>
      <w:r>
        <w:t xml:space="preserve">“</w:t>
      </w:r>
      <w:r>
        <w:t xml:space="preserve">Next earnings date unavailable; A grade capped.</w:t>
      </w:r>
      <w:r>
        <w:t xml:space="preserve">”</w:t>
      </w:r>
      <w:r>
        <w:t xml:space="preserve"> </w:t>
      </w:r>
      <w:r>
        <w:t xml:space="preserve">— text that promises a behavior the code doesn’t implement. Concretely: Daily Structure(30) + Daily Squeeze Momentum(25) + Compression Quality(15) + Relative Strength(15) = 85 if all four are Bullish; add Sector Strength at half-credit (5) and Catalyst Safety at half-credit (2.5) for a total of 92.5 — an</w:t>
      </w:r>
      <w:r>
        <w:t xml:space="preserve"> </w:t>
      </w:r>
      <w:r>
        <w:t xml:space="preserve">“</w:t>
      </w:r>
      <w:r>
        <w:t xml:space="preserve">A</w:t>
      </w:r>
      <w:r>
        <w:t xml:space="preserve">”</w:t>
      </w:r>
      <w:r>
        <w:t xml:space="preserve"> </w:t>
      </w:r>
      <w:r>
        <w:t xml:space="preserve">— while both factor cards tell the user the grade is capped below A. This is the clearest instance found of code and UI disagreeing about what the grade means.</w:t>
      </w:r>
      <w:r>
        <w:t xml:space="preserve"> </w:t>
      </w:r>
      <w:r>
        <w:rPr>
          <w:i/>
        </w:rPr>
        <w:t xml:space="preserve">Fix:</w:t>
      </w:r>
      <w:r>
        <w:t xml:space="preserve"> </w:t>
      </w:r>
      <w:r>
        <w:t xml:space="preserve">either enforce the cap (subtract the missing weight entirely, or hard-clamp grade to</w:t>
      </w:r>
      <w:r>
        <w:t xml:space="preserve"> </w:t>
      </w:r>
      <w:r>
        <w:t xml:space="preserve">“</w:t>
      </w:r>
      <w:r>
        <w:t xml:space="preserve">B</w:t>
      </w:r>
      <w:r>
        <w:t xml:space="preserve">”</w:t>
      </w:r>
      <w:r>
        <w:t xml:space="preserve"> </w:t>
      </w:r>
      <w:r>
        <w:t xml:space="preserve">when</w:t>
      </w:r>
      <w:r>
        <w:t xml:space="preserve"> </w:t>
      </w:r>
      <w:r>
        <w:rPr>
          <w:rStyle w:val="VerbatimChar"/>
        </w:rPr>
        <w:t xml:space="preserve">capA</w:t>
      </w:r>
      <w:r>
        <w:t xml:space="preserve"> </w:t>
      </w:r>
      <w:r>
        <w:t xml:space="preserve">is true) or remove the</w:t>
      </w:r>
      <w:r>
        <w:t xml:space="preserve"> </w:t>
      </w:r>
      <w:r>
        <w:t xml:space="preserve">“</w:t>
      </w:r>
      <w:r>
        <w:t xml:space="preserve">A grade capped</w:t>
      </w:r>
      <w:r>
        <w:t xml:space="preserve">”</w:t>
      </w:r>
      <w:r>
        <w:t xml:space="preserve"> </w:t>
      </w:r>
      <w:r>
        <w:t xml:space="preserve">language and let the half-credit design stand on its own.</w:t>
      </w:r>
    </w:p>
    <w:p>
      <w:pPr>
        <w:pStyle w:val="BodyText"/>
      </w:pPr>
      <w:r>
        <w:rPr>
          <w:b/>
        </w:rPr>
        <w:t xml:space="preserve">2. Scanner’s candle-sufficiency check (50) and the indicator engine’s real requirement (90) disagree, wasting API calls and hiding the true skip reason.</w:t>
      </w:r>
      <w:r>
        <w:t xml:space="preserve"> </w:t>
      </w:r>
      <w:r>
        <w:rPr>
          <w:rStyle w:val="VerbatimChar"/>
        </w:rPr>
        <w:t xml:space="preserve">server/scanner.ts</w:t>
      </w:r>
      <w:r>
        <w:t xml:space="preserve"> </w:t>
      </w:r>
      <w:r>
        <w:t xml:space="preserve">(</w:t>
      </w:r>
      <w:r>
        <w:rPr>
          <w:rStyle w:val="VerbatimChar"/>
        </w:rPr>
        <w:t xml:space="preserve">scanSymbol</w:t>
      </w:r>
      <w:r>
        <w:t xml:space="preserve">) treats</w:t>
      </w:r>
      <w:r>
        <w:t xml:space="preserve"> </w:t>
      </w:r>
      <w:r>
        <w:rPr>
          <w:rStyle w:val="VerbatimChar"/>
        </w:rPr>
        <w:t xml:space="preserve">candles.length &gt;= 50</w:t>
      </w:r>
      <w:r>
        <w:t xml:space="preserve"> </w:t>
      </w:r>
      <w:r>
        <w:t xml:space="preserve">as sufficient to mark a symbol’s history as live Schwab data and proceeds — including spending a real Schwab options-chain API call — while</w:t>
      </w:r>
      <w:r>
        <w:t xml:space="preserve"> </w:t>
      </w:r>
      <w:r>
        <w:rPr>
          <w:rStyle w:val="VerbatimChar"/>
        </w:rPr>
        <w:t xml:space="preserve">server/indicators.ts</w:t>
      </w:r>
      <w:r>
        <w:t xml:space="preserve"> </w:t>
      </w:r>
      <w:r>
        <w:t xml:space="preserve">(</w:t>
      </w:r>
      <w:r>
        <w:rPr>
          <w:rStyle w:val="VerbatimChar"/>
        </w:rPr>
        <w:t xml:space="preserve">latestIndicators</w:t>
      </w:r>
      <w:r>
        <w:t xml:space="preserve">) hard-requires</w:t>
      </w:r>
      <w:r>
        <w:t xml:space="preserve"> </w:t>
      </w:r>
      <w:r>
        <w:rPr>
          <w:rStyle w:val="VerbatimChar"/>
        </w:rPr>
        <w:t xml:space="preserve">candles.length &gt;= 90</w:t>
      </w:r>
      <w:r>
        <w:t xml:space="preserve"> </w:t>
      </w:r>
      <w:r>
        <w:t xml:space="preserve">and throws</w:t>
      </w:r>
      <w:r>
        <w:t xml:space="preserve"> </w:t>
      </w:r>
      <w:r>
        <w:t xml:space="preserve">“</w:t>
      </w:r>
      <w:r>
        <w:t xml:space="preserve">At least 90 candles are required to calculate the compression setup.</w:t>
      </w:r>
      <w:r>
        <w:t xml:space="preserve">”</w:t>
      </w:r>
      <w:r>
        <w:t xml:space="preserve"> </w:t>
      </w:r>
      <w:r>
        <w:t xml:space="preserve">A symbol with 50-89 real daily candles (plausible for any recently-added index constituent) passes scanner.ts’s gate, triggers the options-chain fetch, and then throws inside</w:t>
      </w:r>
      <w:r>
        <w:t xml:space="preserve"> </w:t>
      </w:r>
      <w:r>
        <w:rPr>
          <w:rStyle w:val="VerbatimChar"/>
        </w:rPr>
        <w:t xml:space="preserve">gradeSetup</w:t>
      </w:r>
      <w:r>
        <w:t xml:space="preserve">. The catch block’s recovery logic does</w:t>
      </w:r>
      <w:r>
        <w:t xml:space="preserve"> </w:t>
      </w:r>
      <w:r>
        <w:rPr>
          <w:rStyle w:val="VerbatimChar"/>
        </w:rPr>
        <w:t xml:space="preserve">skipReason: message.includes("Not enough candle history") ? "candleHistory" : "other"</w:t>
      </w:r>
      <w:r>
        <w:t xml:space="preserve"> </w:t>
      </w:r>
      <w:r>
        <w:t xml:space="preserve">— but that substring doesn’t match indicators.ts’s actual message, so the skip silently lands in the generic</w:t>
      </w:r>
      <w:r>
        <w:t xml:space="preserve"> </w:t>
      </w:r>
      <w:r>
        <w:t xml:space="preserve">“</w:t>
      </w:r>
      <w:r>
        <w:t xml:space="preserve">other</w:t>
      </w:r>
      <w:r>
        <w:t xml:space="preserve">”</w:t>
      </w:r>
      <w:r>
        <w:t xml:space="preserve"> </w:t>
      </w:r>
      <w:r>
        <w:t xml:space="preserve">diagnostic bucket instead of</w:t>
      </w:r>
      <w:r>
        <w:t xml:space="preserve"> </w:t>
      </w:r>
      <w:r>
        <w:t xml:space="preserve">“</w:t>
      </w:r>
      <w:r>
        <w:t xml:space="preserve">candleHistory.</w:t>
      </w:r>
      <w:r>
        <w:t xml:space="preserve">”</w:t>
      </w:r>
      <w:r>
        <w:t xml:space="preserve"> </w:t>
      </w:r>
      <w:r>
        <w:t xml:space="preserve">Net effect: wasted API budget on a symbol that was always going to fail, plus scan diagnostics that under-report true candle-history skips.</w:t>
      </w:r>
      <w:r>
        <w:t xml:space="preserve"> </w:t>
      </w:r>
      <w:r>
        <w:rPr>
          <w:i/>
        </w:rPr>
        <w:t xml:space="preserve">Fix:</w:t>
      </w:r>
      <w:r>
        <w:t xml:space="preserve"> </w:t>
      </w:r>
      <w:r>
        <w:t xml:space="preserve">raise scanner.ts’s threshold to 90 (or import a shared minimum-candles constant from indicators.ts) and check it before spending the options-chain call.</w:t>
      </w:r>
    </w:p>
    <w:p>
      <w:pPr>
        <w:pStyle w:val="BodyText"/>
      </w:pPr>
      <w:r>
        <w:rPr>
          <w:b/>
        </w:rPr>
        <w:t xml:space="preserve">3.</w:t>
      </w:r>
      <w:r>
        <w:rPr>
          <w:b/>
        </w:rPr>
        <w:t xml:space="preserve"> </w:t>
      </w:r>
      <w:r>
        <w:rPr>
          <w:b/>
        </w:rPr>
        <w:t xml:space="preserve">“</w:t>
      </w:r>
      <w:r>
        <w:rPr>
          <w:b/>
        </w:rPr>
        <w:t xml:space="preserve">database is locked</w:t>
      </w:r>
      <w:r>
        <w:rPr>
          <w:b/>
        </w:rPr>
        <w:t xml:space="preserve">”</w:t>
      </w:r>
      <w:r>
        <w:rPr>
          <w:b/>
        </w:rPr>
        <w:t xml:space="preserve"> </w:t>
      </w:r>
      <w:r>
        <w:rPr>
          <w:b/>
        </w:rPr>
        <w:t xml:space="preserve">errors are suppressed from users rather than retried or fixed.</w:t>
      </w:r>
      <w:r>
        <w:t xml:space="preserve"> </w:t>
      </w:r>
      <w:r>
        <w:rPr>
          <w:rStyle w:val="VerbatimChar"/>
        </w:rPr>
        <w:t xml:space="preserve">server/sqlite.ts</w:t>
      </w:r>
      <w:r>
        <w:t xml:space="preserve"> </w:t>
      </w:r>
      <w:r>
        <w:t xml:space="preserve">runs the</w:t>
      </w:r>
      <w:r>
        <w:t xml:space="preserve"> </w:t>
      </w:r>
      <w:r>
        <w:rPr>
          <w:rStyle w:val="VerbatimChar"/>
        </w:rPr>
        <w:t xml:space="preserve">sqlite3</w:t>
      </w:r>
      <w:r>
        <w:t xml:space="preserve"> </w:t>
      </w:r>
      <w:r>
        <w:t xml:space="preserve">CLI via</w:t>
      </w:r>
      <w:r>
        <w:t xml:space="preserve"> </w:t>
      </w:r>
      <w:r>
        <w:rPr>
          <w:rStyle w:val="VerbatimChar"/>
        </w:rPr>
        <w:t xml:space="preserve">execFileSync</w:t>
      </w:r>
      <w:r>
        <w:t xml:space="preserve"> </w:t>
      </w:r>
      <w:r>
        <w:t xml:space="preserve">for every single read and write when not using Postgres.</w:t>
      </w:r>
      <w:r>
        <w:t xml:space="preserve"> </w:t>
      </w:r>
      <w:r>
        <w:rPr>
          <w:rStyle w:val="VerbatimChar"/>
        </w:rPr>
        <w:t xml:space="preserve">server/scanner.ts</w:t>
      </w:r>
      <w:r>
        <w:t xml:space="preserve">’s</w:t>
      </w:r>
      <w:r>
        <w:t xml:space="preserve"> </w:t>
      </w:r>
      <w:r>
        <w:rPr>
          <w:rStyle w:val="VerbatimChar"/>
        </w:rPr>
        <w:t xml:space="preserve">shouldShowWarning()</w:t>
      </w:r>
      <w:r>
        <w:t xml:space="preserve"> </w:t>
      </w:r>
      <w:r>
        <w:t xml:space="preserve">explicitly filters any warning containing</w:t>
      </w:r>
      <w:r>
        <w:t xml:space="preserve"> </w:t>
      </w:r>
      <w:r>
        <w:t xml:space="preserve">“</w:t>
      </w:r>
      <w:r>
        <w:t xml:space="preserve">database is locked</w:t>
      </w:r>
      <w:r>
        <w:t xml:space="preserve">”</w:t>
      </w:r>
      <w:r>
        <w:t xml:space="preserve">,</w:t>
      </w:r>
      <w:r>
        <w:t xml:space="preserve"> </w:t>
      </w:r>
      <w:r>
        <w:t xml:space="preserve">“</w:t>
      </w:r>
      <w:r>
        <w:t xml:space="preserve">screener.sqlite</w:t>
      </w:r>
      <w:r>
        <w:t xml:space="preserve">”</w:t>
      </w:r>
      <w:r>
        <w:t xml:space="preserve">, or</w:t>
      </w:r>
      <w:r>
        <w:t xml:space="preserve"> </w:t>
      </w:r>
      <w:r>
        <w:t xml:space="preserve">“</w:t>
      </w:r>
      <w:r>
        <w:t xml:space="preserve">Command failed: sqlite3</w:t>
      </w:r>
      <w:r>
        <w:t xml:space="preserve">”</w:t>
      </w:r>
      <w:r>
        <w:t xml:space="preserve"> </w:t>
      </w:r>
      <w:r>
        <w:t xml:space="preserve">out of what’s shown to the user — strong evidence this failure has actually been observed in practice. A locked-database failure during</w:t>
      </w:r>
      <w:r>
        <w:t xml:space="preserve"> </w:t>
      </w:r>
      <w:r>
        <w:rPr>
          <w:rStyle w:val="VerbatimChar"/>
        </w:rPr>
        <w:t xml:space="preserve">replaceScanResults</w:t>
      </w:r>
      <w:r>
        <w:t xml:space="preserve"> </w:t>
      </w:r>
      <w:r>
        <w:t xml:space="preserve">or a settings write is swallowed with no retry, no visible warning, and no indication that the cached results or settings the user is looking at might be stale or partially written.</w:t>
      </w:r>
      <w:r>
        <w:t xml:space="preserve"> </w:t>
      </w:r>
      <w:r>
        <w:rPr>
          <w:i/>
        </w:rPr>
        <w:t xml:space="preserve">Fix:</w:t>
      </w:r>
      <w:r>
        <w:t xml:space="preserve"> </w:t>
      </w:r>
      <w:r>
        <w:t xml:space="preserve">move off the per-query CLI shell-out (see Performance) and/or add retry-with-backoff around SQLite writes; if a write ultimately fails, surface it rather than filtering it out.</w:t>
      </w:r>
    </w:p>
    <w:p>
      <w:pPr>
        <w:pStyle w:val="BodyText"/>
      </w:pPr>
      <w:r>
        <w:rPr>
          <w:b/>
        </w:rPr>
        <w:t xml:space="preserve">4. Live scans can silently substitute hardcoded demo data for missing fundamentals, with no visible flag.</w:t>
      </w:r>
      <w:r>
        <w:t xml:space="preserve"> </w:t>
      </w:r>
      <w:r>
        <w:rPr>
          <w:rStyle w:val="VerbatimChar"/>
        </w:rPr>
        <w:t xml:space="preserve">mergeFundamentals()</w:t>
      </w:r>
      <w:r>
        <w:t xml:space="preserve"> </w:t>
      </w:r>
      <w:r>
        <w:t xml:space="preserve">in</w:t>
      </w:r>
      <w:r>
        <w:t xml:space="preserve"> </w:t>
      </w:r>
      <w:r>
        <w:rPr>
          <w:rStyle w:val="VerbatimChar"/>
        </w:rPr>
        <w:t xml:space="preserve">server/scanner.ts</w:t>
      </w:r>
      <w:r>
        <w:t xml:space="preserve"> </w:t>
      </w:r>
      <w:r>
        <w:t xml:space="preserve">cascades schwab, then fmp, then demo for</w:t>
      </w:r>
      <w:r>
        <w:t xml:space="preserve"> </w:t>
      </w:r>
      <w:r>
        <w:rPr>
          <w:rStyle w:val="VerbatimChar"/>
        </w:rPr>
        <w:t xml:space="preserve">beta</w:t>
      </w:r>
      <w:r>
        <w:t xml:space="preserve">,</w:t>
      </w:r>
      <w:r>
        <w:t xml:space="preserve"> </w:t>
      </w:r>
      <w:r>
        <w:rPr>
          <w:rStyle w:val="VerbatimChar"/>
        </w:rPr>
        <w:t xml:space="preserve">marketCap</w:t>
      </w:r>
      <w:r>
        <w:t xml:space="preserve">,</w:t>
      </w:r>
      <w:r>
        <w:t xml:space="preserve"> </w:t>
      </w:r>
      <w:r>
        <w:rPr>
          <w:rStyle w:val="VerbatimChar"/>
        </w:rPr>
        <w:t xml:space="preserve">lastEarningsDate</w:t>
      </w:r>
      <w:r>
        <w:t xml:space="preserve">,</w:t>
      </w:r>
      <w:r>
        <w:t xml:space="preserve"> </w:t>
      </w:r>
      <w:r>
        <w:rPr>
          <w:rStyle w:val="VerbatimChar"/>
        </w:rPr>
        <w:t xml:space="preserve">nextEarningsDate</w:t>
      </w:r>
      <w:r>
        <w:t xml:space="preserve">, and</w:t>
      </w:r>
      <w:r>
        <w:t xml:space="preserve"> </w:t>
      </w:r>
      <w:r>
        <w:rPr>
          <w:rStyle w:val="VerbatimChar"/>
        </w:rPr>
        <w:t xml:space="preserve">sector</w:t>
      </w:r>
      <w:r>
        <w:t xml:space="preserve">. The demo tier pulls from</w:t>
      </w:r>
      <w:r>
        <w:t xml:space="preserve"> </w:t>
      </w:r>
      <w:r>
        <w:rPr>
          <w:rStyle w:val="VerbatimChar"/>
        </w:rPr>
        <w:t xml:space="preserve">server/demoData.ts</w:t>
      </w:r>
      <w:r>
        <w:t xml:space="preserve">’s hardcoded, point-in-time mock values for eight mega-cap symbols (AAPL, MSFT, NVDA, META, AMD, AMZN, GOOGL, TSLA). If both Schwab and FMP fail to report one of these fields for one of those eight symbols, the scan silently uses the static mock number — a market cap or beta frozen at whatever value was hand-written into the source file — while the result can still be labeled a</w:t>
      </w:r>
      <w:r>
        <w:t xml:space="preserve"> </w:t>
      </w:r>
      <w:r>
        <w:t xml:space="preserve">“</w:t>
      </w:r>
      <w:r>
        <w:t xml:space="preserve">live</w:t>
      </w:r>
      <w:r>
        <w:t xml:space="preserve">”</w:t>
      </w:r>
      <w:r>
        <w:t xml:space="preserve"> </w:t>
      </w:r>
      <w:r>
        <w:t xml:space="preserve">or</w:t>
      </w:r>
      <w:r>
        <w:t xml:space="preserve"> </w:t>
      </w:r>
      <w:r>
        <w:t xml:space="preserve">“</w:t>
      </w:r>
      <w:r>
        <w:t xml:space="preserve">mixed</w:t>
      </w:r>
      <w:r>
        <w:t xml:space="preserve">”</w:t>
      </w:r>
      <w:r>
        <w:t xml:space="preserve"> </w:t>
      </w:r>
      <w:r>
        <w:t xml:space="preserve">scan.</w:t>
      </w:r>
      <w:r>
        <w:t xml:space="preserve"> </w:t>
      </w:r>
      <w:r>
        <w:rPr>
          <w:rStyle w:val="VerbatimChar"/>
        </w:rPr>
        <w:t xml:space="preserve">server/schwab.ts</w:t>
      </w:r>
      <w:r>
        <w:t xml:space="preserve"> </w:t>
      </w:r>
      <w:r>
        <w:t xml:space="preserve">has a</w:t>
      </w:r>
      <w:r>
        <w:t xml:space="preserve"> </w:t>
      </w:r>
      <w:r>
        <w:rPr>
          <w:rStyle w:val="VerbatimChar"/>
        </w:rPr>
        <w:t xml:space="preserve">sourceNotes()</w:t>
      </w:r>
      <w:r>
        <w:t xml:space="preserve"> </w:t>
      </w:r>
      <w:r>
        <w:t xml:space="preserve">helper that flags FMP-sourced fields for the single-symbol fundamentals page, but there is no equivalent flag for</w:t>
      </w:r>
      <w:r>
        <w:t xml:space="preserve"> </w:t>
      </w:r>
      <w:r>
        <w:t xml:space="preserve">“</w:t>
      </w:r>
      <w:r>
        <w:t xml:space="preserve">demo</w:t>
      </w:r>
      <w:r>
        <w:t xml:space="preserve">”</w:t>
      </w:r>
      <w:r>
        <w:t xml:space="preserve">-sourced fields anywhere in the main scan pipeline, and</w:t>
      </w:r>
      <w:r>
        <w:t xml:space="preserve"> </w:t>
      </w:r>
      <w:r>
        <w:rPr>
          <w:rStyle w:val="VerbatimChar"/>
        </w:rPr>
        <w:t xml:space="preserve">src/main.tsx</w:t>
      </w:r>
      <w:r>
        <w:t xml:space="preserve"> </w:t>
      </w:r>
      <w:r>
        <w:t xml:space="preserve">never surfaces</w:t>
      </w:r>
      <w:r>
        <w:t xml:space="preserve"> </w:t>
      </w:r>
      <w:r>
        <w:rPr>
          <w:rStyle w:val="VerbatimChar"/>
        </w:rPr>
        <w:t xml:space="preserve">fundamentalSources</w:t>
      </w:r>
      <w:r>
        <w:t xml:space="preserve"> </w:t>
      </w:r>
      <w:r>
        <w:t xml:space="preserve">provenance in the UI. The blast radius is small (8 large, well-covered symbols, and both providers would have to fail simultaneously on the same field), but when it happens it is invisible.</w:t>
      </w:r>
      <w:r>
        <w:t xml:space="preserve"> </w:t>
      </w:r>
      <w:r>
        <w:rPr>
          <w:i/>
        </w:rPr>
        <w:t xml:space="preserve">Fix:</w:t>
      </w:r>
      <w:r>
        <w:t xml:space="preserve"> </w:t>
      </w:r>
      <w:r>
        <w:t xml:space="preserve">either stop demo data from blending into non-demo scans entirely, or tag any demo-sourced field distinctly (e.g., a</w:t>
      </w:r>
      <w:r>
        <w:t xml:space="preserve"> </w:t>
      </w:r>
      <w:r>
        <w:t xml:space="preserve">“</w:t>
      </w:r>
      <w:r>
        <w:t xml:space="preserve">mock</w:t>
      </w:r>
      <w:r>
        <w:t xml:space="preserve">”</w:t>
      </w:r>
      <w:r>
        <w:t xml:space="preserve"> </w:t>
      </w:r>
      <w:r>
        <w:t xml:space="preserve">badge) and propagate it to the UI the way FMP-fallback provenance already is.</w:t>
      </w:r>
    </w:p>
    <w:p>
      <w:pPr>
        <w:pStyle w:val="BodyText"/>
      </w:pPr>
      <w:r>
        <w:rPr>
          <w:b/>
        </w:rPr>
        <w:t xml:space="preserve">5. Negative EPS and P/E ratios are silently reported as</w:t>
      </w:r>
      <w:r>
        <w:rPr>
          <w:b/>
        </w:rPr>
        <w:t xml:space="preserve"> </w:t>
      </w:r>
      <w:r>
        <w:rPr>
          <w:b/>
        </w:rPr>
        <w:t xml:space="preserve">“</w:t>
      </w:r>
      <w:r>
        <w:rPr>
          <w:b/>
        </w:rPr>
        <w:t xml:space="preserve">unavailable</w:t>
      </w:r>
      <w:r>
        <w:rPr>
          <w:b/>
        </w:rPr>
        <w:t xml:space="preserve">”</w:t>
      </w:r>
      <w:r>
        <w:rPr>
          <w:b/>
        </w:rPr>
        <w:t xml:space="preserve"> </w:t>
      </w:r>
      <w:r>
        <w:rPr>
          <w:b/>
        </w:rPr>
        <w:t xml:space="preserve">instead of the true (negative) value.</w:t>
      </w:r>
      <w:r>
        <w:t xml:space="preserve"> </w:t>
      </w:r>
      <w:r>
        <w:rPr>
          <w:rStyle w:val="VerbatimChar"/>
        </w:rPr>
        <w:t xml:space="preserve">server/schwab.ts</w:t>
      </w:r>
      <w:r>
        <w:t xml:space="preserve">’s</w:t>
      </w:r>
      <w:r>
        <w:t xml:space="preserve"> </w:t>
      </w:r>
      <w:r>
        <w:rPr>
          <w:rStyle w:val="VerbatimChar"/>
        </w:rPr>
        <w:t xml:space="preserve">firstNumber()</w:t>
      </w:r>
      <w:r>
        <w:t xml:space="preserve"> </w:t>
      </w:r>
      <w:r>
        <w:t xml:space="preserve">— used for</w:t>
      </w:r>
      <w:r>
        <w:t xml:space="preserve"> </w:t>
      </w:r>
      <w:r>
        <w:rPr>
          <w:rStyle w:val="VerbatimChar"/>
        </w:rPr>
        <w:t xml:space="preserve">eps</w:t>
      </w:r>
      <w:r>
        <w:t xml:space="preserve">,</w:t>
      </w:r>
      <w:r>
        <w:t xml:space="preserve"> </w:t>
      </w:r>
      <w:r>
        <w:rPr>
          <w:rStyle w:val="VerbatimChar"/>
        </w:rPr>
        <w:t xml:space="preserve">peRatio</w:t>
      </w:r>
      <w:r>
        <w:t xml:space="preserve">, and</w:t>
      </w:r>
      <w:r>
        <w:t xml:space="preserve"> </w:t>
      </w:r>
      <w:r>
        <w:rPr>
          <w:rStyle w:val="VerbatimChar"/>
        </w:rPr>
        <w:t xml:space="preserve">beta</w:t>
      </w:r>
      <w:r>
        <w:t xml:space="preserve"> </w:t>
      </w:r>
      <w:r>
        <w:t xml:space="preserve">— requires the parsed value to be greater than zero, discarding zero and negative numbers. Any stock with negative trailing EPS (common among growth and biotech names in the S&amp;P 500/Nasdaq 100) will show</w:t>
      </w:r>
      <w:r>
        <w:t xml:space="preserve"> </w:t>
      </w:r>
      <w:r>
        <w:t xml:space="preserve">“</w:t>
      </w:r>
      <w:r>
        <w:t xml:space="preserve">unavailable</w:t>
      </w:r>
      <w:r>
        <w:t xml:space="preserve">”</w:t>
      </w:r>
      <w:r>
        <w:t xml:space="preserve"> </w:t>
      </w:r>
      <w:r>
        <w:t xml:space="preserve">for EPS and P/E rather than the true negative figure, masking an important fact (the company is currently unprofitable) as a data gap rather than a real, informative negative number. The same filter drops legitimate negative beta (inverse ETFs).</w:t>
      </w:r>
      <w:r>
        <w:t xml:space="preserve"> </w:t>
      </w:r>
      <w:r>
        <w:rPr>
          <w:rStyle w:val="VerbatimChar"/>
        </w:rPr>
        <w:t xml:space="preserve">server/fmp.ts</w:t>
      </w:r>
      <w:r>
        <w:t xml:space="preserve">’s equivalent</w:t>
      </w:r>
      <w:r>
        <w:t xml:space="preserve"> </w:t>
      </w:r>
      <w:r>
        <w:rPr>
          <w:rStyle w:val="VerbatimChar"/>
        </w:rPr>
        <w:t xml:space="preserve">numberValue()</w:t>
      </w:r>
      <w:r>
        <w:t xml:space="preserve"> </w:t>
      </w:r>
      <w:r>
        <w:t xml:space="preserve">correctly accepts negative numbers, so the FMP fallback path (when configured and within budget) can mask this bug for symbols it happens to cover — but Schwab is the primary source and is used first whenever it returns a number at all.</w:t>
      </w:r>
      <w:r>
        <w:t xml:space="preserve"> </w:t>
      </w:r>
      <w:r>
        <w:rPr>
          <w:i/>
        </w:rPr>
        <w:t xml:space="preserve">Fix:</w:t>
      </w:r>
      <w:r>
        <w:t xml:space="preserve"> </w:t>
      </w:r>
      <w:r>
        <w:t xml:space="preserve">change</w:t>
      </w:r>
      <w:r>
        <w:t xml:space="preserve"> </w:t>
      </w:r>
      <w:r>
        <w:rPr>
          <w:rStyle w:val="VerbatimChar"/>
        </w:rPr>
        <w:t xml:space="preserve">firstNumber</w:t>
      </w:r>
      <w:r>
        <w:t xml:space="preserve"> </w:t>
      </w:r>
      <w:r>
        <w:t xml:space="preserve">to accept any finite number for</w:t>
      </w:r>
      <w:r>
        <w:t xml:space="preserve"> </w:t>
      </w:r>
      <w:r>
        <w:rPr>
          <w:rStyle w:val="VerbatimChar"/>
        </w:rPr>
        <w:t xml:space="preserve">eps</w:t>
      </w:r>
      <w:r>
        <w:t xml:space="preserve">,</w:t>
      </w:r>
      <w:r>
        <w:t xml:space="preserve"> </w:t>
      </w:r>
      <w:r>
        <w:rPr>
          <w:rStyle w:val="VerbatimChar"/>
        </w:rPr>
        <w:t xml:space="preserve">peRatio</w:t>
      </w:r>
      <w:r>
        <w:t xml:space="preserve">, and</w:t>
      </w:r>
      <w:r>
        <w:t xml:space="preserve"> </w:t>
      </w:r>
      <w:r>
        <w:rPr>
          <w:rStyle w:val="VerbatimChar"/>
        </w:rPr>
        <w:t xml:space="preserve">beta</w:t>
      </w:r>
      <w:r>
        <w:t xml:space="preserve">, keeping the positive-only requirement only where zero/negative genuinely doesn’t make sense (price, volume).</w:t>
      </w:r>
    </w:p>
    <w:p>
      <w:pPr>
        <w:pStyle w:val="BodyText"/>
      </w:pPr>
      <w:r>
        <w:rPr>
          <w:b/>
        </w:rPr>
        <w:t xml:space="preserve">6. Conflicting fundamental signals collapse to</w:t>
      </w:r>
      <w:r>
        <w:rPr>
          <w:b/>
        </w:rPr>
        <w:t xml:space="preserve"> </w:t>
      </w:r>
      <w:r>
        <w:rPr>
          <w:b/>
        </w:rPr>
        <w:t xml:space="preserve">“</w:t>
      </w:r>
      <w:r>
        <w:rPr>
          <w:b/>
        </w:rPr>
        <w:t xml:space="preserve">Bullish</w:t>
      </w:r>
      <w:r>
        <w:rPr>
          <w:b/>
        </w:rPr>
        <w:t xml:space="preserve">”</w:t>
      </w:r>
      <w:r>
        <w:rPr>
          <w:b/>
        </w:rPr>
        <w:t xml:space="preserve"> </w:t>
      </w:r>
      <w:r>
        <w:rPr>
          <w:b/>
        </w:rPr>
        <w:t xml:space="preserve">instead of</w:t>
      </w:r>
      <w:r>
        <w:rPr>
          <w:b/>
        </w:rPr>
        <w:t xml:space="preserve"> </w:t>
      </w:r>
      <w:r>
        <w:rPr>
          <w:b/>
        </w:rPr>
        <w:t xml:space="preserve">“</w:t>
      </w:r>
      <w:r>
        <w:rPr>
          <w:b/>
        </w:rPr>
        <w:t xml:space="preserve">Neutral</w:t>
      </w:r>
      <w:r>
        <w:rPr>
          <w:b/>
        </w:rPr>
        <w:t xml:space="preserve">”</w:t>
      </w:r>
      <w:r>
        <w:rPr>
          <w:b/>
        </w:rPr>
        <w:t xml:space="preserve">/</w:t>
      </w:r>
      <w:r>
        <w:rPr>
          <w:b/>
        </w:rPr>
        <w:t xml:space="preserve">“</w:t>
      </w:r>
      <w:r>
        <w:rPr>
          <w:b/>
        </w:rPr>
        <w:t xml:space="preserve">Conflicting.</w:t>
      </w:r>
      <w:r>
        <w:rPr>
          <w:b/>
        </w:rPr>
        <w:t xml:space="preserve">”</w:t>
      </w:r>
      <w:r>
        <w:t xml:space="preserve"> </w:t>
      </w:r>
      <w:r>
        <w:rPr>
          <w:rStyle w:val="VerbatimChar"/>
        </w:rPr>
        <w:t xml:space="preserve">normalizeFinancialScores()</w:t>
      </w:r>
      <w:r>
        <w:t xml:space="preserve"> </w:t>
      </w:r>
      <w:r>
        <w:t xml:space="preserve">in</w:t>
      </w:r>
      <w:r>
        <w:t xml:space="preserve"> </w:t>
      </w:r>
      <w:r>
        <w:rPr>
          <w:rStyle w:val="VerbatimChar"/>
        </w:rPr>
        <w:t xml:space="preserve">server/fmpInstitutionalEdge.ts</w:t>
      </w:r>
      <w:r>
        <w:t xml:space="preserve"> </w:t>
      </w:r>
      <w:r>
        <w:t xml:space="preserve">computes</w:t>
      </w:r>
      <w:r>
        <w:t xml:space="preserve"> </w:t>
      </w:r>
      <w:r>
        <w:rPr>
          <w:rStyle w:val="VerbatimChar"/>
        </w:rPr>
        <w:t xml:space="preserve">bullish</w:t>
      </w:r>
      <w:r>
        <w:t xml:space="preserve"> </w:t>
      </w:r>
      <w:r>
        <w:t xml:space="preserve">and</w:t>
      </w:r>
      <w:r>
        <w:t xml:space="preserve"> </w:t>
      </w:r>
      <w:r>
        <w:rPr>
          <w:rStyle w:val="VerbatimChar"/>
        </w:rPr>
        <w:t xml:space="preserve">bearish</w:t>
      </w:r>
      <w:r>
        <w:t xml:space="preserve"> </w:t>
      </w:r>
      <w:r>
        <w:t xml:space="preserve">booleans independently from Piotroski score and Altman Z-score, then resolves status as bearish-and-not-bullish gives</w:t>
      </w:r>
      <w:r>
        <w:t xml:space="preserve"> </w:t>
      </w:r>
      <w:r>
        <w:t xml:space="preserve">“</w:t>
      </w:r>
      <w:r>
        <w:t xml:space="preserve">Bearish</w:t>
      </w:r>
      <w:r>
        <w:t xml:space="preserve">”</w:t>
      </w:r>
      <w:r>
        <w:t xml:space="preserve">, else bullish gives</w:t>
      </w:r>
      <w:r>
        <w:t xml:space="preserve"> </w:t>
      </w:r>
      <w:r>
        <w:t xml:space="preserve">“</w:t>
      </w:r>
      <w:r>
        <w:t xml:space="preserve">Bullish</w:t>
      </w:r>
      <w:r>
        <w:t xml:space="preserve">”</w:t>
      </w:r>
      <w:r>
        <w:t xml:space="preserve">, else</w:t>
      </w:r>
      <w:r>
        <w:t xml:space="preserve"> </w:t>
      </w:r>
      <w:r>
        <w:t xml:space="preserve">“</w:t>
      </w:r>
      <w:r>
        <w:t xml:space="preserve">Neutral</w:t>
      </w:r>
      <w:r>
        <w:t xml:space="preserve">”</w:t>
      </w:r>
      <w:r>
        <w:t xml:space="preserve">. When a stock has a bearish Piotroski score (3 or below, weak profitability trend) but a bullish Altman Z-score (above 3, strong balance sheet) — a realistic combination — this resolves to</w:t>
      </w:r>
      <w:r>
        <w:t xml:space="preserve"> </w:t>
      </w:r>
      <w:r>
        <w:t xml:space="preserve">“</w:t>
      </w:r>
      <w:r>
        <w:t xml:space="preserve">Bullish,</w:t>
      </w:r>
      <w:r>
        <w:t xml:space="preserve">”</w:t>
      </w:r>
      <w:r>
        <w:t xml:space="preserve"> </w:t>
      </w:r>
      <w:r>
        <w:t xml:space="preserve">silently discarding the bearish signal. The type system already defines a</w:t>
      </w:r>
      <w:r>
        <w:t xml:space="preserve"> </w:t>
      </w:r>
      <w:r>
        <w:t xml:space="preserve">“</w:t>
      </w:r>
      <w:r>
        <w:t xml:space="preserve">Conflicting</w:t>
      </w:r>
      <w:r>
        <w:t xml:space="preserve">”</w:t>
      </w:r>
      <w:r>
        <w:t xml:space="preserve"> </w:t>
      </w:r>
      <w:r>
        <w:t xml:space="preserve">status (used correctly elsewhere, e.g. squeeze-state layers) that this function never reaches for. Low blast radius since Institutional Edge is documented as informational-only, but it is still shown to users as an evaluated signal.</w:t>
      </w:r>
    </w:p>
    <w:p>
      <w:pPr>
        <w:pStyle w:val="Heading1"/>
      </w:pPr>
      <w:bookmarkStart w:id="22" w:name="accuracy-risks"/>
      <w:r>
        <w:t xml:space="preserve">Accuracy Risks</w:t>
      </w:r>
      <w:bookmarkEnd w:id="22"/>
    </w:p>
    <w:p>
      <w:pPr>
        <w:pStyle w:val="FirstParagraph"/>
      </w:pPr>
      <w:r>
        <w:t xml:space="preserve">Beyond the six critical items above, in rough order of impact:</w:t>
      </w:r>
    </w:p>
    <w:p>
      <w:pPr>
        <w:pStyle w:val="BodyText"/>
      </w:pPr>
      <w:r>
        <w:t xml:space="preserve">Schwab token-refresh race condition:</w:t>
      </w:r>
      <w:r>
        <w:t xml:space="preserve"> </w:t>
      </w:r>
      <w:r>
        <w:rPr>
          <w:rStyle w:val="VerbatimChar"/>
        </w:rPr>
        <w:t xml:space="preserve">getAccessToken()</w:t>
      </w:r>
      <w:r>
        <w:t xml:space="preserve"> </w:t>
      </w:r>
      <w:r>
        <w:t xml:space="preserve">in</w:t>
      </w:r>
      <w:r>
        <w:t xml:space="preserve"> </w:t>
      </w:r>
      <w:r>
        <w:rPr>
          <w:rStyle w:val="VerbatimChar"/>
        </w:rPr>
        <w:t xml:space="preserve">server/schwab.ts</w:t>
      </w:r>
      <w:r>
        <w:t xml:space="preserve"> </w:t>
      </w:r>
      <w:r>
        <w:t xml:space="preserve">checks a single in-memory token cache and refreshes if it expires within 60 seconds, with no lock around the refresh.</w:t>
      </w:r>
      <w:r>
        <w:t xml:space="preserve"> </w:t>
      </w:r>
      <w:r>
        <w:rPr>
          <w:rStyle w:val="VerbatimChar"/>
        </w:rPr>
        <w:t xml:space="preserve">server/scanner.ts</w:t>
      </w:r>
      <w:r>
        <w:t xml:space="preserve"> </w:t>
      </w:r>
      <w:r>
        <w:t xml:space="preserve">runs four symbols concurrently (</w:t>
      </w:r>
      <w:r>
        <w:rPr>
          <w:rStyle w:val="VerbatimChar"/>
        </w:rPr>
        <w:t xml:space="preserve">SCAN_CONCURRENCY = 4</w:t>
      </w:r>
      <w:r>
        <w:t xml:space="preserve">); if the token happens to be near expiry when a scan batch starts, multiple concurrent workers can each observe the stale token and each call the refresh independently. Many OAuth providers rotate/invalidate the refresh token on first use — if Schwab does, a second concurrent refresh call could fail and force full re-authentication mid-scan. A shared in-flight promise so concurrent callers await one refresh instead of racing would close this.</w:t>
      </w:r>
    </w:p>
    <w:p>
      <w:pPr>
        <w:pStyle w:val="BodyText"/>
      </w:pPr>
      <w:r>
        <w:t xml:space="preserve">Missing-data-passes-by-default fundamentals gate:</w:t>
      </w:r>
      <w:r>
        <w:t xml:space="preserve"> </w:t>
      </w:r>
      <w:r>
        <w:rPr>
          <w:rStyle w:val="VerbatimChar"/>
        </w:rPr>
        <w:t xml:space="preserve">evaluateInstitutional()</w:t>
      </w:r>
      <w:r>
        <w:t xml:space="preserve"> </w:t>
      </w:r>
      <w:r>
        <w:t xml:space="preserve">in</w:t>
      </w:r>
      <w:r>
        <w:t xml:space="preserve"> </w:t>
      </w:r>
      <w:r>
        <w:rPr>
          <w:rStyle w:val="VerbatimChar"/>
        </w:rPr>
        <w:t xml:space="preserve">server/scoring.ts</w:t>
      </w:r>
      <w:r>
        <w:t xml:space="preserve"> </w:t>
      </w:r>
      <w:r>
        <w:t xml:space="preserve">treats beta, market cap, and current volume as passing when the value is undefined and strict fundamentals mode is off — matching the README’s documented intent that the automatic universe is</w:t>
      </w:r>
      <w:r>
        <w:t xml:space="preserve"> </w:t>
      </w:r>
      <w:r>
        <w:t xml:space="preserve">“</w:t>
      </w:r>
      <w:r>
        <w:t xml:space="preserve">prequalified</w:t>
      </w:r>
      <w:r>
        <w:t xml:space="preserve">”</w:t>
      </w:r>
      <w:r>
        <w:t xml:space="preserve"> </w:t>
      </w:r>
      <w:r>
        <w:t xml:space="preserve">when both Schwab and FMP omit market cap, and confirmed in scanner.ts where the market-cap rejection check is skipped entirely when market cap is undefined. This is a deliberate design choice, not a bug, but it means a simultaneous Schwab and FMP data gap in just the fundamental fields (quotes still working) can let genuinely small-cap or low-beta names pass a filter meant to exclude them, with no warning distinguishing</w:t>
      </w:r>
      <w:r>
        <w:t xml:space="preserve"> </w:t>
      </w:r>
      <w:r>
        <w:t xml:space="preserve">“</w:t>
      </w:r>
      <w:r>
        <w:t xml:space="preserve">passed because compliant</w:t>
      </w:r>
      <w:r>
        <w:t xml:space="preserve">”</w:t>
      </w:r>
      <w:r>
        <w:t xml:space="preserve"> </w:t>
      </w:r>
      <w:r>
        <w:t xml:space="preserve">from</w:t>
      </w:r>
      <w:r>
        <w:t xml:space="preserve"> </w:t>
      </w:r>
      <w:r>
        <w:t xml:space="preserve">“</w:t>
      </w:r>
      <w:r>
        <w:t xml:space="preserve">passed because data was missing.</w:t>
      </w:r>
      <w:r>
        <w:t xml:space="preserve">”</w:t>
      </w:r>
    </w:p>
    <w:p>
      <w:pPr>
        <w:pStyle w:val="BodyText"/>
      </w:pPr>
      <w:r>
        <w:t xml:space="preserve">Duplicated entry-zone logic between two files:</w:t>
      </w:r>
      <w:r>
        <w:t xml:space="preserve"> </w:t>
      </w:r>
      <w:r>
        <w:rPr>
          <w:rStyle w:val="VerbatimChar"/>
        </w:rPr>
        <w:t xml:space="preserve">resolveDailyEntryQualificationMode</w:t>
      </w:r>
      <w:r>
        <w:t xml:space="preserve"> </w:t>
      </w:r>
      <w:r>
        <w:t xml:space="preserve">and</w:t>
      </w:r>
      <w:r>
        <w:t xml:space="preserve"> </w:t>
      </w:r>
      <w:r>
        <w:rPr>
          <w:rStyle w:val="VerbatimChar"/>
        </w:rPr>
        <w:t xml:space="preserve">dailyEntryDetail</w:t>
      </w:r>
      <w:r>
        <w:t xml:space="preserve"> </w:t>
      </w:r>
      <w:r>
        <w:t xml:space="preserve">are each implemented twice — once (unexported) in</w:t>
      </w:r>
      <w:r>
        <w:t xml:space="preserve"> </w:t>
      </w:r>
      <w:r>
        <w:rPr>
          <w:rStyle w:val="VerbatimChar"/>
        </w:rPr>
        <w:t xml:space="preserve">server/timeframes.ts</w:t>
      </w:r>
      <w:r>
        <w:t xml:space="preserve">, once (exported) in</w:t>
      </w:r>
      <w:r>
        <w:t xml:space="preserve"> </w:t>
      </w:r>
      <w:r>
        <w:rPr>
          <w:rStyle w:val="VerbatimChar"/>
        </w:rPr>
        <w:t xml:space="preserve">server/scoring.ts</w:t>
      </w:r>
      <w:r>
        <w:t xml:space="preserve"> </w:t>
      </w:r>
      <w:r>
        <w:t xml:space="preserve">— with currently-identical logic but no shared source. If either is edited without the other, the multi-timeframe confluence panel and the actual setup grade could silently disagree about whether a symbol is in the preferred entry zone.</w:t>
      </w:r>
    </w:p>
    <w:p>
      <w:pPr>
        <w:pStyle w:val="BodyText"/>
      </w:pPr>
      <w:r>
        <w:t xml:space="preserve">Duplicated grade and trade-mark derivation between live and cached paths:</w:t>
      </w:r>
      <w:r>
        <w:t xml:space="preserve"> </w:t>
      </w:r>
      <w:r>
        <w:rPr>
          <w:rStyle w:val="VerbatimChar"/>
        </w:rPr>
        <w:t xml:space="preserve">server/scoring.ts</w:t>
      </w:r>
      <w:r>
        <w:t xml:space="preserve"> </w:t>
      </w:r>
      <w:r>
        <w:t xml:space="preserve">computes grade, grade-cap reasons, and trade-mark reasons for a freshly-scanned result.</w:t>
      </w:r>
      <w:r>
        <w:t xml:space="preserve"> </w:t>
      </w:r>
      <w:r>
        <w:rPr>
          <w:rStyle w:val="VerbatimChar"/>
        </w:rPr>
        <w:t xml:space="preserve">server/scanner.ts</w:t>
      </w:r>
      <w:r>
        <w:t xml:space="preserve"> </w:t>
      </w:r>
      <w:r>
        <w:t xml:space="preserve">re-implements the same derivation independently (</w:t>
      </w:r>
      <w:r>
        <w:rPr>
          <w:rStyle w:val="VerbatimChar"/>
        </w:rPr>
        <w:t xml:space="preserve">normalizeCachedResult</w:t>
      </w:r>
      <w:r>
        <w:t xml:space="preserve"> </w:t>
      </w:r>
      <w:r>
        <w:t xml:space="preserve">and its helpers, including its own private</w:t>
      </w:r>
      <w:r>
        <w:t xml:space="preserve"> </w:t>
      </w:r>
      <w:r>
        <w:rPr>
          <w:rStyle w:val="VerbatimChar"/>
        </w:rPr>
        <w:t xml:space="preserve">gradeFromSetupScore</w:t>
      </w:r>
      <w:r>
        <w:t xml:space="preserve">) to redisplay previously-cached results. The two paths share the score thresholds via imported constants but not the logic itself — a future change to one and not the other means the same cached setup score could display a different grade depending on whether the page loaded from cache or from a fresh scan.</w:t>
      </w:r>
    </w:p>
    <w:p>
      <w:pPr>
        <w:pStyle w:val="BodyText"/>
      </w:pPr>
      <w:r>
        <w:t xml:space="preserve">EMA seeding bias:</w:t>
      </w:r>
      <w:r>
        <w:t xml:space="preserve"> </w:t>
      </w:r>
      <w:r>
        <w:rPr>
          <w:rStyle w:val="VerbatimChar"/>
        </w:rPr>
        <w:t xml:space="preserve">ema()</w:t>
      </w:r>
      <w:r>
        <w:t xml:space="preserve"> </w:t>
      </w:r>
      <w:r>
        <w:t xml:space="preserve">in</w:t>
      </w:r>
      <w:r>
        <w:t xml:space="preserve"> </w:t>
      </w:r>
      <w:r>
        <w:rPr>
          <w:rStyle w:val="VerbatimChar"/>
        </w:rPr>
        <w:t xml:space="preserve">server/indicators.ts</w:t>
      </w:r>
      <w:r>
        <w:t xml:space="preserve"> </w:t>
      </w:r>
      <w:r>
        <w:t xml:space="preserve">seeds the recursive EMA with the first raw close rather than a simple-moving-average seed — a common simplification, but for the slower periods (55/89/100) over the roughly 180-200 candle window the app fetches, this can leave a small, persistent divergence from EMA values shown on standard charting platforms, including Schwab’s own charts. Since the positive-EMA-stack check and price-vs-EMA comparisons drive the grade directly, small systematic EMA error is not merely cosmetic — it can flip a borderline entry-zone classification.</w:t>
      </w:r>
    </w:p>
    <w:p>
      <w:pPr>
        <w:pStyle w:val="BodyText"/>
      </w:pPr>
      <w:r>
        <w:t xml:space="preserve">DST-naive option expiration timestamp:</w:t>
      </w:r>
      <w:r>
        <w:t xml:space="preserve"> </w:t>
      </w:r>
      <w:r>
        <w:rPr>
          <w:rStyle w:val="VerbatimChar"/>
        </w:rPr>
        <w:t xml:space="preserve">daysToExpiration()</w:t>
      </w:r>
      <w:r>
        <w:t xml:space="preserve"> </w:t>
      </w:r>
      <w:r>
        <w:t xml:space="preserve">in</w:t>
      </w:r>
      <w:r>
        <w:t xml:space="preserve"> </w:t>
      </w:r>
      <w:r>
        <w:rPr>
          <w:rStyle w:val="VerbatimChar"/>
        </w:rPr>
        <w:t xml:space="preserve">server/schwab.ts</w:t>
      </w:r>
      <w:r>
        <w:t xml:space="preserve"> </w:t>
      </w:r>
      <w:r>
        <w:t xml:space="preserve">hardcodes market close as 21:00 UTC, which is correct for EST but is actually 5pm ET (not 4pm) during the roughly eight months per year Eastern Daylight Time is in effect. This can shift a contract’s computed days-to-expiration by a day right at a rollover boundary.</w:t>
      </w:r>
    </w:p>
    <w:p>
      <w:pPr>
        <w:pStyle w:val="BodyText"/>
      </w:pPr>
      <w:r>
        <w:t xml:space="preserve">ETF expense-ratio unit conversion is fragile:</w:t>
      </w:r>
      <w:r>
        <w:t xml:space="preserve"> </w:t>
      </w:r>
      <w:r>
        <w:rPr>
          <w:rStyle w:val="VerbatimChar"/>
        </w:rPr>
        <w:t xml:space="preserve">normalizeExpenseRatio()</w:t>
      </w:r>
      <w:r>
        <w:t xml:space="preserve"> </w:t>
      </w:r>
      <w:r>
        <w:t xml:space="preserve">in</w:t>
      </w:r>
      <w:r>
        <w:t xml:space="preserve"> </w:t>
      </w:r>
      <w:r>
        <w:rPr>
          <w:rStyle w:val="VerbatimChar"/>
        </w:rPr>
        <w:t xml:space="preserve">server/fmpInstitutionalEdge.ts</w:t>
      </w:r>
      <w:r>
        <w:t xml:space="preserve"> </w:t>
      </w:r>
      <w:r>
        <w:t xml:space="preserve">decides a value over 1 must already be a fraction, else divides by 100. Large, low-cost ETFs (SPY, QQQ) typically report expense ratios under 1 in percent-point form (0.09 for 0.09 percent, for example); this heuristic would treat 0.09 as already-a-fraction (9 percent), which would misclassify an excellent low-cost fund as expensive. This needs to be checked against FMP’s actual documented field format before shipping; as written it is a plausible source of wrong</w:t>
      </w:r>
      <w:r>
        <w:t xml:space="preserve"> </w:t>
      </w:r>
      <w:r>
        <w:t xml:space="preserve">“</w:t>
      </w:r>
      <w:r>
        <w:t xml:space="preserve">ETF Quality</w:t>
      </w:r>
      <w:r>
        <w:t xml:space="preserve">”</w:t>
      </w:r>
      <w:r>
        <w:t xml:space="preserve"> </w:t>
      </w:r>
      <w:r>
        <w:t xml:space="preserve">labels. Informational-only per the README, but still shown to users.</w:t>
      </w:r>
    </w:p>
    <w:p>
      <w:pPr>
        <w:pStyle w:val="BodyText"/>
      </w:pPr>
      <w:r>
        <w:t xml:space="preserve">“</w:t>
      </w:r>
      <w:r>
        <w:t xml:space="preserve">ETF Exposure</w:t>
      </w:r>
      <w:r>
        <w:t xml:space="preserve">”</w:t>
      </w:r>
      <w:r>
        <w:t xml:space="preserve"> </w:t>
      </w:r>
      <w:r>
        <w:t xml:space="preserve">factor can never move the needle:</w:t>
      </w:r>
      <w:r>
        <w:t xml:space="preserve"> </w:t>
      </w:r>
      <w:r>
        <w:rPr>
          <w:rStyle w:val="VerbatimChar"/>
        </w:rPr>
        <w:t xml:space="preserve">normalizeEtfSectorWeightings()</w:t>
      </w:r>
      <w:r>
        <w:t xml:space="preserve"> </w:t>
      </w:r>
      <w:r>
        <w:t xml:space="preserve">in</w:t>
      </w:r>
      <w:r>
        <w:t xml:space="preserve"> </w:t>
      </w:r>
      <w:r>
        <w:rPr>
          <w:rStyle w:val="VerbatimChar"/>
        </w:rPr>
        <w:t xml:space="preserve">server/fmpInstitutionalEdge.ts</w:t>
      </w:r>
      <w:r>
        <w:t xml:space="preserve"> </w:t>
      </w:r>
      <w:r>
        <w:t xml:space="preserve">always returns status</w:t>
      </w:r>
      <w:r>
        <w:t xml:space="preserve"> </w:t>
      </w:r>
      <w:r>
        <w:t xml:space="preserve">“</w:t>
      </w:r>
      <w:r>
        <w:t xml:space="preserve">Neutral</w:t>
      </w:r>
      <w:r>
        <w:t xml:space="preserve">”</w:t>
      </w:r>
      <w:r>
        <w:t xml:space="preserve"> </w:t>
      </w:r>
      <w:r>
        <w:t xml:space="preserve">regardless of the actual sector-concentration data it computed, so this factor’s adjustment is always zero — it is displayed as if it were an evaluated signal but structurally cannot affect anything.</w:t>
      </w:r>
    </w:p>
    <w:p>
      <w:pPr>
        <w:pStyle w:val="BodyText"/>
      </w:pPr>
      <w:r>
        <w:t xml:space="preserve">Possible double-counting in options-flow scoring:</w:t>
      </w:r>
      <w:r>
        <w:t xml:space="preserve"> </w:t>
      </w:r>
      <w:r>
        <w:rPr>
          <w:rStyle w:val="VerbatimChar"/>
        </w:rPr>
        <w:t xml:space="preserve">normalizeOptionsFlow()</w:t>
      </w:r>
      <w:r>
        <w:t xml:space="preserve"> </w:t>
      </w:r>
      <w:r>
        <w:t xml:space="preserve">in</w:t>
      </w:r>
      <w:r>
        <w:t xml:space="preserve"> </w:t>
      </w:r>
      <w:r>
        <w:rPr>
          <w:rStyle w:val="VerbatimChar"/>
        </w:rPr>
        <w:t xml:space="preserve">server/quantData.ts</w:t>
      </w:r>
      <w:r>
        <w:t xml:space="preserve"> </w:t>
      </w:r>
      <w:r>
        <w:t xml:space="preserve">sums a</w:t>
      </w:r>
      <w:r>
        <w:t xml:space="preserve"> </w:t>
      </w:r>
      <w:r>
        <w:t xml:space="preserve">“</w:t>
      </w:r>
      <w:r>
        <w:t xml:space="preserve">net-drift</w:t>
      </w:r>
      <w:r>
        <w:t xml:space="preserve">”</w:t>
      </w:r>
      <w:r>
        <w:t xml:space="preserve"> </w:t>
      </w:r>
      <w:r>
        <w:t xml:space="preserve">endpoint’s premium and a separate</w:t>
      </w:r>
      <w:r>
        <w:t xml:space="preserve"> </w:t>
      </w:r>
      <w:r>
        <w:t xml:space="preserve">“</w:t>
      </w:r>
      <w:r>
        <w:t xml:space="preserve">order-flow-consolidated</w:t>
      </w:r>
      <w:r>
        <w:t xml:space="preserve">”</w:t>
      </w:r>
      <w:r>
        <w:t xml:space="preserve"> </w:t>
      </w:r>
      <w:r>
        <w:t xml:space="preserve">endpoint’s ask-side premium into one call-premium total with no deduplication. If the two QuantData endpoints report overlapping trade populations (plausible, since both are per-symbol options-activity feeds), the same bullish flow could be counted twice, inflating the confidence of a</w:t>
      </w:r>
      <w:r>
        <w:t xml:space="preserve"> </w:t>
      </w:r>
      <w:r>
        <w:t xml:space="preserve">“</w:t>
      </w:r>
      <w:r>
        <w:t xml:space="preserve">confirmed</w:t>
      </w:r>
      <w:r>
        <w:t xml:space="preserve">”</w:t>
      </w:r>
      <w:r>
        <w:t xml:space="preserve"> </w:t>
      </w:r>
      <w:r>
        <w:t xml:space="preserve">positioning status.</w:t>
      </w:r>
    </w:p>
    <w:p>
      <w:pPr>
        <w:pStyle w:val="BodyText"/>
      </w:pPr>
      <w:r>
        <w:t xml:space="preserve">Brittle universe-refresh web scraping:</w:t>
      </w:r>
      <w:r>
        <w:t xml:space="preserve"> </w:t>
      </w:r>
      <w:r>
        <w:rPr>
          <w:rStyle w:val="VerbatimChar"/>
        </w:rPr>
        <w:t xml:space="preserve">parseSp500Constituents</w:t>
      </w:r>
      <w:r>
        <w:t xml:space="preserve">/</w:t>
      </w:r>
      <w:r>
        <w:rPr>
          <w:rStyle w:val="VerbatimChar"/>
        </w:rPr>
        <w:t xml:space="preserve">parseNasdaq100Symbols</w:t>
      </w:r>
      <w:r>
        <w:t xml:space="preserve"> </w:t>
      </w:r>
      <w:r>
        <w:t xml:space="preserve">in</w:t>
      </w:r>
      <w:r>
        <w:t xml:space="preserve"> </w:t>
      </w:r>
      <w:r>
        <w:rPr>
          <w:rStyle w:val="VerbatimChar"/>
        </w:rPr>
        <w:t xml:space="preserve">server/universe.ts</w:t>
      </w:r>
      <w:r>
        <w:t xml:space="preserve"> </w:t>
      </w:r>
      <w:r>
        <w:t xml:space="preserve">parse Wikipedia and stockanalysis.com HTML with hand-written regexes rather than a structured parser. A markup change on either site could return an incomplete or subtly wrong symbol or sector list; this is only reliably caught when the count falls under the 450-symbol floor, not when the content is wrong in a way that preserves the count (a sector-column shift, for example).</w:t>
      </w:r>
    </w:p>
    <w:p>
      <w:pPr>
        <w:pStyle w:val="BodyText"/>
      </w:pPr>
      <w:r>
        <w:t xml:space="preserve">Silent universe-refresh failures:</w:t>
      </w:r>
      <w:r>
        <w:t xml:space="preserve"> </w:t>
      </w:r>
      <w:r>
        <w:rPr>
          <w:rStyle w:val="VerbatimChar"/>
        </w:rPr>
        <w:t xml:space="preserve">refreshUniverseIfNeeded()</w:t>
      </w:r>
      <w:r>
        <w:t xml:space="preserve"> </w:t>
      </w:r>
      <w:r>
        <w:t xml:space="preserve">in</w:t>
      </w:r>
      <w:r>
        <w:t xml:space="preserve"> </w:t>
      </w:r>
      <w:r>
        <w:rPr>
          <w:rStyle w:val="VerbatimChar"/>
        </w:rPr>
        <w:t xml:space="preserve">server/index.ts</w:t>
      </w:r>
      <w:r>
        <w:t xml:space="preserve"> </w:t>
      </w:r>
      <w:r>
        <w:t xml:space="preserve">only logs a console warning on failure; nothing propagates into scan warnings or diagnostics. An expired FMP key combined with a broken scrape fallback could leave the app scanning a stale bundled universe indefinitely with no user-visible signal.</w:t>
      </w:r>
    </w:p>
    <w:p>
      <w:pPr>
        <w:pStyle w:val="BodyText"/>
      </w:pPr>
      <w:r>
        <w:t xml:space="preserve">Frontend can get stuck mid-scan: in</w:t>
      </w:r>
      <w:r>
        <w:t xml:space="preserve"> </w:t>
      </w:r>
      <w:r>
        <w:rPr>
          <w:rStyle w:val="VerbatimChar"/>
        </w:rPr>
        <w:t xml:space="preserve">src/main.tsx</w:t>
      </w:r>
      <w:r>
        <w:t xml:space="preserve">, the initial results fetch in the mount effect has no error handler, and</w:t>
      </w:r>
      <w:r>
        <w:t xml:space="preserve"> </w:t>
      </w:r>
      <w:r>
        <w:rPr>
          <w:rStyle w:val="VerbatimChar"/>
        </w:rPr>
        <w:t xml:space="preserve">runScan()</w:t>
      </w:r>
      <w:r>
        <w:t xml:space="preserve">’s try/finally has an empty finally block with no catch — a failed scan request (network blip, server error, timeout) leaves the loading flag set forever, permanently disabling the Run Scan button until the page is manually reloaded.</w:t>
      </w:r>
    </w:p>
    <w:p>
      <w:pPr>
        <w:pStyle w:val="Heading1"/>
      </w:pPr>
      <w:bookmarkStart w:id="23" w:name="performance-improvements"/>
      <w:r>
        <w:t xml:space="preserve">Performance Improvements</w:t>
      </w:r>
      <w:bookmarkEnd w:id="23"/>
    </w:p>
    <w:p>
      <w:pPr>
        <w:pStyle w:val="FirstParagraph"/>
      </w:pPr>
      <w:r>
        <w:t xml:space="preserve">Ranked by estimated impact.</w:t>
      </w:r>
    </w:p>
    <w:p>
      <w:pPr>
        <w:pStyle w:val="BodyText"/>
      </w:pPr>
      <w:r>
        <w:t xml:space="preserve">HIGH — Per-query subprocess spawn in the SQLite layer.</w:t>
      </w:r>
      <w:r>
        <w:t xml:space="preserve"> </w:t>
      </w:r>
      <w:r>
        <w:rPr>
          <w:rStyle w:val="VerbatimChar"/>
        </w:rPr>
        <w:t xml:space="preserve">server/sqlite.ts</w:t>
      </w:r>
      <w:r>
        <w:t xml:space="preserve">’s</w:t>
      </w:r>
      <w:r>
        <w:t xml:space="preserve"> </w:t>
      </w:r>
      <w:r>
        <w:rPr>
          <w:rStyle w:val="VerbatimChar"/>
        </w:rPr>
        <w:t xml:space="preserve">runSql()</w:t>
      </w:r>
      <w:r>
        <w:t xml:space="preserve"> </w:t>
      </w:r>
      <w:r>
        <w:t xml:space="preserve">shells out to the</w:t>
      </w:r>
      <w:r>
        <w:t xml:space="preserve"> </w:t>
      </w:r>
      <w:r>
        <w:rPr>
          <w:rStyle w:val="VerbatimChar"/>
        </w:rPr>
        <w:t xml:space="preserve">sqlite3</w:t>
      </w:r>
      <w:r>
        <w:t xml:space="preserve"> </w:t>
      </w:r>
      <w:r>
        <w:t xml:space="preserve">CLI via</w:t>
      </w:r>
      <w:r>
        <w:t xml:space="preserve"> </w:t>
      </w:r>
      <w:r>
        <w:rPr>
          <w:rStyle w:val="VerbatimChar"/>
        </w:rPr>
        <w:t xml:space="preserve">execFileSync</w:t>
      </w:r>
      <w:r>
        <w:t xml:space="preserve"> </w:t>
      </w:r>
      <w:r>
        <w:t xml:space="preserve">for every read and write when not using Postgres.</w:t>
      </w:r>
      <w:r>
        <w:t xml:space="preserve"> </w:t>
      </w:r>
      <w:r>
        <w:rPr>
          <w:rStyle w:val="VerbatimChar"/>
        </w:rPr>
        <w:t xml:space="preserve">replaceScanResults()</w:t>
      </w:r>
      <w:r>
        <w:t xml:space="preserve"> </w:t>
      </w:r>
      <w:r>
        <w:t xml:space="preserve">(called once per completed scan) deletes all rows, then calls</w:t>
      </w:r>
      <w:r>
        <w:t xml:space="preserve"> </w:t>
      </w:r>
      <w:r>
        <w:rPr>
          <w:rStyle w:val="VerbatimChar"/>
        </w:rPr>
        <w:t xml:space="preserve">saveScanResult()</w:t>
      </w:r>
      <w:r>
        <w:t xml:space="preserve"> </w:t>
      </w:r>
      <w:r>
        <w:t xml:space="preserve">sequentially, once per result — each call spawning a fresh OS process. For a scan producing dozens to low-hundreds of qualifying results, plus every settings and metadata read/write during the scan, this is dozens to hundreds of process spawns per cycle, each with real OS overhead that dwarfs an in-process query. Current approach: shell out per statement. Improved approach: use an embedded driver (</w:t>
      </w:r>
      <w:r>
        <w:rPr>
          <w:rStyle w:val="VerbatimChar"/>
        </w:rPr>
        <w:t xml:space="preserve">better-sqlite3</w:t>
      </w:r>
      <w:r>
        <w:t xml:space="preserve"> </w:t>
      </w:r>
      <w:r>
        <w:t xml:space="preserve">or Node’s built-in</w:t>
      </w:r>
      <w:r>
        <w:t xml:space="preserve"> </w:t>
      </w:r>
      <w:r>
        <w:rPr>
          <w:rStyle w:val="VerbatimChar"/>
        </w:rPr>
        <w:t xml:space="preserve">node:sqlite</w:t>
      </w:r>
      <w:r>
        <w:t xml:space="preserve">) with WAL mode, and wrap</w:t>
      </w:r>
      <w:r>
        <w:t xml:space="preserve"> </w:t>
      </w:r>
      <w:r>
        <w:rPr>
          <w:rStyle w:val="VerbatimChar"/>
        </w:rPr>
        <w:t xml:space="preserve">replaceScanResults</w:t>
      </w:r>
      <w:r>
        <w:t xml:space="preserve"> </w:t>
      </w:r>
      <w:r>
        <w:t xml:space="preserve">in a single transaction. Estimated gain: the dominant fixed cost of process spawning is eliminated entirely; a batch of N writes drops from N process spawns to one transaction.</w:t>
      </w:r>
    </w:p>
    <w:p>
      <w:pPr>
        <w:pStyle w:val="BodyText"/>
      </w:pPr>
      <w:r>
        <w:t xml:space="preserve">HIGH — O(n squared) squeeze-dot counting.</w:t>
      </w:r>
      <w:r>
        <w:t xml:space="preserve"> </w:t>
      </w:r>
      <w:r>
        <w:rPr>
          <w:rStyle w:val="VerbatimChar"/>
        </w:rPr>
        <w:t xml:space="preserve">activeSqueezeDotCount()</w:t>
      </w:r>
      <w:r>
        <w:t xml:space="preserve"> </w:t>
      </w:r>
      <w:r>
        <w:t xml:space="preserve">in</w:t>
      </w:r>
      <w:r>
        <w:t xml:space="preserve"> </w:t>
      </w:r>
      <w:r>
        <w:rPr>
          <w:rStyle w:val="VerbatimChar"/>
        </w:rPr>
        <w:t xml:space="preserve">server/indicators.ts</w:t>
      </w:r>
      <w:r>
        <w:t xml:space="preserve"> </w:t>
      </w:r>
      <w:r>
        <w:t xml:space="preserve">recomputes the entire indicator series (seven EMAs, ATR, Bollinger/Keltner bands, the 20-bar linear-regression squeeze-momentum series) from scratch for every shrinking candle window, walking backward from full history down to 90 candles. For roughly 180-200 candles of history this is on the order of 100-plus full indicator recomputations per symbol, each itself proportional to history length. Current approach: re-slice and fully recompute per window. Improved approach: compute the squeeze-state series once, forward, in a single pass, and count the trailing run of active states. Estimated gain: turns a per-symbol quadratic operation into a linear one; across a 500-plus symbol universe this is the largest algorithmic inefficiency in the codebase.</w:t>
      </w:r>
    </w:p>
    <w:p>
      <w:pPr>
        <w:pStyle w:val="BodyText"/>
      </w:pPr>
      <w:r>
        <w:t xml:space="preserve">MEDIUM — No retry or backoff on external API calls. None of schwab.ts, fmp.ts, fmpInstitutionalEdge.ts, or quantData.ts retry a transient failure (429, timeout, 5xx); a single blip drops that symbol for the entire 15-minute refresh cycle. Adding one bounded retry with backoff for 429/5xx responses would materially improve scan completeness without meaningfully increasing worst-case latency.</w:t>
      </w:r>
    </w:p>
    <w:p>
      <w:pPr>
        <w:pStyle w:val="BodyText"/>
      </w:pPr>
      <w:r>
        <w:t xml:space="preserve">LOW-MEDIUM — Flat per-symbol throttle.</w:t>
      </w:r>
      <w:r>
        <w:t xml:space="preserve"> </w:t>
      </w:r>
      <w:r>
        <w:rPr>
          <w:rStyle w:val="VerbatimChar"/>
        </w:rPr>
        <w:t xml:space="preserve">throttleIfLive()</w:t>
      </w:r>
      <w:r>
        <w:t xml:space="preserve"> </w:t>
      </w:r>
      <w:r>
        <w:t xml:space="preserve">in</w:t>
      </w:r>
      <w:r>
        <w:t xml:space="preserve"> </w:t>
      </w:r>
      <w:r>
        <w:rPr>
          <w:rStyle w:val="VerbatimChar"/>
        </w:rPr>
        <w:t xml:space="preserve">server/scanner.ts</w:t>
      </w:r>
      <w:r>
        <w:t xml:space="preserve"> </w:t>
      </w:r>
      <w:r>
        <w:t xml:space="preserve">adds a fixed 120ms delay after every symbol when Schwab is connected. Combined with four-way concurrency across 500-plus symbols this contributes a multi-second floor to every scan regardless of actual rate-limit headroom. Worth measuring against Schwab’s documented per-second limits and tuning down, or replacing with a token-bucket limiter that only throttles when actually near the limit.</w:t>
      </w:r>
    </w:p>
    <w:p>
      <w:pPr>
        <w:pStyle w:val="BodyText"/>
      </w:pPr>
      <w:r>
        <w:t xml:space="preserve">LOW — Duplicate identical history-fetch functions.</w:t>
      </w:r>
      <w:r>
        <w:t xml:space="preserve"> </w:t>
      </w:r>
      <w:r>
        <w:rPr>
          <w:rStyle w:val="VerbatimChar"/>
        </w:rPr>
        <w:t xml:space="preserve">fetchHistory()</w:t>
      </w:r>
      <w:r>
        <w:t xml:space="preserve"> </w:t>
      </w:r>
      <w:r>
        <w:t xml:space="preserve">and</w:t>
      </w:r>
      <w:r>
        <w:t xml:space="preserve"> </w:t>
      </w:r>
      <w:r>
        <w:rPr>
          <w:rStyle w:val="VerbatimChar"/>
        </w:rPr>
        <w:t xml:space="preserve">fetchChartHistory()</w:t>
      </w:r>
      <w:r>
        <w:t xml:space="preserve"> </w:t>
      </w:r>
      <w:r>
        <w:t xml:space="preserve">in</w:t>
      </w:r>
      <w:r>
        <w:t xml:space="preserve"> </w:t>
      </w:r>
      <w:r>
        <w:rPr>
          <w:rStyle w:val="VerbatimChar"/>
        </w:rPr>
        <w:t xml:space="preserve">server/schwab.ts</w:t>
      </w:r>
      <w:r>
        <w:t xml:space="preserve"> </w:t>
      </w:r>
      <w:r>
        <w:t xml:space="preserve">are byte-identical wrappers around the same underlying call; consolidating avoids confusion about which to call, though there is no runtime cost since only one path is used in production code.</w:t>
      </w:r>
    </w:p>
    <w:p>
      <w:pPr>
        <w:pStyle w:val="Heading1"/>
      </w:pPr>
      <w:bookmarkStart w:id="24" w:name="dead-code-and-cleanup"/>
      <w:r>
        <w:t xml:space="preserve">Dead Code and Cleanup</w:t>
      </w:r>
      <w:bookmarkEnd w:id="24"/>
    </w:p>
    <w:p>
      <w:pPr>
        <w:pStyle w:val="FirstParagraph"/>
      </w:pPr>
      <w:r>
        <w:rPr>
          <w:rStyle w:val="VerbatimChar"/>
        </w:rPr>
        <w:t xml:space="preserve">server/scoring.ts</w:t>
      </w:r>
      <w:r>
        <w:t xml:space="preserve">’s</w:t>
      </w:r>
      <w:r>
        <w:t xml:space="preserve"> </w:t>
      </w:r>
      <w:r>
        <w:rPr>
          <w:rStyle w:val="VerbatimChar"/>
        </w:rPr>
        <w:t xml:space="preserve">canQuantDataPromote()</w:t>
      </w:r>
      <w:r>
        <w:t xml:space="preserve"> </w:t>
      </w:r>
      <w:r>
        <w:t xml:space="preserve">function is defined but never imported or called anywhere in the repository. Risk of removal: none. Recommendation: delete it, or wire it into</w:t>
      </w:r>
      <w:r>
        <w:t xml:space="preserve"> </w:t>
      </w:r>
      <w:r>
        <w:rPr>
          <w:rStyle w:val="VerbatimChar"/>
        </w:rPr>
        <w:t xml:space="preserve">applyInstitutionalPositioning</w:t>
      </w:r>
      <w:r>
        <w:t xml:space="preserve"> </w:t>
      </w:r>
      <w:r>
        <w:t xml:space="preserve">if grade-promotion was the original intent behind its name.</w:t>
      </w:r>
    </w:p>
    <w:p>
      <w:pPr>
        <w:pStyle w:val="BodyText"/>
      </w:pPr>
      <w:r>
        <w:rPr>
          <w:rStyle w:val="VerbatimChar"/>
        </w:rPr>
        <w:t xml:space="preserve">server/schwab.ts</w:t>
      </w:r>
      <w:r>
        <w:t xml:space="preserve">’s</w:t>
      </w:r>
      <w:r>
        <w:t xml:space="preserve"> </w:t>
      </w:r>
      <w:r>
        <w:rPr>
          <w:rStyle w:val="VerbatimChar"/>
        </w:rPr>
        <w:t xml:space="preserve">fetchOptions()</w:t>
      </w:r>
      <w:r>
        <w:t xml:space="preserve">, its private</w:t>
      </w:r>
      <w:r>
        <w:t xml:space="preserve"> </w:t>
      </w:r>
      <w:r>
        <w:rPr>
          <w:rStyle w:val="VerbatimChar"/>
        </w:rPr>
        <w:t xml:space="preserve">fetchDirectionalOptions</w:t>
      </w:r>
      <w:r>
        <w:t xml:space="preserve"> </w:t>
      </w:r>
      <w:r>
        <w:t xml:space="preserve">call for puts, and</w:t>
      </w:r>
      <w:r>
        <w:t xml:space="preserve"> </w:t>
      </w:r>
      <w:r>
        <w:rPr>
          <w:rStyle w:val="VerbatimChar"/>
        </w:rPr>
        <w:t xml:space="preserve">normalizeSchwabPutOptions()</w:t>
      </w:r>
      <w:r>
        <w:t xml:space="preserve"> </w:t>
      </w:r>
      <w:r>
        <w:t xml:space="preserve">are unreachable from production code: the scan pipeline only imports and calls</w:t>
      </w:r>
      <w:r>
        <w:t xml:space="preserve"> </w:t>
      </w:r>
      <w:r>
        <w:rPr>
          <w:rStyle w:val="VerbatimChar"/>
        </w:rPr>
        <w:t xml:space="preserve">fetchCallOptions</w:t>
      </w:r>
      <w:r>
        <w:t xml:space="preserve">, and the app is scoped to long-call setups only per the README. Risk of removal: low, but confirm</w:t>
      </w:r>
      <w:r>
        <w:t xml:space="preserve"> </w:t>
      </w:r>
      <w:r>
        <w:rPr>
          <w:rStyle w:val="VerbatimChar"/>
        </w:rPr>
        <w:t xml:space="preserve">schwab.test.ts</w:t>
      </w:r>
      <w:r>
        <w:t xml:space="preserve"> </w:t>
      </w:r>
      <w:r>
        <w:t xml:space="preserve">doesn’t depend on the put-fetching path before deleting; keep as a tested-but-unused utility if puts are genuinely planned for a future short-setups feature.</w:t>
      </w:r>
    </w:p>
    <w:p>
      <w:pPr>
        <w:pStyle w:val="BodyText"/>
      </w:pPr>
      <w:r>
        <w:rPr>
          <w:rStyle w:val="VerbatimChar"/>
        </w:rPr>
        <w:t xml:space="preserve">server/schwab.ts</w:t>
      </w:r>
      <w:r>
        <w:t xml:space="preserve">’s</w:t>
      </w:r>
      <w:r>
        <w:t xml:space="preserve"> </w:t>
      </w:r>
      <w:r>
        <w:rPr>
          <w:rStyle w:val="VerbatimChar"/>
        </w:rPr>
        <w:t xml:space="preserve">fetchHistory()</w:t>
      </w:r>
      <w:r>
        <w:t xml:space="preserve"> </w:t>
      </w:r>
      <w:r>
        <w:t xml:space="preserve">and</w:t>
      </w:r>
      <w:r>
        <w:t xml:space="preserve"> </w:t>
      </w:r>
      <w:r>
        <w:rPr>
          <w:rStyle w:val="VerbatimChar"/>
        </w:rPr>
        <w:t xml:space="preserve">fetchChartHistory()</w:t>
      </w:r>
      <w:r>
        <w:t xml:space="preserve"> </w:t>
      </w:r>
      <w:r>
        <w:t xml:space="preserve">are byte-identical implementations of the same call. Risk of removal: none. Recommendation: keep one, delete the other, and update the two call sites.</w:t>
      </w:r>
    </w:p>
    <w:p>
      <w:pPr>
        <w:pStyle w:val="BodyText"/>
      </w:pPr>
      <w:r>
        <w:rPr>
          <w:rStyle w:val="VerbatimChar"/>
        </w:rPr>
        <w:t xml:space="preserve">server/timeframes.ts</w:t>
      </w:r>
      <w:r>
        <w:t xml:space="preserve"> </w:t>
      </w:r>
      <w:r>
        <w:t xml:space="preserve">and</w:t>
      </w:r>
      <w:r>
        <w:t xml:space="preserve"> </w:t>
      </w:r>
      <w:r>
        <w:rPr>
          <w:rStyle w:val="VerbatimChar"/>
        </w:rPr>
        <w:t xml:space="preserve">server/scoring.ts</w:t>
      </w:r>
      <w:r>
        <w:t xml:space="preserve"> </w:t>
      </w:r>
      <w:r>
        <w:t xml:space="preserve">each independently implement</w:t>
      </w:r>
      <w:r>
        <w:t xml:space="preserve"> </w:t>
      </w:r>
      <w:r>
        <w:rPr>
          <w:rStyle w:val="VerbatimChar"/>
        </w:rPr>
        <w:t xml:space="preserve">resolveDailyEntryQualificationMode</w:t>
      </w:r>
      <w:r>
        <w:t xml:space="preserve"> </w:t>
      </w:r>
      <w:r>
        <w:t xml:space="preserve">and</w:t>
      </w:r>
      <w:r>
        <w:t xml:space="preserve"> </w:t>
      </w:r>
      <w:r>
        <w:rPr>
          <w:rStyle w:val="VerbatimChar"/>
        </w:rPr>
        <w:t xml:space="preserve">dailyEntryDetail</w:t>
      </w:r>
      <w:r>
        <w:t xml:space="preserve">. Risk of removal: low, since behavior is currently identical. Recommendation: export scoring.ts’s version (already exported) and import it from timeframes.ts, deleting the private copy there.</w:t>
      </w:r>
    </w:p>
    <w:p>
      <w:pPr>
        <w:pStyle w:val="BodyText"/>
      </w:pPr>
      <w:r>
        <w:rPr>
          <w:rStyle w:val="VerbatimChar"/>
        </w:rPr>
        <w:t xml:space="preserve">server/scoring.ts</w:t>
      </w:r>
      <w:r>
        <w:t xml:space="preserve"> </w:t>
      </w:r>
      <w:r>
        <w:t xml:space="preserve">and</w:t>
      </w:r>
      <w:r>
        <w:t xml:space="preserve"> </w:t>
      </w:r>
      <w:r>
        <w:rPr>
          <w:rStyle w:val="VerbatimChar"/>
        </w:rPr>
        <w:t xml:space="preserve">server/scanner.ts</w:t>
      </w:r>
      <w:r>
        <w:t xml:space="preserve"> </w:t>
      </w:r>
      <w:r>
        <w:t xml:space="preserve">each independently implement</w:t>
      </w:r>
      <w:r>
        <w:t xml:space="preserve"> </w:t>
      </w:r>
      <w:r>
        <w:rPr>
          <w:rStyle w:val="VerbatimChar"/>
        </w:rPr>
        <w:t xml:space="preserve">gradeFromSetupScore</w:t>
      </w:r>
      <w:r>
        <w:t xml:space="preserve">. Risk: low. Recommendation: export scoring.ts’s version and import it in scanner.ts rather than re-implementing it.</w:t>
      </w:r>
    </w:p>
    <w:p>
      <w:pPr>
        <w:pStyle w:val="BodyText"/>
      </w:pPr>
      <w:r>
        <w:rPr>
          <w:rStyle w:val="VerbatimChar"/>
        </w:rPr>
        <w:t xml:space="preserve">shared/types.ts</w:t>
      </w:r>
      <w:r>
        <w:t xml:space="preserve">’s</w:t>
      </w:r>
      <w:r>
        <w:t xml:space="preserve"> </w:t>
      </w:r>
      <w:r>
        <w:rPr>
          <w:rStyle w:val="VerbatimChar"/>
        </w:rPr>
        <w:t xml:space="preserve">gradeBeforeQuantData</w:t>
      </w:r>
      <w:r>
        <w:t xml:space="preserve"> </w:t>
      </w:r>
      <w:r>
        <w:t xml:space="preserve">and</w:t>
      </w:r>
      <w:r>
        <w:t xml:space="preserve"> </w:t>
      </w:r>
      <w:r>
        <w:rPr>
          <w:rStyle w:val="VerbatimChar"/>
        </w:rPr>
        <w:t xml:space="preserve">finalGrade</w:t>
      </w:r>
      <w:r>
        <w:t xml:space="preserve"> </w:t>
      </w:r>
      <w:r>
        <w:t xml:space="preserve">fields on</w:t>
      </w:r>
      <w:r>
        <w:t xml:space="preserve"> </w:t>
      </w:r>
      <w:r>
        <w:rPr>
          <w:rStyle w:val="VerbatimChar"/>
        </w:rPr>
        <w:t xml:space="preserve">ScanResult</w:t>
      </w:r>
      <w:r>
        <w:t xml:space="preserve"> </w:t>
      </w:r>
      <w:r>
        <w:t xml:space="preserve">are always equal in the current implementation, since</w:t>
      </w:r>
      <w:r>
        <w:t xml:space="preserve"> </w:t>
      </w:r>
      <w:r>
        <w:rPr>
          <w:rStyle w:val="VerbatimChar"/>
        </w:rPr>
        <w:t xml:space="preserve">applyInstitutionalPositioning</w:t>
      </w:r>
      <w:r>
        <w:t xml:space="preserve"> </w:t>
      </w:r>
      <w:r>
        <w:t xml:space="preserve">never actually changes</w:t>
      </w:r>
      <w:r>
        <w:t xml:space="preserve"> </w:t>
      </w:r>
      <w:r>
        <w:rPr>
          <w:rStyle w:val="VerbatimChar"/>
        </w:rPr>
        <w:t xml:space="preserve">result.grade</w:t>
      </w:r>
      <w:r>
        <w:t xml:space="preserve"> </w:t>
      </w:r>
      <w:r>
        <w:t xml:space="preserve">— the schema implies a</w:t>
      </w:r>
      <w:r>
        <w:t xml:space="preserve"> </w:t>
      </w:r>
      <w:r>
        <w:t xml:space="preserve">“</w:t>
      </w:r>
      <w:r>
        <w:t xml:space="preserve">before/after QuantData</w:t>
      </w:r>
      <w:r>
        <w:t xml:space="preserve">”</w:t>
      </w:r>
      <w:r>
        <w:t xml:space="preserve"> </w:t>
      </w:r>
      <w:r>
        <w:t xml:space="preserve">grade change that was never implemented. Recommendation: either implement an actual grade change for a future</w:t>
      </w:r>
      <w:r>
        <w:t xml:space="preserve"> </w:t>
      </w:r>
      <w:r>
        <w:t xml:space="preserve">“</w:t>
      </w:r>
      <w:r>
        <w:t xml:space="preserve">QuantData can upgrade a B to A</w:t>
      </w:r>
      <w:r>
        <w:t xml:space="preserve">”</w:t>
      </w:r>
      <w:r>
        <w:t xml:space="preserve"> </w:t>
      </w:r>
      <w:r>
        <w:t xml:space="preserve">feature, or collapse to a single field and simplify the frontend’s</w:t>
      </w:r>
      <w:r>
        <w:t xml:space="preserve"> </w:t>
      </w:r>
      <w:r>
        <w:t xml:space="preserve">“</w:t>
      </w:r>
      <w:r>
        <w:t xml:space="preserve">Final Grade</w:t>
      </w:r>
      <w:r>
        <w:t xml:space="preserve">”</w:t>
      </w:r>
      <w:r>
        <w:t xml:space="preserve"> </w:t>
      </w:r>
      <w:r>
        <w:t xml:space="preserve">display logic.</w:t>
      </w:r>
    </w:p>
    <w:p>
      <w:pPr>
        <w:pStyle w:val="Heading1"/>
      </w:pPr>
      <w:bookmarkStart w:id="25" w:name="security-and-reliability"/>
      <w:r>
        <w:t xml:space="preserve">Security and Reliability</w:t>
      </w:r>
      <w:bookmarkEnd w:id="25"/>
    </w:p>
    <w:p>
      <w:pPr>
        <w:pStyle w:val="FirstParagraph"/>
      </w:pPr>
      <w:r>
        <w:t xml:space="preserve">No hardcoded secrets, API keys, or credentials were found in the reviewed source;</w:t>
      </w:r>
      <w:r>
        <w:t xml:space="preserve"> </w:t>
      </w:r>
      <w:r>
        <w:rPr>
          <w:rStyle w:val="VerbatimChar"/>
        </w:rPr>
        <w:t xml:space="preserve">config.ts</w:t>
      </w:r>
      <w:r>
        <w:t xml:space="preserve"> </w:t>
      </w:r>
      <w:r>
        <w:t xml:space="preserve">reads all secrets from environment variables, and</w:t>
      </w:r>
      <w:r>
        <w:t xml:space="preserve"> </w:t>
      </w:r>
      <w:r>
        <w:rPr>
          <w:rStyle w:val="VerbatimChar"/>
        </w:rPr>
        <w:t xml:space="preserve">.env.example</w:t>
      </w:r>
      <w:r>
        <w:t xml:space="preserve"> </w:t>
      </w:r>
      <w:r>
        <w:t xml:space="preserve">correctly ships with blank values. Schwab OAuth tokens are stored via the same settings table as everything else (SQLite or Postgres), which is reasonable for a single-user local or self-hosted app but worth keeping in mind if this is ever exposed to more than one user — there is currently no per-user token isolation, and no encryption-at-rest for the stored access or refresh tokens beyond whatever the database itself provides.</w:t>
      </w:r>
    </w:p>
    <w:p>
      <w:pPr>
        <w:pStyle w:val="BodyText"/>
      </w:pPr>
      <w:r>
        <w:rPr>
          <w:rStyle w:val="VerbatimChar"/>
        </w:rPr>
        <w:t xml:space="preserve">server/sqlite.ts</w:t>
      </w:r>
      <w:r>
        <w:t xml:space="preserve">’s SQLite path builds SQL text via manual string interpolation with a hand-rolled escaper rather than parameterized queries — the Postgres path correctly uses bound placeholders via</w:t>
      </w:r>
      <w:r>
        <w:t xml:space="preserve"> </w:t>
      </w:r>
      <w:r>
        <w:rPr>
          <w:rStyle w:val="VerbatimChar"/>
        </w:rPr>
        <w:t xml:space="preserve">pg.Pool</w:t>
      </w:r>
      <w:r>
        <w:t xml:space="preserve">. Every current caller passes internally-generated keys (setting names, JSON-serialized payloads) rather than raw user input, so this is not an active injection vector today, but it is inconsistent with the safer pattern already used on the Postgres path and is worth fixing before any code path starts writing user-supplied strings into a SQLite query.</w:t>
      </w:r>
    </w:p>
    <w:p>
      <w:pPr>
        <w:pStyle w:val="BodyText"/>
      </w:pPr>
      <w:r>
        <w:t xml:space="preserve">The</w:t>
      </w:r>
      <w:r>
        <w:t xml:space="preserve"> </w:t>
      </w:r>
      <w:r>
        <w:t xml:space="preserve">“</w:t>
      </w:r>
      <w:r>
        <w:t xml:space="preserve">database is locked</w:t>
      </w:r>
      <w:r>
        <w:t xml:space="preserve">”</w:t>
      </w:r>
      <w:r>
        <w:t xml:space="preserve"> </w:t>
      </w:r>
      <w:r>
        <w:t xml:space="preserve">suppression covered in Critical Issues is as much a reliability problem as an accuracy one: a write failure during a scan is invisible to the user.</w:t>
      </w:r>
    </w:p>
    <w:p>
      <w:pPr>
        <w:pStyle w:val="Heading1"/>
      </w:pPr>
      <w:bookmarkStart w:id="26" w:name="architecture-recommendations"/>
      <w:r>
        <w:t xml:space="preserve">Architecture Recommendations</w:t>
      </w:r>
      <w:bookmarkEnd w:id="26"/>
    </w:p>
    <w:p>
      <w:pPr>
        <w:pStyle w:val="FirstParagraph"/>
      </w:pPr>
      <w:r>
        <w:t xml:space="preserve">The project is small enough that a single scoring.ts (about 1000 lines) and scanner.ts are still navigable, but both are already at the point where splitting pays off: scoring.ts’s six factor evaluators are natural candidates for one file per factor, and scanner.ts’s cached-result-normalization logic is large enough and different enough in purpose from the live-scan orchestration above it to warrant its own module — which would also make the scoring-logic duplication called out above easier to eliminate, since there would be one obvious place to import from.</w:t>
      </w:r>
    </w:p>
    <w:p>
      <w:pPr>
        <w:pStyle w:val="BodyText"/>
      </w:pPr>
      <w:r>
        <w:t xml:space="preserve">The per-query SQLite subprocess pattern is also an architectural issue, not just a speed one: shelling out blocks the Node event loop synchronously for the duration of every database call, which serializes work that could otherwise overlap with in-flight API calls during a scan.</w:t>
      </w:r>
    </w:p>
    <w:p>
      <w:pPr>
        <w:pStyle w:val="BodyText"/>
      </w:pPr>
      <w:r>
        <w:t xml:space="preserve">Consider extracting the Schwab/FMP/QuantData</w:t>
      </w:r>
      <w:r>
        <w:t xml:space="preserve"> </w:t>
      </w:r>
      <w:r>
        <w:t xml:space="preserve">“</w:t>
      </w:r>
      <w:r>
        <w:t xml:space="preserve">provider</w:t>
      </w:r>
      <w:r>
        <w:t xml:space="preserve">”</w:t>
      </w:r>
      <w:r>
        <w:t xml:space="preserve"> </w:t>
      </w:r>
      <w:r>
        <w:t xml:space="preserve">pattern (each already exposes an enrich-style function with its own budget, cache, and TTL bookkeeping) into a shared small framework — the three providers already share nearly the same shape, and a shared abstraction would make the next data-provider integration mostly configuration rather than another few-hundred-line bespoke module.</w:t>
      </w:r>
    </w:p>
    <w:p>
      <w:pPr>
        <w:pStyle w:val="Heading1"/>
      </w:pPr>
      <w:bookmarkStart w:id="27" w:name="quick-wins"/>
      <w:r>
        <w:t xml:space="preserve">Quick Wins</w:t>
      </w:r>
      <w:bookmarkEnd w:id="27"/>
    </w:p>
    <w:p>
      <w:pPr>
        <w:pStyle w:val="FirstParagraph"/>
      </w:pPr>
      <w:r>
        <w:t xml:space="preserve">These are small, low-risk, high-value changes that can be made immediately.</w:t>
      </w:r>
    </w:p>
    <w:p>
      <w:pPr>
        <w:pStyle w:val="BodyText"/>
      </w:pPr>
      <w:r>
        <w:t xml:space="preserve">Fix the candle-length mismatch: change scanner.ts’s candle-sufficiency check to match indicators.ts’s real requirement, or import a shared minimum-candles constant.</w:t>
      </w:r>
    </w:p>
    <w:p>
      <w:pPr>
        <w:pStyle w:val="BodyText"/>
      </w:pPr>
      <w:r>
        <w:t xml:space="preserve">Fix</w:t>
      </w:r>
      <w:r>
        <w:t xml:space="preserve"> </w:t>
      </w:r>
      <w:r>
        <w:rPr>
          <w:rStyle w:val="VerbatimChar"/>
        </w:rPr>
        <w:t xml:space="preserve">firstNumber()</w:t>
      </w:r>
      <w:r>
        <w:t xml:space="preserve"> </w:t>
      </w:r>
      <w:r>
        <w:t xml:space="preserve">in schwab.ts to accept negative and zero values for EPS, P/E ratio, and beta.</w:t>
      </w:r>
    </w:p>
    <w:p>
      <w:pPr>
        <w:pStyle w:val="BodyText"/>
      </w:pPr>
      <w:r>
        <w:t xml:space="preserve">Add error handling to the initial results fetch and wrap</w:t>
      </w:r>
      <w:r>
        <w:t xml:space="preserve"> </w:t>
      </w:r>
      <w:r>
        <w:rPr>
          <w:rStyle w:val="VerbatimChar"/>
        </w:rPr>
        <w:t xml:space="preserve">runScan()</w:t>
      </w:r>
      <w:r>
        <w:t xml:space="preserve">’s body so a failed scan request always clears the loading state.</w:t>
      </w:r>
    </w:p>
    <w:p>
      <w:pPr>
        <w:pStyle w:val="BodyText"/>
      </w:pPr>
      <w:r>
        <w:t xml:space="preserve">Delete</w:t>
      </w:r>
      <w:r>
        <w:t xml:space="preserve"> </w:t>
      </w:r>
      <w:r>
        <w:rPr>
          <w:rStyle w:val="VerbatimChar"/>
        </w:rPr>
        <w:t xml:space="preserve">canQuantDataPromote()</w:t>
      </w:r>
      <w:r>
        <w:t xml:space="preserve"> </w:t>
      </w:r>
      <w:r>
        <w:t xml:space="preserve">and the duplicate</w:t>
      </w:r>
      <w:r>
        <w:t xml:space="preserve"> </w:t>
      </w:r>
      <w:r>
        <w:rPr>
          <w:rStyle w:val="VerbatimChar"/>
        </w:rPr>
        <w:t xml:space="preserve">fetchHistory</w:t>
      </w:r>
      <w:r>
        <w:t xml:space="preserve">/</w:t>
      </w:r>
      <w:r>
        <w:rPr>
          <w:rStyle w:val="VerbatimChar"/>
        </w:rPr>
        <w:t xml:space="preserve">fetchChartHistory</w:t>
      </w:r>
      <w:r>
        <w:t xml:space="preserve"> </w:t>
      </w:r>
      <w:r>
        <w:t xml:space="preserve">pair.</w:t>
      </w:r>
    </w:p>
    <w:p>
      <w:pPr>
        <w:pStyle w:val="BodyText"/>
      </w:pPr>
      <w:r>
        <w:t xml:space="preserve">Either remove the</w:t>
      </w:r>
      <w:r>
        <w:t xml:space="preserve"> </w:t>
      </w:r>
      <w:r>
        <w:t xml:space="preserve">“</w:t>
      </w:r>
      <w:r>
        <w:t xml:space="preserve">A grade capped</w:t>
      </w:r>
      <w:r>
        <w:t xml:space="preserve">”</w:t>
      </w:r>
      <w:r>
        <w:t xml:space="preserve"> </w:t>
      </w:r>
      <w:r>
        <w:t xml:space="preserve">strings or make the existing cap flag actually cap the grade — whichever is the intended behavior, the current mismatch is a fast fix once decided.</w:t>
      </w:r>
    </w:p>
    <w:p>
      <w:pPr>
        <w:pStyle w:val="BodyText"/>
      </w:pPr>
      <w:r>
        <w:t xml:space="preserve">Add one bounded retry with backoff for 429 and 5xx responses in the Schwab, FMP, and QuantData request helpers.</w:t>
      </w:r>
    </w:p>
    <w:p>
      <w:pPr>
        <w:pStyle w:val="Heading1"/>
      </w:pPr>
      <w:bookmarkStart w:id="28" w:name="high-impact-refactors"/>
      <w:r>
        <w:t xml:space="preserve">High-Impact Refactors</w:t>
      </w:r>
      <w:bookmarkEnd w:id="28"/>
    </w:p>
    <w:p>
      <w:pPr>
        <w:pStyle w:val="FirstParagraph"/>
      </w:pPr>
      <w:r>
        <w:t xml:space="preserve">These require more effort but meaningfully improve accuracy, performance, or maintainability.</w:t>
      </w:r>
    </w:p>
    <w:p>
      <w:pPr>
        <w:pStyle w:val="BodyText"/>
      </w:pPr>
      <w:r>
        <w:t xml:space="preserve">Replace the per-query sqlite3 CLI shell-out with an embedded driver and batch scan-result writes into a single transaction.</w:t>
      </w:r>
    </w:p>
    <w:p>
      <w:pPr>
        <w:pStyle w:val="BodyText"/>
      </w:pPr>
      <w:r>
        <w:t xml:space="preserve">Rewrite the squeeze-dot counter as a single forward pass that tracks squeeze state incrementally instead of recomputing full indicator series per window.</w:t>
      </w:r>
    </w:p>
    <w:p>
      <w:pPr>
        <w:pStyle w:val="BodyText"/>
      </w:pPr>
      <w:r>
        <w:t xml:space="preserve">Consolidate the duplicated entry-zone and grade-derivation logic into single shared implementations, removing the split-brain risk between cached and freshly-scanned results.</w:t>
      </w:r>
    </w:p>
    <w:p>
      <w:pPr>
        <w:pStyle w:val="BodyText"/>
      </w:pPr>
      <w:r>
        <w:t xml:space="preserve">Add a shared in-flight-refresh lock around Schwab’s token refresh to eliminate the concurrent-refresh race condition.</w:t>
      </w:r>
    </w:p>
    <w:p>
      <w:pPr>
        <w:pStyle w:val="BodyText"/>
      </w:pPr>
      <w:r>
        <w:t xml:space="preserve">Replace the Wikipedia and stockanalysis.com regex scraping fallback with either a maintained structured data source or, at minimum, a parser that validates table structure rather than assuming fixed cell positions.</w:t>
      </w:r>
    </w:p>
    <w:p>
      <w:pPr>
        <w:pStyle w:val="Heading1"/>
      </w:pPr>
      <w:bookmarkStart w:id="29" w:name="suggested-pull-requests"/>
      <w:r>
        <w:t xml:space="preserve">Suggested Pull Requests</w:t>
      </w:r>
      <w:bookmarkEnd w:id="29"/>
    </w:p>
    <w:p>
      <w:pPr>
        <w:pStyle w:val="FirstParagraph"/>
      </w:pPr>
      <w:r>
        <w:t xml:space="preserve">A prioritized roadmap. Earlier PRs are smaller and address the highest-severity, most isolated issues first.</w:t>
      </w:r>
    </w:p>
    <w:p>
      <w:pPr>
        <w:pStyle w:val="BodyText"/>
      </w:pPr>
      <w:r>
        <w:t xml:space="preserve">PR 1 — Fix grade-cap enforcement and candle-length mismatch. Goal: close the two clearest cases where the code doesn’t do what its own messaging claims. Files: server/scoring.ts (evaluateSetupScore and capA handling), server/scanner.ts (scanSymbol’s candle-length check and its error-matching in the catch block). Risk: low, both are narrow, well-understood conditionals; add a test asserting a symbol missing both Sector Strength and Catalyst Safety data cannot reach grade A once the cap is enforced. Benefit: directly fixes the two most concrete</w:t>
      </w:r>
      <w:r>
        <w:t xml:space="preserve"> </w:t>
      </w:r>
      <w:r>
        <w:t xml:space="preserve">“</w:t>
      </w:r>
      <w:r>
        <w:t xml:space="preserve">false A grade</w:t>
      </w:r>
      <w:r>
        <w:t xml:space="preserve">”</w:t>
      </w:r>
      <w:r>
        <w:t xml:space="preserve"> </w:t>
      </w:r>
      <w:r>
        <w:t xml:space="preserve">and</w:t>
      </w:r>
      <w:r>
        <w:t xml:space="preserve"> </w:t>
      </w:r>
      <w:r>
        <w:t xml:space="preserve">“</w:t>
      </w:r>
      <w:r>
        <w:t xml:space="preserve">wasted API call plus wrong diagnostic</w:t>
      </w:r>
      <w:r>
        <w:t xml:space="preserve">”</w:t>
      </w:r>
      <w:r>
        <w:t xml:space="preserve"> </w:t>
      </w:r>
      <w:r>
        <w:t xml:space="preserve">bugs found.</w:t>
      </w:r>
    </w:p>
    <w:p>
      <w:pPr>
        <w:pStyle w:val="BodyText"/>
      </w:pPr>
      <w:r>
        <w:t xml:space="preserve">PR 2 — Fix fundamentals data-quality bugs. Goal: stop silently discarding negative EPS, P/E, and beta values, and stop letting demo data blend into live results invisibly. Files: server/schwab.ts (firstNumber), server/scanner.ts (mergeFundamentals, valueWithSource), shared/types.ts (extend the data-source type if a</w:t>
      </w:r>
      <w:r>
        <w:t xml:space="preserve"> </w:t>
      </w:r>
      <w:r>
        <w:t xml:space="preserve">“</w:t>
      </w:r>
      <w:r>
        <w:t xml:space="preserve">mock</w:t>
      </w:r>
      <w:r>
        <w:t xml:space="preserve">”</w:t>
      </w:r>
      <w:r>
        <w:t xml:space="preserve"> </w:t>
      </w:r>
      <w:r>
        <w:t xml:space="preserve">flag is added), src/main.tsx (surface provenance). Risk: low to medium, changing firstNumber’s filter changes what counts as</w:t>
      </w:r>
      <w:r>
        <w:t xml:space="preserve"> </w:t>
      </w:r>
      <w:r>
        <w:t xml:space="preserve">“</w:t>
      </w:r>
      <w:r>
        <w:t xml:space="preserve">available</w:t>
      </w:r>
      <w:r>
        <w:t xml:space="preserve">”</w:t>
      </w:r>
      <w:r>
        <w:t xml:space="preserve"> </w:t>
      </w:r>
      <w:r>
        <w:t xml:space="preserve">for a few fields; verify against existing schwab.test.ts fixtures and add cases for negative EPS. Benefit: removes two distinct, well-reasoned accuracy risks with user-visible impact.</w:t>
      </w:r>
    </w:p>
    <w:p>
      <w:pPr>
        <w:pStyle w:val="BodyText"/>
      </w:pPr>
      <w:r>
        <w:t xml:space="preserve">PR 3 — SQLite performance and reliability. Goal: replace the per-query CLI shell-out with an embedded driver, batch scan-result writes into one transaction, and stop suppressing</w:t>
      </w:r>
      <w:r>
        <w:t xml:space="preserve"> </w:t>
      </w:r>
      <w:r>
        <w:t xml:space="preserve">“</w:t>
      </w:r>
      <w:r>
        <w:t xml:space="preserve">database is locked</w:t>
      </w:r>
      <w:r>
        <w:t xml:space="preserve">”</w:t>
      </w:r>
      <w:r>
        <w:t xml:space="preserve"> </w:t>
      </w:r>
      <w:r>
        <w:t xml:space="preserve">warnings once the root cause is fixed. Files: server/sqlite.ts (full rewrite of the SQLite path), server/scanner.ts (shouldShowWarning’s suppression list, once no longer needed). Risk: medium, touches every persistence call in the app and needs full regression testing against both the SQLite and Postgres code paths. Benefit: removes the largest performance bottleneck and the most concrete silent-failure reliability issue.</w:t>
      </w:r>
    </w:p>
    <w:p>
      <w:pPr>
        <w:pStyle w:val="BodyText"/>
      </w:pPr>
      <w:r>
        <w:t xml:space="preserve">PR 4 — Deduplicate business logic. Goal: single-source the entry-zone qualification helpers and the grade-from-score function, and reconcile the cached-result-normalization path in scanner.ts with scoring.ts’s live-scan path (or explicitly document why they must differ). Files: server/timeframes.ts, server/scoring.ts, server/scanner.ts. Risk: low, behavior is currently identical between duplicates, so consolidation should be behavior-preserving and is covered by existing tests. Benefit: removes the split-brain risk where cached and freshly-scanned views of the same data could diverge after a future change.</w:t>
      </w:r>
    </w:p>
    <w:p>
      <w:pPr>
        <w:pStyle w:val="BodyText"/>
      </w:pPr>
      <w:r>
        <w:t xml:space="preserve">PR 5 — Squeeze-dot performance rewrite. Goal: replace the quadratic squeeze-dot recomputation with a single forward pass. Files: server/indicators.ts, server/indicators.test.ts (extend coverage comparing the new implementation against the existing one on real fixtures before removing the old one). Risk: medium, this is on the critical path for every symbol’s grade and requires careful equivalence testing before switching over. Benefit: the largest algorithmic performance improvement identified, scaling with universe size.</w:t>
      </w:r>
    </w:p>
    <w:p>
      <w:pPr>
        <w:pStyle w:val="BodyText"/>
      </w:pPr>
      <w:r>
        <w:t xml:space="preserve">PR 6 — API resilience. Goal: add bounded retry and backoff for transient failures across the Schwab, FMP, and QuantData clients, and add a shared in-flight lock around Schwab token refresh. Files: server/schwab.ts, server/fmp.ts, server/fmpInstitutionalEdge.ts, server/quantData.ts. Risk: low to medium, retries need sane caps to avoid extending scan time unacceptably during a real outage. Benefit: improves scan completeness and removes the concurrent-token-refresh race condition.</w:t>
      </w:r>
    </w:p>
    <w:p>
      <w:pPr>
        <w:pStyle w:val="BodyText"/>
      </w:pPr>
      <w:r>
        <w:t xml:space="preserve">PR 7 — Frontend error handling and dead-code cleanup. Goal: fix the stuck-loading-state bug in src/main.tsx, remove canQuantDataPromote, the duplicate fetchHistory/fetchChartHistory pair, and the unused put-options code path in schwab.ts. Files: src/main.tsx, server/scoring.ts, server/schwab.ts. Risk: low. Benefit: a small reliability fix plus general codebase cleanup with no behavior change to the scoring pipeline.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Trade-Screener Code Audit</dc:title>
  <dc:creator>Prepared for Craig Banks Jr</dc:creator>
  <cp:keywords/>
  <dcterms:created xsi:type="dcterms:W3CDTF">2026-07-02T15:28:30Z</dcterms:created>
  <dcterms:modified xsi:type="dcterms:W3CDTF">2026-07-02T15:28:30Z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 2026</vt:lpwstr>
  </property>
</Properties>
</file>