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Trade-Screener 2.0</w:t>
      </w:r>
    </w:p>
    <w:p>
      <w:r>
        <w:rPr>
          <w:b/>
          <w:sz w:val="28"/>
        </w:rPr>
        <w:t>Institutional Market-Structure Enhancement Plan — QuantData API</w:t>
      </w:r>
    </w:p>
    <w:p>
      <w:r>
        <w:rPr>
          <w:i/>
          <w:color w:val="555555"/>
          <w:sz w:val="20"/>
        </w:rPr>
        <w:t>Prepared for cbanksjr/Trade-Screener · repo baseline: commit 3bbdd90 ("Tighten liquidity and option quality filters") · July 3, 2026</w:t>
      </w:r>
    </w:p>
    <w:p>
      <w:pPr>
        <w:pStyle w:val="Heading1"/>
      </w:pPr>
      <w:r>
        <w:t>1. Executive Summary</w:t>
      </w:r>
    </w:p>
    <w:p>
      <w:r>
        <w:t>The screener already treats QuantData as an institutional-positioning overlay, but it uses only 2 of QuantData's 30 REST endpoints — Net Drift and Order Flow Consolidated — both of which describe the same thing: aggregate call/put premium sentiment for a symbol. Everything QuantData offers about where dealers are positioned, where real institutional money has printed on the tape historically, where an options chain is structurally likely to pin, and whether today's options activity represents genuinely fresh positioning is currently unused.</w:t>
      </w:r>
    </w:p>
    <w:p>
      <w:r>
        <w:t>This plan proposes six new institutional factor groups built from QuantData endpoints not currently called by the app, each mapped to a specific, falsifiable improvement in the long-call “squeeze compression” strategy the screener already runs: knowing how much room a breakout has before it meets dealer resistance, whether price sits on top of real institutional support, whether an expiration is about to get pinned against the trade, and whether the volatility coil the technical scanner detects is actually confirmed by real options positioning or just a chart pattern with no flow behind it.</w:t>
      </w:r>
    </w:p>
    <w:p>
      <w:r>
        <w:t>Two existing bugs should be fixed before any new institutional factor is added, because both affect the trustworthiness of the exact mechanism (QuantData confidence → grade) that this plan extends: the documented but non-functional “A grade capped” enforcement in server/scoring.ts, and the likely double-counting of premium between the Net Drift and Order Flow Consolidated endpoints in server/quantData.ts. Building new confirmation logic on top of either bug would just produce more confidently wrong grades.</w:t>
      </w:r>
    </w:p>
    <w:p>
      <w:pPr>
        <w:pStyle w:val="Heading1"/>
      </w:pPr>
      <w:r>
        <w:t>2. Current QuantData Usage (Baseline)</w:t>
      </w:r>
    </w:p>
    <w:p>
      <w:r>
        <w:t>Per the existing codebase audit (Trade-Screener-Audit.docx), QuantData is wired in as follows:</w:t>
      </w:r>
    </w:p>
    <w:p>
      <w:pPr>
        <w:pStyle w:val="ListBullet"/>
      </w:pPr>
      <w:r>
        <w:t>server/quantData.ts calls only the Net Drift (POST /v1/options/tool/net-drift) and Order Flow Consolidated (POST /v1/options/tool/order-flow/consolidated) endpoints.</w:t>
      </w:r>
    </w:p>
    <w:p>
      <w:pPr>
        <w:pStyle w:val="ListBullet"/>
      </w:pPr>
      <w:r>
        <w:t>normalizeOptionsFlow() sums Net Drift's netCallPremium/netPutPremium with Order Flow Consolidated's ask-side premium into one call-premium total, with no de-duplication between the two — flagged in the audit as a likely double-count, since both endpoints can report overlapping trade populations.</w:t>
      </w:r>
    </w:p>
    <w:p>
      <w:pPr>
        <w:pStyle w:val="ListBullet"/>
      </w:pPr>
      <w:r>
        <w:t>The result feeds an “Institutional Positioning” status (e.g. Bullish / Bearish / Neutral / Confirmed) that is explicitly informational/veto-only — it does not currently change the letter grade.</w:t>
      </w:r>
    </w:p>
    <w:p>
      <w:pPr>
        <w:pStyle w:val="ListBullet"/>
      </w:pPr>
      <w:r>
        <w:t>shared/types.ts already defines gradeBeforeQuantData and finalGrade fields on ScanResult, and server/scoring.ts has a dead canQuantDataPromote() function — both are unused remnants of a grade-promotion feature that was designed but never finished.</w:t>
      </w:r>
    </w:p>
    <w:p>
      <w:r>
        <w:t>In short: the integration pattern (a provider module with its own budget/cache/TTL, called after the technical setup score is computed) is sound and should be reused, but the factor coverage is minimal — sentiment only, no structure.</w:t>
      </w:r>
    </w:p>
    <w:p>
      <w:pPr>
        <w:pStyle w:val="Heading1"/>
      </w:pPr>
      <w:r>
        <w:t>3. What QuantData Actually Offers (Endpoint Inventory)</w:t>
      </w:r>
    </w:p>
    <w:p>
      <w:r>
        <w:t>QuantData's REST API (quantdata.us/api/docs) exposes 30 endpoints across three surfaces. The table below groups every endpoint by what it measures and flags current usage.</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D9E2F3"/>
          </w:tcPr>
          <w:p>
            <w:r/>
            <w:r>
              <w:rPr>
                <w:b/>
                <w:sz w:val="19"/>
              </w:rPr>
              <w:t>Category</w:t>
            </w:r>
          </w:p>
        </w:tc>
        <w:tc>
          <w:tcPr>
            <w:tcW w:type="dxa" w:w="5328"/>
            <w:shd w:val="clear" w:color="auto" w:fill="D9E2F3"/>
          </w:tcPr>
          <w:p>
            <w:r/>
            <w:r>
              <w:rPr>
                <w:b/>
                <w:sz w:val="19"/>
              </w:rPr>
              <w:t>Endpoints</w:t>
            </w:r>
          </w:p>
        </w:tc>
        <w:tc>
          <w:tcPr>
            <w:tcW w:type="dxa" w:w="1872"/>
            <w:shd w:val="clear" w:color="auto" w:fill="D9E2F3"/>
          </w:tcPr>
          <w:p>
            <w:r/>
            <w:r>
              <w:rPr>
                <w:b/>
                <w:sz w:val="19"/>
              </w:rPr>
              <w:t>Currently used?</w:t>
            </w:r>
          </w:p>
        </w:tc>
      </w:tr>
      <w:tr>
        <w:tc>
          <w:tcPr>
            <w:tcW w:type="dxa" w:w="2160"/>
          </w:tcPr>
          <w:p>
            <w:r/>
            <w:r>
              <w:rPr>
                <w:sz w:val="18"/>
              </w:rPr>
              <w:t>Order flow / sentiment</w:t>
            </w:r>
          </w:p>
        </w:tc>
        <w:tc>
          <w:tcPr>
            <w:tcW w:type="dxa" w:w="5328"/>
          </w:tcPr>
          <w:p>
            <w:r/>
            <w:r>
              <w:rPr>
                <w:sz w:val="18"/>
              </w:rPr>
              <w:t>Net Drift, Net Flow, Order Flow Consolidated, Order Flow Unconsolidated, Gainers/Losers, Contract Statistics, Contract Trade Side Statistics, Market Share</w:t>
            </w:r>
          </w:p>
        </w:tc>
        <w:tc>
          <w:tcPr>
            <w:tcW w:type="dxa" w:w="1872"/>
          </w:tcPr>
          <w:p>
            <w:r/>
            <w:r>
              <w:rPr>
                <w:sz w:val="18"/>
              </w:rPr>
              <w:t>Net Drift + Order Flow Consolidated only</w:t>
            </w:r>
          </w:p>
        </w:tc>
      </w:tr>
      <w:tr>
        <w:tc>
          <w:tcPr>
            <w:tcW w:type="dxa" w:w="2160"/>
          </w:tcPr>
          <w:p>
            <w:r/>
            <w:r>
              <w:rPr>
                <w:sz w:val="18"/>
              </w:rPr>
              <w:t>Dealer / Greeks exposure</w:t>
            </w:r>
          </w:p>
        </w:tc>
        <w:tc>
          <w:tcPr>
            <w:tcW w:type="dxa" w:w="5328"/>
          </w:tcPr>
          <w:p>
            <w:r/>
            <w:r>
              <w:rPr>
                <w:sz w:val="18"/>
              </w:rPr>
              <w:t>Exposure By Strike, Exposure By Expiration, Heat Map, Interval Map</w:t>
            </w:r>
          </w:p>
        </w:tc>
        <w:tc>
          <w:tcPr>
            <w:tcW w:type="dxa" w:w="1872"/>
          </w:tcPr>
          <w:p>
            <w:r/>
            <w:r>
              <w:rPr>
                <w:sz w:val="18"/>
              </w:rPr>
              <w:t>No</w:t>
            </w:r>
          </w:p>
        </w:tc>
      </w:tr>
      <w:tr>
        <w:tc>
          <w:tcPr>
            <w:tcW w:type="dxa" w:w="2160"/>
          </w:tcPr>
          <w:p>
            <w:r/>
            <w:r>
              <w:rPr>
                <w:sz w:val="18"/>
              </w:rPr>
              <w:t>Pin risk</w:t>
            </w:r>
          </w:p>
        </w:tc>
        <w:tc>
          <w:tcPr>
            <w:tcW w:type="dxa" w:w="5328"/>
          </w:tcPr>
          <w:p>
            <w:r/>
            <w:r>
              <w:rPr>
                <w:sz w:val="18"/>
              </w:rPr>
              <w:t>Max Pain, Max Pain Over Time</w:t>
            </w:r>
          </w:p>
        </w:tc>
        <w:tc>
          <w:tcPr>
            <w:tcW w:type="dxa" w:w="1872"/>
          </w:tcPr>
          <w:p>
            <w:r/>
            <w:r>
              <w:rPr>
                <w:sz w:val="18"/>
              </w:rPr>
              <w:t>No</w:t>
            </w:r>
          </w:p>
        </w:tc>
      </w:tr>
      <w:tr>
        <w:tc>
          <w:tcPr>
            <w:tcW w:type="dxa" w:w="2160"/>
          </w:tcPr>
          <w:p>
            <w:r/>
            <w:r>
              <w:rPr>
                <w:sz w:val="18"/>
              </w:rPr>
              <w:t>Open interest</w:t>
            </w:r>
          </w:p>
        </w:tc>
        <w:tc>
          <w:tcPr>
            <w:tcW w:type="dxa" w:w="5328"/>
          </w:tcPr>
          <w:p>
            <w:r/>
            <w:r>
              <w:rPr>
                <w:sz w:val="18"/>
              </w:rPr>
              <w:t>Open Interest By Strike, Open Interest By Expiration, Open Interest Over Time, Open Interest Change</w:t>
            </w:r>
          </w:p>
        </w:tc>
        <w:tc>
          <w:tcPr>
            <w:tcW w:type="dxa" w:w="1872"/>
          </w:tcPr>
          <w:p>
            <w:r/>
            <w:r>
              <w:rPr>
                <w:sz w:val="18"/>
              </w:rPr>
              <w:t>No</w:t>
            </w:r>
          </w:p>
        </w:tc>
      </w:tr>
      <w:tr>
        <w:tc>
          <w:tcPr>
            <w:tcW w:type="dxa" w:w="2160"/>
          </w:tcPr>
          <w:p>
            <w:r/>
            <w:r>
              <w:rPr>
                <w:sz w:val="18"/>
              </w:rPr>
              <w:t>Volatility</w:t>
            </w:r>
          </w:p>
        </w:tc>
        <w:tc>
          <w:tcPr>
            <w:tcW w:type="dxa" w:w="5328"/>
          </w:tcPr>
          <w:p>
            <w:r/>
            <w:r>
              <w:rPr>
                <w:sz w:val="18"/>
              </w:rPr>
              <w:t>IV Rank, Volatility Skew, Volatility Drift, Term Structure</w:t>
            </w:r>
          </w:p>
        </w:tc>
        <w:tc>
          <w:tcPr>
            <w:tcW w:type="dxa" w:w="1872"/>
          </w:tcPr>
          <w:p>
            <w:r/>
            <w:r>
              <w:rPr>
                <w:sz w:val="18"/>
              </w:rPr>
              <w:t>No</w:t>
            </w:r>
          </w:p>
        </w:tc>
      </w:tr>
      <w:tr>
        <w:tc>
          <w:tcPr>
            <w:tcW w:type="dxa" w:w="2160"/>
          </w:tcPr>
          <w:p>
            <w:r/>
            <w:r>
              <w:rPr>
                <w:sz w:val="18"/>
              </w:rPr>
              <w:t>Dark pool / off-exchange</w:t>
            </w:r>
          </w:p>
        </w:tc>
        <w:tc>
          <w:tcPr>
            <w:tcW w:type="dxa" w:w="5328"/>
          </w:tcPr>
          <w:p>
            <w:r/>
            <w:r>
              <w:rPr>
                <w:sz w:val="18"/>
              </w:rPr>
              <w:t>Dark Flow, Dark Pool Levels, Equity Prints</w:t>
            </w:r>
          </w:p>
        </w:tc>
        <w:tc>
          <w:tcPr>
            <w:tcW w:type="dxa" w:w="1872"/>
          </w:tcPr>
          <w:p>
            <w:r/>
            <w:r>
              <w:rPr>
                <w:sz w:val="18"/>
              </w:rPr>
              <w:t>No</w:t>
            </w:r>
          </w:p>
        </w:tc>
      </w:tr>
      <w:tr>
        <w:tc>
          <w:tcPr>
            <w:tcW w:type="dxa" w:w="2160"/>
          </w:tcPr>
          <w:p>
            <w:r/>
            <w:r>
              <w:rPr>
                <w:sz w:val="18"/>
              </w:rPr>
              <w:t>Reference / misc</w:t>
            </w:r>
          </w:p>
        </w:tc>
        <w:tc>
          <w:tcPr>
            <w:tcW w:type="dxa" w:w="5328"/>
          </w:tcPr>
          <w:p>
            <w:r/>
            <w:r>
              <w:rPr>
                <w:sz w:val="18"/>
              </w:rPr>
              <w:t>Market Map, Exchange Notifications, Stock Price Over Time, Option Price Over Time, News Articles</w:t>
            </w:r>
          </w:p>
        </w:tc>
        <w:tc>
          <w:tcPr>
            <w:tcW w:type="dxa" w:w="1872"/>
          </w:tcPr>
          <w:p>
            <w:r/>
            <w:r>
              <w:rPr>
                <w:sz w:val="18"/>
              </w:rPr>
              <w:t>No</w:t>
            </w:r>
          </w:p>
        </w:tc>
      </w:tr>
    </w:tbl>
    <w:p/>
    <w:p>
      <w:r>
        <w:t>28 of 30 endpoints are unused. Not all are relevant to a long-call breakout screener (Exchange Notifications and Market Map are closer to reference data than trade signals), but the six groups below represent institutional-grade, non-redundant additions.</w:t>
      </w:r>
    </w:p>
    <w:p>
      <w:pPr>
        <w:pStyle w:val="Heading1"/>
      </w:pPr>
      <w:r>
        <w:t>4. Proposed New Institutional Factors</w:t>
      </w:r>
    </w:p>
    <w:p>
      <w:pPr>
        <w:pStyle w:val="Heading2"/>
      </w:pPr>
      <w:r>
        <w:t>4.1 Dealer Gamma / Delta Positioning — “Room to Run”</w:t>
      </w:r>
    </w:p>
    <w:p>
      <w:r>
        <w:t>Endpoints: Exposure By Strike (POST /v1/options/tool/exposure-by-strike, greekMode: GAMMA or DELTA), Exposure By Expiration, Heat Map.</w:t>
      </w:r>
    </w:p>
    <w:p>
      <w:r>
        <w:t>What it adds: the screener's technical layer identifies a compression setup and a breakout direction, but has no concept of where dealer hedging flow will start acting as resistance. Exposure By Strike returns callExposure/putExposure per strike; the largest positive-gamma strikes above the current price act as a magnet/resistance (dealers sell into rallies to stay hedged), and large negative exposure below price acts as support. A setup that is compressing 1% below a strike holding the single largest call-gamma concentration on the chain has materially less room to run than an identical setup with no gamma wall for 8% — same technical grade today, very different realistic upside.</w:t>
      </w:r>
    </w:p>
    <w:p>
      <w:r>
        <w:t>Proposed use: compute distance-to-nearest-major-gamma-wall (call side) as a new factor. Treat a setup as constrained (soft veto or confidence penalty) when price sits within a configurable band (e.g. 1.5%) of a strike holding outsized positive gamma concentration relative to the rest of the chain, and treat ample headroom as a confirming signal alongside the existing Compression Quality factor.</w:t>
      </w:r>
    </w:p>
    <w:p>
      <w:pPr>
        <w:pStyle w:val="Heading2"/>
      </w:pPr>
      <w:r>
        <w:t>4.2 Dark Pool Support / Resistance — Institutional Price Memory</w:t>
      </w:r>
    </w:p>
    <w:p>
      <w:r>
        <w:t>Endpoints: Dark Pool Levels (POST /v1/equities/tool/dark-pool-levels, price level → notionalValue/size/tradeCount over a session range), Dark Flow (time-bucketed off-exchange notional, for detecting same-day accumulation).</w:t>
      </w:r>
    </w:p>
    <w:p>
      <w:r>
        <w:t>What it adds: this is real historical institutional print data, independent of options positioning — it answers whether the price zone the technical scanner just flagged as an entry zone is one where large blocks have actually traded before. A squeeze-compression setup sitting directly on top of a multi-hundred-million-dollar dark pool level is structurally different from an identical setup with no institutional print history nearby.</w:t>
      </w:r>
    </w:p>
    <w:p>
      <w:r>
        <w:t>Proposed use: pull the top 3–5 Dark Pool Levels for the trailing 6–12 months and check whether the current entry zone sits at or just above a top-3 level (support confirmation) versus directly beneath one (resistance headwind, since broken support often becomes resistance and vice versa — QuantData's own guidance). Use Dark Flow same-day to detect live accumulation (rising notional at/above the current price during the session) as a same-day confirming signal, distinct from the historical level check.</w:t>
      </w:r>
    </w:p>
    <w:p>
      <w:pPr>
        <w:pStyle w:val="Heading2"/>
      </w:pPr>
      <w:r>
        <w:t>4.3 Max Pain / Expiration Pin Risk</w:t>
      </w:r>
    </w:p>
    <w:p>
      <w:r>
        <w:t>Endpoints: Max Pain (POST /v1/options/tool/max-pain, requires ticker + expirationDate, returns maxPainStrikePrice), Max Pain Over Time.</w:t>
      </w:r>
    </w:p>
    <w:p>
      <w:r>
        <w:t>What it adds: near an expiration (especially weeklies and 0–2 DTE), price has a documented tendency to gravitate toward the max-pain strike as dealers unwind hedges. A bullish compression setup entered two days before an expiration where max pain sits meaningfully below the current price is fighting a real, quantifiable structural headwind that the current scoring has no way to see.</w:t>
      </w:r>
    </w:p>
    <w:p>
      <w:r>
        <w:t>Proposed use: for the nearest relevant expiration to the trade's expected holding period, compute (currentPrice − maxPainStrikePrice) / currentPrice. Flag as a soft veto when max pain sits materially below price with fewer than ~3 trading days to that expiration; treat max pain at or above price as a mild tailwind rather than a scored factor (avoid overweighting a coincidental alignment).</w:t>
      </w:r>
    </w:p>
    <w:p>
      <w:pPr>
        <w:pStyle w:val="Heading2"/>
      </w:pPr>
      <w:r>
        <w:t>4.4 Fresh Institutional Positioning — Open Interest Change</w:t>
      </w:r>
    </w:p>
    <w:p>
      <w:r>
        <w:t>Endpoints: Open Interest Change (POST /v1/options/tool/open-interest-change, per-contract previousOpenInterest/currentOpenInterest/changeInOpenInterest/percentChangeInOpenInterest, filterable by contractType/strike/expiration ranges), Open Interest By Strike.</w:t>
      </w:r>
    </w:p>
    <w:p>
      <w:r>
        <w:t>What it adds: Net Drift and Order Flow Consolidated show today's trade prints, which can be pure day-trading noise. Open Interest Change shows whether yesterday's positioning actually survived overnight — i.e., whether real new contracts were opened rather than closed same-day. A large call-premium print with no corresponding OI build is far weaker evidence of institutional conviction than the same print followed by a confirmed OI increase at nearby strikes the next session.</w:t>
      </w:r>
    </w:p>
    <w:p>
      <w:r>
        <w:t>Proposed use: for symbols already passing the technical gate, pull same-session Open Interest Change filtered to call contracts within a moneyness band around price; require a minimum aggregate changeInOpenInterest and percentChangeInOpenInterest threshold before letting Net Drift/Order Flow sentiment count as “confirmed” institutional positioning, directly addressing the existing double-counting risk by anchoring the sentiment signal to a genuinely independent data source instead of only reconciling the two premium feeds.</w:t>
      </w:r>
    </w:p>
    <w:p>
      <w:pPr>
        <w:pStyle w:val="Heading2"/>
      </w:pPr>
      <w:r>
        <w:t>4.5 Volatility Regime Confirmation</w:t>
      </w:r>
    </w:p>
    <w:p>
      <w:r>
        <w:t>Endpoints: IV Rank (POST /v1/options/tool/iv-rank, lastIv vs windowMin/windowMax over a lookback), Volatility Skew (strike × expiration IV surface), Term Structure.</w:t>
      </w:r>
    </w:p>
    <w:p>
      <w:r>
        <w:t>What it adds: the screener's whole premise is a Bollinger/Keltner “squeeze” — realized-volatility compression. IV Rank is the options-market's independent read on the same phenomenon and can confirm or contradict it: a true institutional-grade coil should show IV Rank near the low end of its lookback window at the same time price is compressing. If IV Rank is already elevated while price looks technically compressed, options markets are pricing in event risk the technical layer can't see (e.g. earnings, an unscheduled catalyst) — a materially different, riskier setup than the technical Compression Quality factor alone suggests. Volatility Skew can additionally confirm directional positioning: steepening call-side skew (calls getting relatively more expensive than puts) ahead of a breakout corroborates the bullish thesis independent of premium flow.</w:t>
      </w:r>
    </w:p>
    <w:p>
      <w:r>
        <w:t>Proposed use: add IV Rank as a confirming/contradicting check on the existing Compression Quality factor rather than a new standalone factor — this keeps the technical and options-market compression signals honest against each other instead of double-weighting “compression.”</w:t>
      </w:r>
    </w:p>
    <w:p>
      <w:pPr>
        <w:pStyle w:val="Heading2"/>
      </w:pPr>
      <w:r>
        <w:t>4.6 Universe-Level Institutional Flow Ranking</w:t>
      </w:r>
    </w:p>
    <w:p>
      <w:r>
        <w:t>Endpoints: Net Flow, Gainers/Losers, Market Share (all operate across the universe rather than one symbol at a time).</w:t>
      </w:r>
    </w:p>
    <w:p>
      <w:r>
        <w:t>What it adds: today the scanner walks the full S&amp;P 500 + Nasdaq 100 + ETF universe blind to which names institutions are actually active in that session, spending a fixed per-symbol API budget (Schwab quote + chain, FMP fallback, QuantData Net Drift/Order Flow) on every constituent regardless of real options-flow relevance. Net Flow and Gainers/Losers give a market-wide ranking of net call/put premium; using this as a pre-scan prioritization signal (not a hard filter) lets the scanner order its existing per-symbol QuantData spend toward names with real same-day institutional attention first, and — given the fixed per-run API budget already documented in the existing provider pattern — spend proportionally less on names showing no flow at all.</w:t>
      </w:r>
    </w:p>
    <w:p>
      <w:r>
        <w:t>Proposed use: this is a scan-ordering/prioritization signal, not a new scoring factor — keep it out of the setup grade entirely to avoid conflating “institutions are trading this name today” with “this is a good long-call setup,” which are different claims.</w:t>
      </w:r>
    </w:p>
    <w:p>
      <w:pPr>
        <w:pStyle w:val="Heading2"/>
      </w:pPr>
      <w:r>
        <w:t>4.7 News / Catalyst Confirmation</w:t>
      </w:r>
    </w:p>
    <w:p>
      <w:r>
        <w:t>Endpoint: News Articles (POST /v1/news/tool/news-articles, cursor-paginated, ticker/topic/sentiment tagged).</w:t>
      </w:r>
    </w:p>
    <w:p>
      <w:r>
        <w:t>What it adds: the existing Catalyst Safety factor (5-point weight) already checks earnings-date proximity via Schwab/FMP but has no view into same-day news catalysts. A compression breakout coinciding with a QuantData-tagged bullish news item is corroborating evidence; a breakout with negative-sentiment news pending is a risk the current Catalyst Safety factor cannot see because it only checks earnings dates.</w:t>
      </w:r>
    </w:p>
    <w:p>
      <w:r>
        <w:t>Proposed use: lowest priority of the six — treat as a supplementary detail surfaced in the UI (“recent news” panel) rather than a scored factor initially, since sentiment-tagging quality needs to be validated against real Quant Data output before it can safely move the grade.</w:t>
      </w:r>
    </w:p>
    <w:p>
      <w:pPr>
        <w:pStyle w:val="Heading1"/>
      </w:pPr>
      <w:r>
        <w:t>5. Prerequisite Fixes</w:t>
      </w:r>
    </w:p>
    <w:p>
      <w:r>
        <w:t>Both of these are called out in the existing codebase audit and should land before any factor in Section 4, because the new work either extends or depends on the same code paths:</w:t>
      </w:r>
    </w:p>
    <w:p>
      <w:pPr>
        <w:pStyle w:val="ListBullet"/>
      </w:pPr>
      <w:r>
        <w:t>Fix the “A grade capped” enforcement gap in server/scoring.ts (evaluateSetupScore computes capA but never applies it to the returned grade). Every new institutional factor in this plan is designed to feed the same promotion/cap mechanism — building on top of a cap that silently doesn't work means the new factors' effects will be just as invisible.</w:t>
      </w:r>
    </w:p>
    <w:p>
      <w:pPr>
        <w:pStyle w:val="ListBullet"/>
      </w:pPr>
      <w:r>
        <w:t>Resolve the Net Drift / Order Flow Consolidated double-counting in normalizeOptionsFlow() before adding Open Interest Change as a corroborating signal (Section 4.4) — otherwise the new “confirmed” status would be corroborating an already-inflated number.</w:t>
      </w:r>
    </w:p>
    <w:p>
      <w:pPr>
        <w:pStyle w:val="Heading1"/>
      </w:pPr>
      <w:r>
        <w:t>6. Proposed Scoring &amp; Veto Architecture</w:t>
      </w:r>
    </w:p>
    <w:p>
      <w:r>
        <w:t>Institutional factors should not all behave the same way. Some are hard vetoes (structural reasons a setup shouldn't be taken regardless of technical grade), some are confirmations (only relevant alongside an already-passing technical setup), and one enables the grade-promotion path the codebase already has fields for but never implemented.</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D9E2F3"/>
          </w:tcPr>
          <w:p>
            <w:r/>
            <w:r>
              <w:rPr>
                <w:b/>
                <w:sz w:val="19"/>
              </w:rPr>
              <w:t>Factor</w:t>
            </w:r>
          </w:p>
        </w:tc>
        <w:tc>
          <w:tcPr>
            <w:tcW w:type="dxa" w:w="2304"/>
            <w:shd w:val="clear" w:color="auto" w:fill="D9E2F3"/>
          </w:tcPr>
          <w:p>
            <w:r/>
            <w:r>
              <w:rPr>
                <w:b/>
                <w:sz w:val="19"/>
              </w:rPr>
              <w:t>Source endpoint(s)</w:t>
            </w:r>
          </w:p>
        </w:tc>
        <w:tc>
          <w:tcPr>
            <w:tcW w:type="dxa" w:w="2304"/>
            <w:shd w:val="clear" w:color="auto" w:fill="D9E2F3"/>
          </w:tcPr>
          <w:p>
            <w:r/>
            <w:r>
              <w:rPr>
                <w:b/>
                <w:sz w:val="19"/>
              </w:rPr>
              <w:t>Mechanism</w:t>
            </w:r>
          </w:p>
        </w:tc>
        <w:tc>
          <w:tcPr>
            <w:tcW w:type="dxa" w:w="3024"/>
            <w:shd w:val="clear" w:color="auto" w:fill="D9E2F3"/>
          </w:tcPr>
          <w:p>
            <w:r/>
            <w:r>
              <w:rPr>
                <w:b/>
                <w:sz w:val="19"/>
              </w:rPr>
              <w:t>Rule (proposed)</w:t>
            </w:r>
          </w:p>
        </w:tc>
      </w:tr>
      <w:tr>
        <w:tc>
          <w:tcPr>
            <w:tcW w:type="dxa" w:w="1728"/>
          </w:tcPr>
          <w:p>
            <w:r/>
            <w:r>
              <w:rPr>
                <w:sz w:val="18"/>
              </w:rPr>
              <w:t>Gamma wall proximity</w:t>
            </w:r>
          </w:p>
        </w:tc>
        <w:tc>
          <w:tcPr>
            <w:tcW w:type="dxa" w:w="2304"/>
          </w:tcPr>
          <w:p>
            <w:r/>
            <w:r>
              <w:rPr>
                <w:sz w:val="18"/>
              </w:rPr>
              <w:t>Exposure By Strike</w:t>
            </w:r>
          </w:p>
        </w:tc>
        <w:tc>
          <w:tcPr>
            <w:tcW w:type="dxa" w:w="2304"/>
          </w:tcPr>
          <w:p>
            <w:r/>
            <w:r>
              <w:rPr>
                <w:sz w:val="18"/>
              </w:rPr>
              <w:t>Soft veto / confidence penalty</w:t>
            </w:r>
          </w:p>
        </w:tc>
        <w:tc>
          <w:tcPr>
            <w:tcW w:type="dxa" w:w="3024"/>
          </w:tcPr>
          <w:p>
            <w:r/>
            <w:r>
              <w:rPr>
                <w:sz w:val="18"/>
              </w:rPr>
              <w:t>Penalize when price is within ~1.5% of the largest positive-gamma call strike on the chain</w:t>
            </w:r>
          </w:p>
        </w:tc>
      </w:tr>
      <w:tr>
        <w:tc>
          <w:tcPr>
            <w:tcW w:type="dxa" w:w="1728"/>
          </w:tcPr>
          <w:p>
            <w:r/>
            <w:r>
              <w:rPr>
                <w:sz w:val="18"/>
              </w:rPr>
              <w:t>Dark pool support/resistance</w:t>
            </w:r>
          </w:p>
        </w:tc>
        <w:tc>
          <w:tcPr>
            <w:tcW w:type="dxa" w:w="2304"/>
          </w:tcPr>
          <w:p>
            <w:r/>
            <w:r>
              <w:rPr>
                <w:sz w:val="18"/>
              </w:rPr>
              <w:t>Dark Pool Levels, Dark Flow</w:t>
            </w:r>
          </w:p>
        </w:tc>
        <w:tc>
          <w:tcPr>
            <w:tcW w:type="dxa" w:w="2304"/>
          </w:tcPr>
          <w:p>
            <w:r/>
            <w:r>
              <w:rPr>
                <w:sz w:val="18"/>
              </w:rPr>
              <w:t>Confirmation</w:t>
            </w:r>
          </w:p>
        </w:tc>
        <w:tc>
          <w:tcPr>
            <w:tcW w:type="dxa" w:w="3024"/>
          </w:tcPr>
          <w:p>
            <w:r/>
            <w:r>
              <w:rPr>
                <w:sz w:val="18"/>
              </w:rPr>
              <w:t>Confirm when entry zone sits at/above a top-3 trailing dark pool level; flag when directly beneath one</w:t>
            </w:r>
          </w:p>
        </w:tc>
      </w:tr>
      <w:tr>
        <w:tc>
          <w:tcPr>
            <w:tcW w:type="dxa" w:w="1728"/>
          </w:tcPr>
          <w:p>
            <w:r/>
            <w:r>
              <w:rPr>
                <w:sz w:val="18"/>
              </w:rPr>
              <w:t>Max pain pin risk</w:t>
            </w:r>
          </w:p>
        </w:tc>
        <w:tc>
          <w:tcPr>
            <w:tcW w:type="dxa" w:w="2304"/>
          </w:tcPr>
          <w:p>
            <w:r/>
            <w:r>
              <w:rPr>
                <w:sz w:val="18"/>
              </w:rPr>
              <w:t>Max Pain</w:t>
            </w:r>
          </w:p>
        </w:tc>
        <w:tc>
          <w:tcPr>
            <w:tcW w:type="dxa" w:w="2304"/>
          </w:tcPr>
          <w:p>
            <w:r/>
            <w:r>
              <w:rPr>
                <w:sz w:val="18"/>
              </w:rPr>
              <w:t>Soft veto near expiration</w:t>
            </w:r>
          </w:p>
        </w:tc>
        <w:tc>
          <w:tcPr>
            <w:tcW w:type="dxa" w:w="3024"/>
          </w:tcPr>
          <w:p>
            <w:r/>
            <w:r>
              <w:rPr>
                <w:sz w:val="18"/>
              </w:rPr>
              <w:t>Penalize when max pain sits materially below price with &lt;3 trading days to that expiration</w:t>
            </w:r>
          </w:p>
        </w:tc>
      </w:tr>
      <w:tr>
        <w:tc>
          <w:tcPr>
            <w:tcW w:type="dxa" w:w="1728"/>
          </w:tcPr>
          <w:p>
            <w:r/>
            <w:r>
              <w:rPr>
                <w:sz w:val="18"/>
              </w:rPr>
              <w:t>OI Change confirmation</w:t>
            </w:r>
          </w:p>
        </w:tc>
        <w:tc>
          <w:tcPr>
            <w:tcW w:type="dxa" w:w="2304"/>
          </w:tcPr>
          <w:p>
            <w:r/>
            <w:r>
              <w:rPr>
                <w:sz w:val="18"/>
              </w:rPr>
              <w:t>Open Interest Change</w:t>
            </w:r>
          </w:p>
        </w:tc>
        <w:tc>
          <w:tcPr>
            <w:tcW w:type="dxa" w:w="2304"/>
          </w:tcPr>
          <w:p>
            <w:r/>
            <w:r>
              <w:rPr>
                <w:sz w:val="18"/>
              </w:rPr>
              <w:t>Gate on existing sentiment status</w:t>
            </w:r>
          </w:p>
        </w:tc>
        <w:tc>
          <w:tcPr>
            <w:tcW w:type="dxa" w:w="3024"/>
          </w:tcPr>
          <w:p>
            <w:r/>
            <w:r>
              <w:rPr>
                <w:sz w:val="18"/>
              </w:rPr>
              <w:t>Require minimum call-side OI build before Net Drift/Order Flow status can read “Confirmed”</w:t>
            </w:r>
          </w:p>
        </w:tc>
      </w:tr>
      <w:tr>
        <w:tc>
          <w:tcPr>
            <w:tcW w:type="dxa" w:w="1728"/>
          </w:tcPr>
          <w:p>
            <w:r/>
            <w:r>
              <w:rPr>
                <w:sz w:val="18"/>
              </w:rPr>
              <w:t>IV Rank cross-check</w:t>
            </w:r>
          </w:p>
        </w:tc>
        <w:tc>
          <w:tcPr>
            <w:tcW w:type="dxa" w:w="2304"/>
          </w:tcPr>
          <w:p>
            <w:r/>
            <w:r>
              <w:rPr>
                <w:sz w:val="18"/>
              </w:rPr>
              <w:t>IV Rank</w:t>
            </w:r>
          </w:p>
        </w:tc>
        <w:tc>
          <w:tcPr>
            <w:tcW w:type="dxa" w:w="2304"/>
          </w:tcPr>
          <w:p>
            <w:r/>
            <w:r>
              <w:rPr>
                <w:sz w:val="18"/>
              </w:rPr>
              <w:t>Confirmation / contradiction of Compression Quality</w:t>
            </w:r>
          </w:p>
        </w:tc>
        <w:tc>
          <w:tcPr>
            <w:tcW w:type="dxa" w:w="3024"/>
          </w:tcPr>
          <w:p>
            <w:r/>
            <w:r>
              <w:rPr>
                <w:sz w:val="18"/>
              </w:rPr>
              <w:t>Confirm when IV Rank is in the bottom third of its lookback window at the same time price is compressing</w:t>
            </w:r>
          </w:p>
        </w:tc>
      </w:tr>
      <w:tr>
        <w:tc>
          <w:tcPr>
            <w:tcW w:type="dxa" w:w="1728"/>
          </w:tcPr>
          <w:p>
            <w:r/>
            <w:r>
              <w:rPr>
                <w:sz w:val="18"/>
              </w:rPr>
              <w:t>Grade promotion</w:t>
            </w:r>
          </w:p>
        </w:tc>
        <w:tc>
          <w:tcPr>
            <w:tcW w:type="dxa" w:w="2304"/>
          </w:tcPr>
          <w:p>
            <w:r/>
            <w:r>
              <w:rPr>
                <w:sz w:val="18"/>
              </w:rPr>
              <w:t>All of the above, combined</w:t>
            </w:r>
          </w:p>
        </w:tc>
        <w:tc>
          <w:tcPr>
            <w:tcW w:type="dxa" w:w="2304"/>
          </w:tcPr>
          <w:p>
            <w:r/>
            <w:r>
              <w:rPr>
                <w:sz w:val="18"/>
              </w:rPr>
              <w:t>Promotion (new capability)</w:t>
            </w:r>
          </w:p>
        </w:tc>
        <w:tc>
          <w:tcPr>
            <w:tcW w:type="dxa" w:w="3024"/>
          </w:tcPr>
          <w:p>
            <w:r/>
            <w:r>
              <w:rPr>
                <w:sz w:val="18"/>
              </w:rPr>
              <w:t>Allow a B setup to promote to A only when ≥ 3 of the above confirm and none veto — finally implementing gradeBeforeQuantData → finalGrade</w:t>
            </w:r>
          </w:p>
        </w:tc>
      </w:tr>
    </w:tbl>
    <w:p/>
    <w:p>
      <w:r>
        <w:t>This preserves the audit's original design intent (QuantData as informational/veto-only for most factors) while finally giving the dead canQuantDataPromote() function and the gradeBeforeQuantData/finalGrade schema fields an actual, narrowly-scoped implementation — promotion only, never demotion below what the technical score already earned, and only on multi-factor confluence rather than any single signal.</w:t>
      </w:r>
    </w:p>
    <w:p>
      <w:pPr>
        <w:pStyle w:val="Heading1"/>
      </w:pPr>
      <w:r>
        <w:t>7. Implementation Roadmap</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D9E2F3"/>
          </w:tcPr>
          <w:p>
            <w:r/>
            <w:r>
              <w:rPr>
                <w:b/>
                <w:sz w:val="19"/>
              </w:rPr>
              <w:t>Phase</w:t>
            </w:r>
          </w:p>
        </w:tc>
        <w:tc>
          <w:tcPr>
            <w:tcW w:type="dxa" w:w="4176"/>
            <w:shd w:val="clear" w:color="auto" w:fill="D9E2F3"/>
          </w:tcPr>
          <w:p>
            <w:r/>
            <w:r>
              <w:rPr>
                <w:b/>
                <w:sz w:val="19"/>
              </w:rPr>
              <w:t>Scope</w:t>
            </w:r>
          </w:p>
        </w:tc>
        <w:tc>
          <w:tcPr>
            <w:tcW w:type="dxa" w:w="3024"/>
            <w:shd w:val="clear" w:color="auto" w:fill="D9E2F3"/>
          </w:tcPr>
          <w:p>
            <w:r/>
            <w:r>
              <w:rPr>
                <w:b/>
                <w:sz w:val="19"/>
              </w:rPr>
              <w:t>Files touched</w:t>
            </w:r>
          </w:p>
        </w:tc>
        <w:tc>
          <w:tcPr>
            <w:tcW w:type="dxa" w:w="2160"/>
            <w:shd w:val="clear" w:color="auto" w:fill="D9E2F3"/>
          </w:tcPr>
          <w:p>
            <w:r/>
            <w:r>
              <w:rPr>
                <w:b/>
                <w:sz w:val="19"/>
              </w:rPr>
              <w:t>Depends on</w:t>
            </w:r>
          </w:p>
        </w:tc>
      </w:tr>
      <w:tr>
        <w:tc>
          <w:tcPr>
            <w:tcW w:type="dxa" w:w="1296"/>
          </w:tcPr>
          <w:p>
            <w:r/>
            <w:r>
              <w:rPr>
                <w:sz w:val="18"/>
              </w:rPr>
              <w:t>P0</w:t>
            </w:r>
          </w:p>
        </w:tc>
        <w:tc>
          <w:tcPr>
            <w:tcW w:type="dxa" w:w="4176"/>
          </w:tcPr>
          <w:p>
            <w:r/>
            <w:r>
              <w:rPr>
                <w:sz w:val="18"/>
              </w:rPr>
              <w:t>Fix grade-cap enforcement; fix Net Drift/Order Flow double-count</w:t>
            </w:r>
          </w:p>
        </w:tc>
        <w:tc>
          <w:tcPr>
            <w:tcW w:type="dxa" w:w="3024"/>
          </w:tcPr>
          <w:p>
            <w:r/>
            <w:r>
              <w:rPr>
                <w:sz w:val="18"/>
              </w:rPr>
              <w:t>server/scoring.ts, server/quantData.ts</w:t>
            </w:r>
          </w:p>
        </w:tc>
        <w:tc>
          <w:tcPr>
            <w:tcW w:type="dxa" w:w="2160"/>
          </w:tcPr>
          <w:p>
            <w:r/>
            <w:r>
              <w:rPr>
                <w:sz w:val="18"/>
              </w:rPr>
              <w:t>—</w:t>
            </w:r>
          </w:p>
        </w:tc>
      </w:tr>
      <w:tr>
        <w:tc>
          <w:tcPr>
            <w:tcW w:type="dxa" w:w="1296"/>
          </w:tcPr>
          <w:p>
            <w:r/>
            <w:r>
              <w:rPr>
                <w:sz w:val="18"/>
              </w:rPr>
              <w:t>P1</w:t>
            </w:r>
          </w:p>
        </w:tc>
        <w:tc>
          <w:tcPr>
            <w:tcW w:type="dxa" w:w="4176"/>
          </w:tcPr>
          <w:p>
            <w:r/>
            <w:r>
              <w:rPr>
                <w:sz w:val="18"/>
              </w:rPr>
              <w:t>Add Max Pain + Open Interest Change providers; gate sentiment “Confirmed” status on OI corroboration</w:t>
            </w:r>
          </w:p>
        </w:tc>
        <w:tc>
          <w:tcPr>
            <w:tcW w:type="dxa" w:w="3024"/>
          </w:tcPr>
          <w:p>
            <w:r/>
            <w:r>
              <w:rPr>
                <w:sz w:val="18"/>
              </w:rPr>
              <w:t>server/quantData.ts, shared/types.ts</w:t>
            </w:r>
          </w:p>
        </w:tc>
        <w:tc>
          <w:tcPr>
            <w:tcW w:type="dxa" w:w="2160"/>
          </w:tcPr>
          <w:p>
            <w:r/>
            <w:r>
              <w:rPr>
                <w:sz w:val="18"/>
              </w:rPr>
              <w:t>P0</w:t>
            </w:r>
          </w:p>
        </w:tc>
      </w:tr>
      <w:tr>
        <w:tc>
          <w:tcPr>
            <w:tcW w:type="dxa" w:w="1296"/>
          </w:tcPr>
          <w:p>
            <w:r/>
            <w:r>
              <w:rPr>
                <w:sz w:val="18"/>
              </w:rPr>
              <w:t>P2</w:t>
            </w:r>
          </w:p>
        </w:tc>
        <w:tc>
          <w:tcPr>
            <w:tcW w:type="dxa" w:w="4176"/>
          </w:tcPr>
          <w:p>
            <w:r/>
            <w:r>
              <w:rPr>
                <w:sz w:val="18"/>
              </w:rPr>
              <w:t>Add Exposure By Strike (gamma wall) + Dark Pool Levels/Dark Flow providers; add soft-veto plumbing to evaluateSetupScore</w:t>
            </w:r>
          </w:p>
        </w:tc>
        <w:tc>
          <w:tcPr>
            <w:tcW w:type="dxa" w:w="3024"/>
          </w:tcPr>
          <w:p>
            <w:r/>
            <w:r>
              <w:rPr>
                <w:sz w:val="18"/>
              </w:rPr>
              <w:t>server/quantData.ts, server/scoring.ts</w:t>
            </w:r>
          </w:p>
        </w:tc>
        <w:tc>
          <w:tcPr>
            <w:tcW w:type="dxa" w:w="2160"/>
          </w:tcPr>
          <w:p>
            <w:r/>
            <w:r>
              <w:rPr>
                <w:sz w:val="18"/>
              </w:rPr>
              <w:t>P0</w:t>
            </w:r>
          </w:p>
        </w:tc>
      </w:tr>
      <w:tr>
        <w:tc>
          <w:tcPr>
            <w:tcW w:type="dxa" w:w="1296"/>
          </w:tcPr>
          <w:p>
            <w:r/>
            <w:r>
              <w:rPr>
                <w:sz w:val="18"/>
              </w:rPr>
              <w:t>P3</w:t>
            </w:r>
          </w:p>
        </w:tc>
        <w:tc>
          <w:tcPr>
            <w:tcW w:type="dxa" w:w="4176"/>
          </w:tcPr>
          <w:p>
            <w:r/>
            <w:r>
              <w:rPr>
                <w:sz w:val="18"/>
              </w:rPr>
              <w:t>Add IV Rank cross-check against Compression Quality</w:t>
            </w:r>
          </w:p>
        </w:tc>
        <w:tc>
          <w:tcPr>
            <w:tcW w:type="dxa" w:w="3024"/>
          </w:tcPr>
          <w:p>
            <w:r/>
            <w:r>
              <w:rPr>
                <w:sz w:val="18"/>
              </w:rPr>
              <w:t>server/quantData.ts, server/scoring.ts</w:t>
            </w:r>
          </w:p>
        </w:tc>
        <w:tc>
          <w:tcPr>
            <w:tcW w:type="dxa" w:w="2160"/>
          </w:tcPr>
          <w:p>
            <w:r/>
            <w:r>
              <w:rPr>
                <w:sz w:val="18"/>
              </w:rPr>
              <w:t>P0</w:t>
            </w:r>
          </w:p>
        </w:tc>
      </w:tr>
      <w:tr>
        <w:tc>
          <w:tcPr>
            <w:tcW w:type="dxa" w:w="1296"/>
          </w:tcPr>
          <w:p>
            <w:r/>
            <w:r>
              <w:rPr>
                <w:sz w:val="18"/>
              </w:rPr>
              <w:t>P4</w:t>
            </w:r>
          </w:p>
        </w:tc>
        <w:tc>
          <w:tcPr>
            <w:tcW w:type="dxa" w:w="4176"/>
          </w:tcPr>
          <w:p>
            <w:r/>
            <w:r>
              <w:rPr>
                <w:sz w:val="18"/>
              </w:rPr>
              <w:t>Implement grade promotion path (gradeBeforeQuantData → finalGrade) using confluence rule from Section 6</w:t>
            </w:r>
          </w:p>
        </w:tc>
        <w:tc>
          <w:tcPr>
            <w:tcW w:type="dxa" w:w="3024"/>
          </w:tcPr>
          <w:p>
            <w:r/>
            <w:r>
              <w:rPr>
                <w:sz w:val="18"/>
              </w:rPr>
              <w:t>server/scoring.ts, shared/types.ts, src/main.tsx</w:t>
            </w:r>
          </w:p>
        </w:tc>
        <w:tc>
          <w:tcPr>
            <w:tcW w:type="dxa" w:w="2160"/>
          </w:tcPr>
          <w:p>
            <w:r/>
            <w:r>
              <w:rPr>
                <w:sz w:val="18"/>
              </w:rPr>
              <w:t>P1–P3</w:t>
            </w:r>
          </w:p>
        </w:tc>
      </w:tr>
      <w:tr>
        <w:tc>
          <w:tcPr>
            <w:tcW w:type="dxa" w:w="1296"/>
          </w:tcPr>
          <w:p>
            <w:r/>
            <w:r>
              <w:rPr>
                <w:sz w:val="18"/>
              </w:rPr>
              <w:t>P5</w:t>
            </w:r>
          </w:p>
        </w:tc>
        <w:tc>
          <w:tcPr>
            <w:tcW w:type="dxa" w:w="4176"/>
          </w:tcPr>
          <w:p>
            <w:r/>
            <w:r>
              <w:rPr>
                <w:sz w:val="18"/>
              </w:rPr>
              <w:t>Universe-level Net Flow / Gainers-Losers scan-ordering (non-scoring)</w:t>
            </w:r>
          </w:p>
        </w:tc>
        <w:tc>
          <w:tcPr>
            <w:tcW w:type="dxa" w:w="3024"/>
          </w:tcPr>
          <w:p>
            <w:r/>
            <w:r>
              <w:rPr>
                <w:sz w:val="18"/>
              </w:rPr>
              <w:t>server/scanner.ts</w:t>
            </w:r>
          </w:p>
        </w:tc>
        <w:tc>
          <w:tcPr>
            <w:tcW w:type="dxa" w:w="2160"/>
          </w:tcPr>
          <w:p>
            <w:r/>
            <w:r>
              <w:rPr>
                <w:sz w:val="18"/>
              </w:rPr>
              <w:t>— (independent)</w:t>
            </w:r>
          </w:p>
        </w:tc>
      </w:tr>
      <w:tr>
        <w:tc>
          <w:tcPr>
            <w:tcW w:type="dxa" w:w="1296"/>
          </w:tcPr>
          <w:p>
            <w:r/>
            <w:r>
              <w:rPr>
                <w:sz w:val="18"/>
              </w:rPr>
              <w:t>P6 (optional)</w:t>
            </w:r>
          </w:p>
        </w:tc>
        <w:tc>
          <w:tcPr>
            <w:tcW w:type="dxa" w:w="4176"/>
          </w:tcPr>
          <w:p>
            <w:r/>
            <w:r>
              <w:rPr>
                <w:sz w:val="18"/>
              </w:rPr>
              <w:t>News Articles panel in UI (non-scoring)</w:t>
            </w:r>
          </w:p>
        </w:tc>
        <w:tc>
          <w:tcPr>
            <w:tcW w:type="dxa" w:w="3024"/>
          </w:tcPr>
          <w:p>
            <w:r/>
            <w:r>
              <w:rPr>
                <w:sz w:val="18"/>
              </w:rPr>
              <w:t>src/main.tsx</w:t>
            </w:r>
          </w:p>
        </w:tc>
        <w:tc>
          <w:tcPr>
            <w:tcW w:type="dxa" w:w="2160"/>
          </w:tcPr>
          <w:p>
            <w:r/>
            <w:r>
              <w:rPr>
                <w:sz w:val="18"/>
              </w:rPr>
              <w:t>— (independent)</w:t>
            </w:r>
          </w:p>
        </w:tc>
      </w:tr>
    </w:tbl>
    <w:p/>
    <w:p>
      <w:pPr>
        <w:pStyle w:val="Heading1"/>
      </w:pPr>
      <w:r>
        <w:t>8. API Budget &amp; Rate-Limit Considerations</w:t>
      </w:r>
    </w:p>
    <w:p>
      <w:r>
        <w:t>QuantData's published limits are 240 requests/minute with 365+ days of history on a single API key. The current integration already applies enrichment only after a symbol passes the technical universe/setup-score gate, not to the full 500+ symbol universe — the same pattern should extend to every new endpoint in this plan. Concretely: Exposure By Strike, Dark Pool Levels, Max Pain, and Open Interest Change should only be called for symbols that already cleared the technical setup score, keeping the per-scan QuantData call count roughly proportional to today's usage rather than multiplying it by six new endpoints across the whole universe. Net Flow/Gainers-Losers (Section 4.6) is the one exception, since it's inherently a universe-wide, once-per-scan call rather than a per-symbol one.</w:t>
      </w:r>
    </w:p>
    <w:p>
      <w:pPr>
        <w:pStyle w:val="Heading1"/>
      </w:pPr>
      <w:r>
        <w:t>9. Verification Plan</w:t>
      </w:r>
    </w:p>
    <w:p>
      <w:pPr>
        <w:pStyle w:val="ListBullet"/>
      </w:pPr>
      <w:r>
        <w:t>Add fixture-based unit tests for each new normalizer (mirroring the existing schwab/fmp/quantData normalization test pattern) before wiring any factor into scoring.ts.</w:t>
      </w:r>
    </w:p>
    <w:p>
      <w:pPr>
        <w:pStyle w:val="ListBullet"/>
      </w:pPr>
      <w:r>
        <w:t>Before enabling any veto in production, run it in shadow mode for a sample scan window — log what it would have vetoed/confirmed without changing the displayed grade — and manually review a sample of the flagged symbols against the QuantData dashboard to confirm the API responses are being interpreted correctly (especially sign conventions on Exposure By Strike, which flip depending on greekMode).</w:t>
      </w:r>
    </w:p>
    <w:p>
      <w:pPr>
        <w:pStyle w:val="ListBullet"/>
      </w:pPr>
      <w:r>
        <w:t>Confirm the grade-promotion rule (Section 6) cannot fire on a single confirming factor by adding a test asserting promotion requires ≥ 3 confirmations and zero vetoes, and that no combination of confirmations can promote a setup that failed the hard universe gate.</w:t>
      </w:r>
    </w:p>
    <w:p>
      <w:pPr>
        <w:pStyle w:val="ListBullet"/>
      </w:pPr>
      <w:r>
        <w:t>Re-verify this plan's endpoint names, request/response shapes, and rate limits against quantdata.us/api/docs immediately before implementation, since this is a live third-party API that can change independent of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