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2E5A87"/>
          <w:sz w:val="52"/>
          <w:szCs w:val="52"/>
        </w:rPr>
        <w:t xml:space="preserve">The Bioinformatic Detective</w:t>
      </w:r>
    </w:p>
    <w:p>
      <w:pPr>
        <w:spacing w:after="240"/>
        <w:jc w:val="center"/>
      </w:pPr>
      <w:r>
        <w:rPr>
          <w:color w:val="666666"/>
          <w:sz w:val="26"/>
          <w:szCs w:val="26"/>
        </w:rPr>
        <w:t xml:space="preserve">Identification &amp; characterisation of unknown protein “sequence B”</w:t>
      </w:r>
    </w:p>
    <w:p>
      <w:pPr>
        <w:spacing w:after="80"/>
        <w:jc w:val="center"/>
      </w:pPr>
      <w:r>
        <w:rPr>
          <w:sz w:val="22"/>
          <w:szCs w:val="22"/>
        </w:rPr>
        <w:t xml:space="preserve">Identity: </w:t>
      </w:r>
      <w:r>
        <w:rPr>
          <w:b/>
          <w:bCs/>
          <w:color w:val="1B998B"/>
          <w:sz w:val="22"/>
          <w:szCs w:val="22"/>
        </w:rPr>
        <w:t xml:space="preserve">TEM-1 β-lactamase</w:t>
      </w:r>
      <w:r>
        <w:rPr>
          <w:sz w:val="22"/>
          <w:szCs w:val="22"/>
        </w:rPr>
        <w:t xml:space="preserve">  (UniProt P62593, </w:t>
      </w:r>
      <w:r>
        <w:rPr>
          <w:i/>
          <w:iCs/>
          <w:sz w:val="22"/>
          <w:szCs w:val="22"/>
        </w:rPr>
        <w:t xml:space="preserve">Escherichia coli</w:t>
      </w:r>
      <w:r>
        <w:rPr>
          <w:sz w:val="22"/>
          <w:szCs w:val="22"/>
        </w:rPr>
        <w:t xml:space="preserve">)</w:t>
      </w:r>
    </w:p>
    <w:p>
      <w:pPr>
        <w:spacing w:after="600"/>
        <w:jc w:val="center"/>
      </w:pPr>
      <w:r>
        <w:rPr>
          <w:color w:val="666666"/>
          <w:sz w:val="20"/>
          <w:szCs w:val="20"/>
        </w:rPr>
        <w:t xml:space="preserve">Bioinformatics Minor — 2025–2026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40" w:line="276"/>
      </w:pPr>
      <w:r>
        <w:rPr>
          <w:b/>
          <w:bCs/>
        </w:rPr>
        <w:t xml:space="preserve">Unknown sequence B is the TEM-1 β-lactamase</w:t>
      </w:r>
      <w:r>
        <w:t xml:space="preserve"> of </w:t>
      </w:r>
      <w:r>
        <w:rPr>
          <w:i/>
          <w:iCs/>
        </w:rPr>
        <w:t xml:space="preserve">Escherichia coli</w:t>
      </w:r>
      <w:r>
        <w:t xml:space="preserve"> (UniProt </w:t>
      </w:r>
      <w:r>
        <w:rPr>
          <w:b/>
          <w:bCs/>
        </w:rPr>
        <w:t xml:space="preserve">P62593</w:t>
      </w:r>
      <w:r>
        <w:t xml:space="preserve">, gene </w:t>
      </w:r>
      <w:r>
        <w:rPr>
          <w:i/>
          <w:iCs/>
        </w:rPr>
        <w:t xml:space="preserve">bla</w:t>
      </w:r>
      <w:r>
        <w:t xml:space="preserve">/blaTEM-1; EC 3.5.2.6). </w:t>
      </w:r>
      <w:r>
        <w:t xml:space="preserve">The 286-residue query matches the reviewed Swiss-Prot entry exactly (100 % identity, full coverage), and carries the three diagnostic sequence signatures of </w:t>
      </w:r>
      <w:r>
        <w:rPr>
          <w:b/>
          <w:bCs/>
        </w:rPr>
        <w:t xml:space="preserve">Ambler class A serine β-lactamases</w:t>
      </w:r>
      <w:r>
        <w:t xml:space="preserve">: the S-x-x-K nucleophile elbow, the SDN loop, and the K-[S/T]-G triad.</w:t>
      </w:r>
    </w:p>
    <w:p>
      <w:pPr>
        <w:spacing w:after="140" w:line="276"/>
      </w:pPr>
      <w:r>
        <w:t xml:space="preserve">Functionally, the enzyme hydrolyses the β-lactam ring of penicillins and early cephalosporins, conferring antibiotic resistance. It is the most widespread plasmid-mediated β-lactamase in Gram-negative bacteria and the ancestral scaffold from which many extended-spectrum β-lactamases (ESBLs) and inhibitor-resistant variants have evolved by point mutation — making it a textbook case in the biology of antimicrobial resistance (AMR).</w:t>
      </w:r>
    </w:p>
    <w:p>
      <w:pPr>
        <w:pStyle w:val="Heading1"/>
      </w:pPr>
      <w:r>
        <w:t xml:space="preserve">1. Sequence similarity search (BLAST)</w:t>
      </w:r>
    </w:p>
    <w:p>
      <w:pPr>
        <w:spacing w:after="140" w:line="276"/>
      </w:pPr>
      <w:r>
        <w:rPr>
          <w:b/>
          <w:bCs/>
        </w:rPr>
        <w:t xml:space="preserve">Method. </w:t>
      </w:r>
      <w:r>
        <w:t xml:space="preserve">BLASTp of sequence B (286 aa) against the NCBI </w:t>
      </w:r>
      <w:r>
        <w:rPr>
          <w:b/>
          <w:bCs/>
        </w:rPr>
        <w:t xml:space="preserve">ClusteredNR</w:t>
      </w:r>
      <w:r>
        <w:t xml:space="preserve"> database (RID 3V2SK3ZD014), BLOSUM62, default gap penalties. Representative top hits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2400"/>
        <w:gridCol w:w="1080"/>
        <w:gridCol w:w="980"/>
        <w:gridCol w:w="1340"/>
      </w:tblGrid>
      <w:tr>
        <w:trPr>
          <w:tblHeader/>
        </w:trP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Representative hit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Organism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 ident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E-value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Q. cover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TEM-1, partial (APX42443)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Acinetobacter baumannii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0.0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 family class A β-lactamase (WP_218377321; 129 organisms)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Klebsiella pneumoniae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99.65 %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0.0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class A β-lactamase TEM-166 (WP_063864874)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Escherichia coli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99.65 %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0.0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ESBL class A β-lactamase TEM-21 (WP_063864899; 73 organisms)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Gammaproteobacteria (multispecies)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98.60 %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0.0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 family β-lactamase (WP_284671817; 52 organisms)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Morganella morganii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0.0</w:t>
            </w:r>
          </w:p>
        </w:tc>
        <w:tc>
          <w:tcPr>
            <w:tcW w:type="dxa" w:w="1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99 %</w:t>
            </w:r>
          </w:p>
        </w:tc>
      </w:tr>
    </w:tbl>
    <w:p>
      <w:pPr>
        <w:spacing w:after="140" w:line="276"/>
      </w:pPr>
      <w:r>
        <w:rPr>
          <w:b/>
          <w:bCs/>
        </w:rPr>
        <w:t xml:space="preserve">Do the top hits come from the same organism? </w:t>
      </w:r>
      <w:r>
        <w:t xml:space="preserve">No. Near-identical hits (</w:t>
      </w:r>
      <w:r>
        <w:rPr>
          <w:b/>
          <w:bCs/>
        </w:rPr>
        <w:t xml:space="preserve">E-value 0.0, ~98–100 % identity, full coverage</w:t>
      </w:r>
      <w:r>
        <w:t xml:space="preserve">) span many </w:t>
      </w:r>
      <w:r>
        <w:rPr>
          <w:b/>
          <w:bCs/>
        </w:rPr>
        <w:t xml:space="preserve">different</w:t>
      </w:r>
      <w:r>
        <w:t xml:space="preserve"> Gram-negative genera — </w:t>
      </w:r>
      <w:r>
        <w:rPr>
          <w:i/>
          <w:iCs/>
        </w:rPr>
        <w:t xml:space="preserve">Acinetobacter, Klebsiella, Escherichia, Morganella, Providencia, Enterobacter</w:t>
      </w:r>
      <w:r>
        <w:t xml:space="preserve">… — and several hits represent dozens to hundreds of organisms at once. </w:t>
      </w:r>
      <w:r>
        <w:rPr>
          <w:b/>
          <w:bCs/>
        </w:rPr>
        <w:t xml:space="preserve">Interpretation: </w:t>
      </w:r>
      <w:r>
        <w:t xml:space="preserve">blaTEM is a </w:t>
      </w:r>
      <w:r>
        <w:rPr>
          <w:b/>
          <w:bCs/>
        </w:rPr>
        <w:t xml:space="preserve">mobile gene</w:t>
      </w:r>
      <w:r>
        <w:t xml:space="preserve"> spread by plasmids and the Tn3 transposon via horizontal transfer, kept almost invariant across hosts by β-lactam selective pressure. Named variants among the hits (TEM-21, TEM-88, TEM-166, TEM-232…) directly trace the TEM-1 → extended-spectrum evolutionary radiation.</w:t>
      </w:r>
    </w:p>
    <w:p>
      <w:pPr>
        <w:spacing w:after="140" w:line="276"/>
      </w:pPr>
      <w:r>
        <w:rPr>
          <w:b/>
          <w:bCs/>
        </w:rPr>
        <w:t xml:space="preserve">Two reading caveats worth noting. </w:t>
      </w:r>
      <w:r>
        <w:t xml:space="preserve">(i) The very top of the ClusteredNR list is dominated by </w:t>
      </w:r>
      <w:r>
        <w:rPr>
          <w:b/>
          <w:bCs/>
        </w:rPr>
        <w:t xml:space="preserve">engineered constructs</w:t>
      </w:r>
      <w:r>
        <w:t xml:space="preserve"> (cloning vector pCVD004, a β-lactamase–IgG3 fusion, an ESBL–aminoglycoside fusion) because blaTEM is the most common laboratory selection marker — not biological homologs. (ii) One hit (XP_013335878) is annotated to </w:t>
      </w:r>
      <w:r>
        <w:rPr>
          <w:i/>
          <w:iCs/>
        </w:rPr>
        <w:t xml:space="preserve">Eimeria maxima</w:t>
      </w:r>
      <w:r>
        <w:t xml:space="preserve">, an apicomplexan parasite; a bacterial β-lactamase at 99 % identity in a eukaryotic parasite is almost certainly a </w:t>
      </w:r>
      <w:r>
        <w:rPr>
          <w:b/>
          <w:bCs/>
        </w:rPr>
        <w:t xml:space="preserve">database-contamination artifact</w:t>
      </w:r>
      <w:r>
        <w:t xml:space="preserve">, not a real ortholog.</w:t>
      </w:r>
    </w:p>
    <w:p>
      <w:pPr>
        <w:pStyle w:val="Heading1"/>
      </w:pPr>
      <w:r>
        <w:t xml:space="preserve">2. Gene &amp; protein characterisation</w:t>
      </w:r>
    </w:p>
    <w:p>
      <w:pPr>
        <w:pStyle w:val="Heading2"/>
      </w:pPr>
      <w:r>
        <w:t xml:space="preserve">2.1 Gene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Gene 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bla (blaTEM-1); synonyms blaT-3..blaT-6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Organism / taxid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Escherichia coli — NCBI taxid 562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Genomic location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Plasmid-borne; embedded in transposon Tn3; classic marker on cloning vector pBR322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Gene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Protein-coding; antibiotic-resistance (AMR) gene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Promoters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Weak P3 (Tn3); strong overlapping Pa/Pb after a C32T change → ~10× higher expression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Biological relevance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Confers resistance to penicillins &amp; early cephalosporins; parent of TEM-type ESBLs and inhibitor-resistant (IRT) variants</w:t>
            </w:r>
          </w:p>
        </w:tc>
      </w:tr>
    </w:tbl>
    <w:p>
      <w:pPr>
        <w:pStyle w:val="Heading2"/>
      </w:pPr>
      <w:r>
        <w:t xml:space="preserve">2.2 Protein (reviewed entry: UniProt P62593, Swiss-Prot)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Protein 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Beta-lactamase TEM (TEM-1); penicillinase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EC number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3.5.2.6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Length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286 aa (precursor) — mature enzyme ≈263 aa after signal-peptide cleavage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Molecular weight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31 514.9 Da (≈31.5 kDa)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Theoretical pI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≈5.7 (computed) / 5.9 (DrugBank)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 peptide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Residues 1–23 (MSIQHFR…PVFA) — cleaved during Sec export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Subcellular localisation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Periplasm (Gram-negative)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Fold / domain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Single class A β-lactamase / transpeptidase domain (mixed α + α/β)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Function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Hydrolyses the β-lactam amide bond → inactivates the antibiotic</w:t>
            </w:r>
          </w:p>
        </w:tc>
      </w:tr>
    </w:tbl>
    <w:p>
      <w:pPr>
        <w:pStyle w:val="Heading2"/>
      </w:pPr>
      <w:r>
        <w:t xml:space="preserve">2.3 Catalytic / functional residues (Ambler numbering)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Ser70</w:t>
      </w:r>
      <w:r>
        <w:t xml:space="preserve"> — nucleophilic serine of the S-x-x-K motif; attacks the β-lactam carbonyl to form the acyl-enzyme.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Lys73</w:t>
      </w:r>
      <w:r>
        <w:t xml:space="preserve"> — general base partner of Ser70 in the same S-x-x-K motif.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Ser130–Asp131–Asn132 (SDN loop)</w:t>
      </w:r>
      <w:r>
        <w:t xml:space="preserve"> — positions the substrate and shuttles protons.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Glu166</w:t>
      </w:r>
      <w:r>
        <w:t xml:space="preserve"> — Ω-loop residue that activates the deacylating water (hydrolysis step).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Lys234–[Ser/Thr]–Gly236 (K-[S/T]-G triad)</w:t>
      </w:r>
      <w:r>
        <w:t xml:space="preserve"> — anchors the substrate carboxylate in the oxyanion pocket.</w:t>
      </w:r>
    </w:p>
    <w:p>
      <w:pPr>
        <w:pStyle w:val="Heading1"/>
      </w:pPr>
      <w:r>
        <w:t xml:space="preserve">3. Literature search</w:t>
      </w:r>
    </w:p>
    <w:p>
      <w:pPr>
        <w:spacing w:after="140" w:line="276"/>
      </w:pPr>
      <w:r>
        <w:t xml:space="preserve">Searching </w:t>
      </w:r>
      <w:r>
        <w:rPr>
          <w:i/>
          <w:iCs/>
        </w:rPr>
        <w:t xml:space="preserve">blaTEM</w:t>
      </w:r>
      <w:r>
        <w:t xml:space="preserve"> / “TEM-1 β-lactamase” in PubMed returns </w:t>
      </w:r>
      <w:r>
        <w:rPr>
          <w:b/>
          <w:bCs/>
        </w:rPr>
        <w:t xml:space="preserve">thousands</w:t>
      </w:r>
      <w:r>
        <w:t xml:space="preserve"> of studies — the gene is one of the most heavily studied resistance determinants, spanning enzymology, structural biology, clinical epidemiology and AMR surveillance.</w:t>
      </w:r>
    </w:p>
    <w:p>
      <w:pPr>
        <w:spacing w:after="140" w:line="276"/>
      </w:pPr>
      <w:r>
        <w:rPr>
          <w:b/>
          <w:bCs/>
        </w:rPr>
        <w:t xml:space="preserve">Selected key paper. </w:t>
      </w:r>
      <w:r>
        <w:rPr>
          <w:i/>
          <w:iCs/>
        </w:rPr>
        <w:t xml:space="preserve">Sutcliffe (1978), PNAS — “Nucleotide sequence of the ampicillin resistance gene of E. coli plasmid pBR322.”</w:t>
      </w:r>
      <w:r>
        <w:rPr>
          <w:rStyle w:val="FootnoteReference"/>
        </w:rPr>
        <w:footnoteReference w:id="1"/>
      </w:r>
    </w:p>
    <w:p>
      <w:pPr>
        <w:spacing w:after="140" w:line="276"/>
      </w:pPr>
      <w:r>
        <w:rPr>
          <w:b/>
          <w:bCs/>
        </w:rPr>
        <w:t xml:space="preserve">Why it matters: </w:t>
      </w:r>
      <w:r>
        <w:t xml:space="preserve">this paper established the reference blaTEM-1 sequence still used today and characterised it within </w:t>
      </w:r>
      <w:r>
        <w:rPr>
          <w:b/>
          <w:bCs/>
        </w:rPr>
        <w:t xml:space="preserve">pBR322</w:t>
      </w:r>
      <w:r>
        <w:t xml:space="preserve"> — a founding cloning vector whose ampicillin-resistance selection marker </w:t>
      </w:r>
      <w:r>
        <w:rPr>
          <w:i/>
          <w:iCs/>
        </w:rPr>
        <w:t xml:space="preserve">is</w:t>
      </w:r>
      <w:r>
        <w:t xml:space="preserve"> the blaTEM-1 gene. The work therefore sits at the intersection of clinical AMR and the birth of recombinant-DNA technology.</w:t>
      </w:r>
    </w:p>
    <w:p>
      <w:pPr>
        <w:pStyle w:val="Heading1"/>
      </w:pPr>
      <w:r>
        <w:t xml:space="preserve">4. Homolog collection</w:t>
      </w:r>
    </w:p>
    <w:p>
      <w:pPr>
        <w:spacing w:after="140" w:line="276"/>
      </w:pPr>
      <w:r>
        <w:t xml:space="preserve">Five class A β-lactamases from different taxa were assembled into a single multi-FASTA file (</w:t>
      </w:r>
      <w:r>
        <w:rPr>
          <w:b/>
          <w:bCs/>
        </w:rPr>
        <w:t xml:space="preserve">homologs.fasta</w:t>
      </w:r>
      <w:r>
        <w:t xml:space="preserve">), including the query. The set spans the three dominant Gram-negative families (TEM, SHV, CTX-M) plus a Gram-positive outgroup to root the tree.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400"/>
        <w:gridCol w:w="18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Enzyme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Organism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A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TEM-1 (QUERY)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TEM-1 β-lactamase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E. coli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P62593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SHV-1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SHV-1 β-lactamase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K. pneumoniae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P0AD64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SHV-2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SHV-2 (ESBL)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K. pneumoniae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P0A9Z7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CTX-M-15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CTX-M-15 (ESBL)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E. coli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H6UQH2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BlaZ/PC1 (outgroup)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BlaZ penicillinase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S. aureus (Gram+)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blaZ</w:t>
            </w:r>
          </w:p>
        </w:tc>
      </w:tr>
    </w:tbl>
    <w:p>
      <w:pPr>
        <w:pStyle w:val="Heading1"/>
      </w:pPr>
      <w:r>
        <w:t xml:space="preserve">5. Multiple sequence alignment (MSA)</w:t>
      </w:r>
    </w:p>
    <w:p>
      <w:pPr>
        <w:spacing w:after="140" w:line="276"/>
      </w:pPr>
      <w:r>
        <w:rPr>
          <w:b/>
          <w:bCs/>
        </w:rPr>
        <w:t xml:space="preserve">Method. </w:t>
      </w:r>
      <w:r>
        <w:t xml:space="preserve">MSA of the five homologs (MAFFT in the Galaxy run; the figure below is from an equivalent FAMSA alignment — conserved catalytic columns are aligner-independent). </w:t>
      </w:r>
      <w:r>
        <w:rPr>
          <w:b/>
          <w:bCs/>
        </w:rPr>
        <w:t xml:space="preserve">48 columns are fully conserved</w:t>
      </w:r>
      <w:r>
        <w:t xml:space="preserve"> (identical residue, no gaps) across all five enzymes — concentrated in the catalytic core, exactly as expected for a functionally constrained enzyme family.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66875"/>
            <wp:effectExtent t="0" r="0" b="0" l="0"/>
            <wp:docPr id="1" name="Figure 1. The three catalytic motifs in the FAMSA alignment. Catalytic residues (boxed) are invariant across all five enzymes; only neutral neighbours vary." descr="Figure 1. The three catalytic motifs in the FAMSA alignment. Catalytic residues (boxed) are invariant across all five enzymes; only neutral neighbours vary." title="Figure 1. The three catalytic motifs in the FAMSA alignment. Catalytic residues (boxed) are invariant across all five enzymes; only neutral neighbours va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Figure 1. The three catalytic motifs in the FAMSA alignment. Catalytic residues (boxed) are invariant across all five enzymes; only neutral neighbours vary.</w:t>
      </w:r>
    </w:p>
    <w:p>
      <w:pPr>
        <w:spacing w:after="140" w:line="276"/>
      </w:pPr>
      <w:r>
        <w:rPr>
          <w:b/>
          <w:bCs/>
        </w:rPr>
        <w:t xml:space="preserve">Conserved regions / catalytic residues. </w:t>
      </w:r>
      <w:r>
        <w:t xml:space="preserve">The nucleophile </w:t>
      </w:r>
      <w:r>
        <w:rPr>
          <w:b/>
          <w:bCs/>
        </w:rPr>
        <w:t xml:space="preserve">Ser70</w:t>
      </w:r>
      <w:r>
        <w:t xml:space="preserve"> and </w:t>
      </w:r>
      <w:r>
        <w:rPr>
          <w:b/>
          <w:bCs/>
        </w:rPr>
        <w:t xml:space="preserve">Lys73</w:t>
      </w:r>
      <w:r>
        <w:t xml:space="preserve"> (S-x-x-K), the </w:t>
      </w:r>
      <w:r>
        <w:rPr>
          <w:b/>
          <w:bCs/>
        </w:rPr>
        <w:t xml:space="preserve">SDN</w:t>
      </w:r>
      <w:r>
        <w:t xml:space="preserve"> loop (Ser130-Asp131-Asn132) and the </w:t>
      </w:r>
      <w:r>
        <w:rPr>
          <w:b/>
          <w:bCs/>
        </w:rPr>
        <w:t xml:space="preserve">Lys234 … Gly236</w:t>
      </w:r>
      <w:r>
        <w:t xml:space="preserve"> triad are conserved in every sequence. The middle triad residue toggles between Ser (TEM-1, BlaZ) and Thr (SHV, CTX-M) — a neutral substitution that does not affect catalysis.</w:t>
      </w:r>
    </w:p>
    <w:p>
      <w:pPr>
        <w:spacing w:after="140" w:line="276"/>
      </w:pPr>
      <w:r>
        <w:rPr>
          <w:b/>
          <w:bCs/>
        </w:rPr>
        <w:t xml:space="preserve">Variable regions. </w:t>
      </w:r>
      <w:r>
        <w:t xml:space="preserve">Sequence divergence is confined to surface loops and the N-terminal signal peptide — regions under no catalytic constraint. This conserved-core / variable-surface pattern is the structural signature of an ancient, functionally essential enzyme scaffold.</w:t>
      </w:r>
    </w:p>
    <w:p>
      <w:pPr>
        <w:pStyle w:val="Heading1"/>
      </w:pPr>
      <w:r>
        <w:t xml:space="preserve">6. Phylogenetic tree</w:t>
      </w:r>
    </w:p>
    <w:p>
      <w:pPr>
        <w:spacing w:after="140" w:line="276"/>
      </w:pPr>
      <w:r>
        <w:rPr>
          <w:b/>
          <w:bCs/>
        </w:rPr>
        <w:t xml:space="preserve">Method. </w:t>
      </w:r>
      <w:r>
        <w:t xml:space="preserve">Tree inferred with </w:t>
      </w:r>
      <w:r>
        <w:rPr>
          <w:b/>
          <w:bCs/>
        </w:rPr>
        <w:t xml:space="preserve">FastTree</w:t>
      </w:r>
      <w:r>
        <w:t xml:space="preserve"> from the </w:t>
      </w:r>
      <w:r>
        <w:rPr>
          <w:b/>
          <w:bCs/>
        </w:rPr>
        <w:t xml:space="preserve">MAFFT</w:t>
      </w:r>
      <w:r>
        <w:t xml:space="preserve"> alignment of the five homologs (Galaxy pipeline). FastTree reports SH-like local support values. </w:t>
      </w:r>
      <w:r>
        <w:t xml:space="preserve">FastTree returns an </w:t>
      </w:r>
      <w:r>
        <w:rPr>
          <w:b/>
          <w:bCs/>
        </w:rPr>
        <w:t xml:space="preserve">unrooted</w:t>
      </w:r>
      <w:r>
        <w:t xml:space="preserve"> tree, so the result was re-rooted on the Gram-positive outgroup </w:t>
      </w:r>
      <w:r>
        <w:rPr>
          <w:b/>
          <w:bCs/>
        </w:rPr>
        <w:t xml:space="preserve">BlaZ/PC1</w:t>
      </w:r>
      <w:r>
        <w:t xml:space="preserve"> for interpretation.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Figure 2. FastTree phylogeny of the five class A β-lactamases, rooted on the BlaZ outgroup. Numbers are SH-like supports." descr="Figure 2. FastTree phylogeny of the five class A β-lactamases, rooted on the BlaZ outgroup. Numbers are SH-like supports." title="Figure 2. FastTree phylogeny of the five class A β-lactamases, rooted on the BlaZ outgroup. Numbers are SH-like suppor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Figure 2. FastTree phylogeny of the five class A β-lactamases, rooted on the BlaZ outgroup. Numbers are SH-like supports.</w:t>
      </w:r>
    </w:p>
    <w:p>
      <w:pPr>
        <w:spacing w:after="140" w:line="276"/>
      </w:pPr>
      <w:r>
        <w:rPr>
          <w:i/>
          <w:iCs/>
        </w:rPr>
        <w:t xml:space="preserve">Methodological note: </w:t>
      </w:r>
      <w:r>
        <w:t xml:space="preserve">the raw Newick Display output appeared to pair CTX-M-15 with BlaZ — this was an </w:t>
      </w:r>
      <w:r>
        <w:rPr>
          <w:b/>
          <w:bCs/>
        </w:rPr>
        <w:t xml:space="preserve">artifact of displaying an unrooted tree</w:t>
      </w:r>
      <w:r>
        <w:t xml:space="preserve"> with arbitrary rooting (note the basal trifurcation in the FastTree Newick), compounded by BlaZ's very long branch (long-branch attraction). Explicit outgroup rooting removes the artifact.</w:t>
      </w:r>
    </w:p>
    <w:p>
      <w:pPr>
        <w:pStyle w:val="Heading2"/>
      </w:pPr>
      <w:r>
        <w:t xml:space="preserve">6.1 Interpretation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SHV-1 and SHV-2 cluster almost on top of each other</w:t>
      </w:r>
      <w:r>
        <w:t xml:space="preserve"> (branch length ≈ 0). They differ by a </w:t>
      </w:r>
      <w:r>
        <w:rPr>
          <w:b/>
          <w:bCs/>
        </w:rPr>
        <w:t xml:space="preserve">single residue</w:t>
      </w:r>
      <w:r>
        <w:t xml:space="preserve"> — the G→S substitution that converts the narrow-spectrum SHV-1 into the extended-spectrum ESBL SHV-2. A one-amino-acid change with a major clinical phenotype.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TEM-1 groups with the SHV clade</w:t>
      </w:r>
      <w:r>
        <w:t xml:space="preserve"> (both Enterobacteriaceae), while </w:t>
      </w:r>
      <w:r>
        <w:rPr>
          <w:b/>
          <w:bCs/>
        </w:rPr>
        <w:t xml:space="preserve">CTX-M-15 diverges earlier</w:t>
      </w:r>
      <w:r>
        <w:t xml:space="preserve"> — consistent with CTX-M enzymes having a distinct evolutionary origin (mobilised from </w:t>
      </w:r>
      <w:r>
        <w:rPr>
          <w:i/>
          <w:iCs/>
        </w:rPr>
        <w:t xml:space="preserve">Kluyvera</w:t>
      </w:r>
      <w:r>
        <w:t xml:space="preserve"> chromosomal genes). Internal supports are high (0.99–1.00).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BlaZ/PC1 (S. aureus) roots the tree</w:t>
      </w:r>
      <w:r>
        <w:t xml:space="preserve"> — the Gram-positive enzyme separates cleanly from the Gram-negative clade.</w:t>
      </w:r>
    </w:p>
    <w:p>
      <w:pPr>
        <w:spacing w:after="140" w:line="276"/>
      </w:pPr>
      <w:r>
        <w:rPr>
          <w:b/>
          <w:bCs/>
        </w:rPr>
        <w:t xml:space="preserve">Consistent with taxonomy and function? </w:t>
      </w:r>
      <w:r>
        <w:t xml:space="preserve">Both. Clustering follows taxonomy (Gram-positive outgroup vs Enterobacterales clade) </w:t>
      </w:r>
      <w:r>
        <w:rPr>
          <w:b/>
          <w:bCs/>
        </w:rPr>
        <w:t xml:space="preserve">and</w:t>
      </w:r>
      <w:r>
        <w:t xml:space="preserve"> function (all five share the invariant class A catalytic core). The within-family micro-distances (SHV-1 vs SHV-2) also map neatly onto resistance phenotype.</w:t>
      </w:r>
    </w:p>
    <w:p>
      <w:pPr>
        <w:pStyle w:val="Heading1"/>
      </w:pPr>
      <w:r>
        <w:t xml:space="preserve">7. Galaxy workflow</w:t>
      </w:r>
    </w:p>
    <w:p>
      <w:pPr>
        <w:spacing w:after="140" w:line="276"/>
      </w:pPr>
      <w:r>
        <w:t xml:space="preserve">A reproducible Galaxy workflow chaining the three analyses is described in the companion file </w:t>
      </w:r>
      <w:r>
        <w:rPr>
          <w:b/>
          <w:bCs/>
        </w:rPr>
        <w:t xml:space="preserve">galaxy_workflow.md</w:t>
      </w:r>
      <w:r>
        <w:t xml:space="preserve">. Pipeline outline: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Input: </w:t>
      </w:r>
      <w:r>
        <w:t xml:space="preserve">multi-FASTA of homologs (Get Data → Upload File).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Step 1 — BLAST: </w:t>
      </w:r>
      <w:r>
        <w:t xml:space="preserve">NCBI BLAST+ blastp of the query vs nr / a protein DB → tabular hits.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Step 2 — MSA: </w:t>
      </w:r>
      <w:r>
        <w:t xml:space="preserve">MUSCLE or MAFFT on the homolog set → FASTA alignment.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Step 3 — Tree: </w:t>
      </w:r>
      <w:r>
        <w:t xml:space="preserve">FastTree (or IQ-TREE) on the alignment → Newick tree, then visualise.</w:t>
      </w:r>
    </w:p>
    <w:p>
      <w:pPr>
        <w:pStyle w:val="Heading1"/>
      </w:pPr>
      <w:r>
        <w:t xml:space="preserve">8. Biological, medical &amp; clinical significance</w:t>
      </w:r>
    </w:p>
    <w:p>
      <w:pPr>
        <w:spacing w:after="140" w:line="276"/>
      </w:pPr>
      <w:r>
        <w:t xml:space="preserve">TEM-1 is the single most prevalent plasmid-mediated β-lactamase in Gram-negative bacteria. Clinically it drives resistance to aminopenicillins (ampicillin, amoxicillin) and early cephalosporins. Its real danger is </w:t>
      </w:r>
      <w:r>
        <w:rPr>
          <w:b/>
          <w:bCs/>
        </w:rPr>
        <w:t xml:space="preserve">evolvability</w:t>
      </w:r>
      <w:r>
        <w:t xml:space="preserve">: a handful of point mutations turn TEM-1 into </w:t>
      </w:r>
      <w:r>
        <w:rPr>
          <w:b/>
          <w:bCs/>
        </w:rPr>
        <w:t xml:space="preserve">extended-spectrum β-lactamases</w:t>
      </w:r>
      <w:r>
        <w:t xml:space="preserve"> (TEM-3, TEM-10…) that defeat third-generation cephalosporins, or into </w:t>
      </w:r>
      <w:r>
        <w:rPr>
          <w:b/>
          <w:bCs/>
        </w:rPr>
        <w:t xml:space="preserve">inhibitor-resistant</w:t>
      </w:r>
      <w:r>
        <w:t xml:space="preserve"> variants (IRT) that survive clavulanate. The SHV-1→SHV-2 pair in this very dataset — separated by one residue — illustrates exactly how a small genetic step yields a large resistance gain.</w:t>
      </w:r>
    </w:p>
    <w:p>
      <w:pPr>
        <w:spacing w:after="140" w:line="276"/>
      </w:pPr>
      <w:r>
        <w:t xml:space="preserve">Because blaTEM is plasmid- and transposon-borne, it spreads readily across species (as the BLAST result showed), making it a central player in the global AMR crisis and a standard model system for studying β-lactamase mechanism, inhibitor design, and resistance evolution.</w:t>
      </w:r>
    </w:p>
    <w:p>
      <w:pPr>
        <w:pStyle w:val="Heading1"/>
      </w:pPr>
      <w:r>
        <w:t xml:space="preserve">Appendix — reproducibility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homologs.fasta</w:t>
      </w:r>
      <w:r>
        <w:t xml:space="preserve"> — query + 4 homologs (multi-FASTA).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alignment.fasta / alignment.clustal</w:t>
      </w:r>
      <w:r>
        <w:t xml:space="preserve"> — FAMSA MSA (293 columns).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tree.nwk</w:t>
      </w:r>
      <w:r>
        <w:t xml:space="preserve"> — Newick tree; </w:t>
      </w:r>
      <w:r>
        <w:rPr>
          <w:b/>
          <w:bCs/>
        </w:rPr>
        <w:t xml:space="preserve">tree.png</w:t>
      </w:r>
      <w:r>
        <w:t xml:space="preserve">, </w:t>
      </w:r>
      <w:r>
        <w:rPr>
          <w:b/>
          <w:bCs/>
        </w:rPr>
        <w:t xml:space="preserve">msa_motifs.png</w:t>
      </w:r>
      <w:r>
        <w:t xml:space="preserve"> — figures.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</w:rPr>
        <w:t xml:space="preserve">galaxy_workflow.md</w:t>
      </w:r>
      <w:r>
        <w:t xml:space="preserve"> — step-by-step Galaxy build notes.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Sutcliffe JG. Nucleotide sequence of the ampicillin resistance gene of Escherichia coli plasmid pBR322. PNAS 1978;75(8):3737-41.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The Bioinformatic Detective — Sequence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87" w:sz="6" w:space="4"/>
      </w:pBdr>
      <w:spacing w:after="160" w:before="300"/>
      <w:outlineLvl w:val="0"/>
    </w:pPr>
    <w:rPr>
      <w:rFonts w:ascii="Arial" w:cs="Arial" w:eastAsia="Arial" w:hAnsi="Arial"/>
      <w:b/>
      <w:bCs/>
      <w:color w:val="2E5A8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998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158552d47c9d0960bda44268362c983cd5d187.png"/><Relationship Id="rId10" Type="http://schemas.openxmlformats.org/officeDocument/2006/relationships/image" Target="media/263dc43e53794ddc7f708167511cdd70b8f7229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Côme — Bioinformatics Minor</dc:creator>
  <cp:lastModifiedBy>Un-named</cp:lastModifiedBy>
  <cp:revision>1</cp:revision>
  <dcterms:created xsi:type="dcterms:W3CDTF">2026-06-25T20:41:28.489Z</dcterms:created>
  <dcterms:modified xsi:type="dcterms:W3CDTF">2026-06-25T20:41:28.489Z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