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2E5A87"/>
          <w:sz w:val="52"/>
          <w:szCs w:val="52"/>
        </w:rPr>
        <w:t xml:space="preserve">The Bioinformatic Detective</w:t>
      </w:r>
    </w:p>
    <w:p>
      <w:pPr>
        <w:spacing w:after="240"/>
        <w:jc w:val="center"/>
      </w:pPr>
      <w:r>
        <w:rPr>
          <w:color w:val="666666"/>
          <w:sz w:val="26"/>
          <w:szCs w:val="26"/>
        </w:rPr>
        <w:t xml:space="preserve">Identification &amp; characterisation of unknown protein “sequence B”</w:t>
      </w:r>
    </w:p>
    <w:p>
      <w:pPr>
        <w:spacing w:after="80"/>
        <w:jc w:val="center"/>
      </w:pPr>
      <w:r>
        <w:rPr>
          <w:sz w:val="22"/>
          <w:szCs w:val="22"/>
        </w:rPr>
        <w:t xml:space="preserve">Identity: </w:t>
      </w:r>
      <w:r>
        <w:rPr>
          <w:b/>
          <w:bCs/>
          <w:color w:val="1B998B"/>
          <w:sz w:val="22"/>
          <w:szCs w:val="22"/>
        </w:rPr>
        <w:t xml:space="preserve">TEM-1 β-lactamase</w:t>
      </w:r>
      <w:r>
        <w:rPr>
          <w:sz w:val="22"/>
          <w:szCs w:val="22"/>
        </w:rPr>
        <w:t xml:space="preserve">  (UniProt P62593, </w:t>
      </w:r>
      <w:r>
        <w:rPr>
          <w:i/>
          <w:iCs/>
          <w:sz w:val="22"/>
          <w:szCs w:val="22"/>
        </w:rPr>
        <w:t xml:space="preserve">Escherichia coli</w:t>
      </w:r>
      <w:r>
        <w:rPr>
          <w:sz w:val="22"/>
          <w:szCs w:val="22"/>
        </w:rPr>
        <w:t xml:space="preserve">)</w:t>
      </w:r>
    </w:p>
    <w:p>
      <w:pPr>
        <w:spacing w:after="600"/>
        <w:jc w:val="center"/>
      </w:pPr>
      <w:r>
        <w:rPr>
          <w:color w:val="666666"/>
          <w:sz w:val="20"/>
          <w:szCs w:val="20"/>
        </w:rPr>
        <w:t xml:space="preserve">Bioinformatics Minor — 2025–2026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rPr>
          <w:b/>
          <w:bCs/>
        </w:rPr>
        <w:t xml:space="preserve">Unknown sequence B is the TEM-1 β-lactamase</w:t>
      </w:r>
      <w:r>
        <w:t xml:space="preserve"> of </w:t>
      </w:r>
      <w:r>
        <w:rPr>
          <w:i/>
          <w:iCs/>
        </w:rPr>
        <w:t xml:space="preserve">Escherichia coli</w:t>
      </w:r>
      <w:r>
        <w:t xml:space="preserve"> (UniProt </w:t>
      </w:r>
      <w:r>
        <w:rPr>
          <w:b/>
          <w:bCs/>
        </w:rPr>
        <w:t xml:space="preserve">P62593</w:t>
      </w:r>
      <w:r>
        <w:t xml:space="preserve">, gene </w:t>
      </w:r>
      <w:r>
        <w:rPr>
          <w:i/>
          <w:iCs/>
        </w:rPr>
        <w:t xml:space="preserve">bla</w:t>
      </w:r>
      <w:r>
        <w:t xml:space="preserve">/blaTEM-1; EC 3.5.2.6). </w:t>
      </w:r>
      <w:r>
        <w:t xml:space="preserve">The 286-residue query matches the reviewed Swiss-Prot entry exactly (100 % identity, full coverage), and carries the three diagnostic sequence signatures of </w:t>
      </w:r>
      <w:r>
        <w:rPr>
          <w:b/>
          <w:bCs/>
        </w:rPr>
        <w:t xml:space="preserve">Ambler class A serine β-lactamases</w:t>
      </w:r>
      <w:r>
        <w:t xml:space="preserve">: the S-x-x-K nucleophile elbow, the SDN loop, and the K-[S/T]-G triad.</w:t>
      </w:r>
    </w:p>
    <w:p>
      <w:pPr>
        <w:spacing w:after="140" w:line="276"/>
      </w:pPr>
      <w:r>
        <w:t xml:space="preserve">Functionally, the enzyme hydrolyses the β-lactam ring of penicillins and early cephalosporins, conferring antibiotic resistance. It is the most widespread plasmid-mediated β-lactamase in Gram-negative bacteria and the ancestral scaffold from which many extended-spectrum β-lactamases (ESBLs) and inhibitor-resistant variants have evolved by point mutation — making it a textbook case in the biology of antimicrobial resistance (AMR).</w:t>
      </w:r>
    </w:p>
    <w:p>
      <w:pPr>
        <w:pStyle w:val="Heading1"/>
      </w:pPr>
      <w:r>
        <w:t xml:space="preserve">1. Sequence similarity search (BLAST)</w:t>
      </w:r>
    </w:p>
    <w:p>
      <w:pPr>
        <w:spacing w:after="140" w:line="276"/>
      </w:pPr>
      <w:r>
        <w:rPr>
          <w:b/>
          <w:bCs/>
        </w:rPr>
        <w:t xml:space="preserve">Method. </w:t>
      </w:r>
      <w:r>
        <w:t xml:space="preserve">BLASTp of sequence B against the NCBI non-redundant protein database (nr), BLOSUM62, default gap penalties. </w:t>
      </w:r>
      <w:r>
        <w:rPr>
          <w:i/>
          <w:iCs/>
        </w:rPr>
        <w:t xml:space="preserve">Note: </w:t>
      </w:r>
      <w:r>
        <w:t xml:space="preserve">the table below states the expected top hits and the identity that diagnoses the protein. Record the exact E-value and query coverage produced by </w:t>
      </w:r>
      <w:r>
        <w:rPr>
          <w:b/>
          <w:bCs/>
        </w:rPr>
        <w:t xml:space="preserve">your own run</w:t>
      </w:r>
      <w:r>
        <w:t xml:space="preserve"> in the empty column — these are run-/database-version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660"/>
        <w:gridCol w:w="1300"/>
        <w:gridCol w:w="2100"/>
      </w:tblGrid>
      <w:tr>
        <w:trPr>
          <w:tblHeader/>
        </w:trPr>
        <w:tc>
          <w:tcPr>
            <w:tcW w:type="dxa" w:w="33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Top hit (protein / gene)</w:t>
            </w:r>
          </w:p>
        </w:tc>
        <w:tc>
          <w:tcPr>
            <w:tcW w:type="dxa" w:w="266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Organism</w:t>
            </w:r>
          </w:p>
        </w:tc>
        <w:tc>
          <w:tcPr>
            <w:tcW w:type="dxa" w:w="13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 identity</w:t>
            </w:r>
          </w:p>
        </w:tc>
        <w:tc>
          <w:tcPr>
            <w:tcW w:type="dxa" w:w="21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E-value / coverage (your run)</w:t>
            </w:r>
          </w:p>
        </w:tc>
      </w:tr>
      <w:tr>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TEM-1 β-lactamase / blaTEM-1</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Escherichia coli</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100 %</w:t>
            </w:r>
          </w:p>
        </w:tc>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_____ / _____</w:t>
            </w:r>
          </w:p>
        </w:tc>
      </w:tr>
      <w:tr>
        <w:tc>
          <w:tcPr>
            <w:tcW w:type="dxa" w:w="33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TEM-type β-lactamase (variants)</w:t>
            </w:r>
          </w:p>
        </w:tc>
        <w:tc>
          <w:tcPr>
            <w:tcW w:type="dxa" w:w="26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Klebsiella, Salmonella, Shigella, Enterobacter…</w:t>
            </w:r>
          </w:p>
        </w:tc>
        <w:tc>
          <w:tcPr>
            <w:tcW w:type="dxa" w:w="13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≈100 %</w:t>
            </w:r>
          </w:p>
        </w:tc>
        <w:tc>
          <w:tcPr>
            <w:tcW w:type="dxa" w:w="21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_____ / _____</w:t>
            </w:r>
          </w:p>
        </w:tc>
      </w:tr>
      <w:tr>
        <w:tc>
          <w:tcPr>
            <w:tcW w:type="dxa" w:w="3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TEM-2 / ESBL TEM variants</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Enterobacterales</w:t>
            </w:r>
          </w:p>
        </w:tc>
        <w:tc>
          <w:tcPr>
            <w:tcW w:type="dxa" w:w="1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99–100 %</w:t>
            </w:r>
          </w:p>
        </w:tc>
        <w:tc>
          <w:tcPr>
            <w:tcW w:type="dxa" w:w="2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_____ / _____</w:t>
            </w:r>
          </w:p>
        </w:tc>
      </w:tr>
      <w:tr>
        <w:tc>
          <w:tcPr>
            <w:tcW w:type="dxa" w:w="33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SHV-1 β-lactamase</w:t>
            </w:r>
          </w:p>
        </w:tc>
        <w:tc>
          <w:tcPr>
            <w:tcW w:type="dxa" w:w="26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Klebsiella pneumoniae</w:t>
            </w:r>
          </w:p>
        </w:tc>
        <w:tc>
          <w:tcPr>
            <w:tcW w:type="dxa" w:w="13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≈65 %</w:t>
            </w:r>
          </w:p>
        </w:tc>
        <w:tc>
          <w:tcPr>
            <w:tcW w:type="dxa" w:w="21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_____ / _____</w:t>
            </w:r>
          </w:p>
        </w:tc>
      </w:tr>
    </w:tbl>
    <w:p>
      <w:pPr>
        <w:spacing w:after="140" w:line="276"/>
      </w:pPr>
      <w:r>
        <w:rPr>
          <w:b/>
          <w:bCs/>
        </w:rPr>
        <w:t xml:space="preserve">Do the top hits come from the same organism? </w:t>
      </w:r>
      <w:r>
        <w:t xml:space="preserve">No. Near-identical hits appear across many </w:t>
      </w:r>
      <w:r>
        <w:rPr>
          <w:b/>
          <w:bCs/>
        </w:rPr>
        <w:t xml:space="preserve">different</w:t>
      </w:r>
      <w:r>
        <w:t xml:space="preserve"> Gram-negative genera (</w:t>
      </w:r>
      <w:r>
        <w:rPr>
          <w:i/>
          <w:iCs/>
        </w:rPr>
        <w:t xml:space="preserve">E. coli, Klebsiella, Salmonella, Shigella</w:t>
      </w:r>
      <w:r>
        <w:t xml:space="preserve">…). </w:t>
      </w:r>
      <w:r>
        <w:rPr>
          <w:b/>
          <w:bCs/>
        </w:rPr>
        <w:t xml:space="preserve">Interpretation: </w:t>
      </w:r>
      <w:r>
        <w:t xml:space="preserve">blaTEM is a </w:t>
      </w:r>
      <w:r>
        <w:rPr>
          <w:b/>
          <w:bCs/>
        </w:rPr>
        <w:t xml:space="preserve">mobile gene</w:t>
      </w:r>
      <w:r>
        <w:t xml:space="preserve"> — carried on plasmids and the Tn3 transposon and disseminated by horizontal gene transfer rather than vertical inheritance. The fact that the protein stays almost invariant across hosts reflects strong selection by β-lactam antibiotics: the sequence is </w:t>
      </w:r>
      <w:r>
        <w:rPr>
          <w:b/>
          <w:bCs/>
        </w:rPr>
        <w:t xml:space="preserve">highly conserved</w:t>
      </w:r>
      <w:r>
        <w:t xml:space="preserve"> because its catalytic machinery cannot drift without losing the resistance phenotype.</w:t>
      </w:r>
    </w:p>
    <w:p>
      <w:pPr>
        <w:pStyle w:val="Heading1"/>
      </w:pPr>
      <w:r>
        <w:t xml:space="preserve">2. Gene &amp; protein characterisation</w:t>
      </w:r>
    </w:p>
    <w:p>
      <w:pPr>
        <w:pStyle w:val="Heading2"/>
      </w:pPr>
      <w:r>
        <w:t xml:space="preserve">2.1 Gene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Gene name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bla (blaTEM-1); synonyms blaT-3..blaT-6</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Organism / taxid</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Escherichia coli — NCBI taxid 562</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Genomic location</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Plasmid-borne; embedded in transposon Tn3; classic marker on cloning vector pBR322</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Gene type</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Protein-coding; antibiotic-resistance (AMR) gene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Promoters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Weak P3 (Tn3); strong overlapping Pa/Pb after a C32T change → ~10× higher expression</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Biological relevance</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Confers resistance to penicillins &amp; early cephalosporins; parent of TEM-type ESBLs and inhibitor-resistant (IRT) variants</w:t>
            </w:r>
          </w:p>
        </w:tc>
      </w:tr>
    </w:tbl>
    <w:p>
      <w:pPr>
        <w:pStyle w:val="Heading2"/>
      </w:pPr>
      <w:r>
        <w:t xml:space="preserve">2.2 Protein (reviewed entry: UniProt P62593, Swiss-Prot)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Property</w:t>
            </w:r>
          </w:p>
        </w:tc>
        <w:tc>
          <w:tcPr>
            <w:tcW w:type="dxa" w:w="676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Protein name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Beta-lactamase TEM (TEM-1); penicillinase</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EC number</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3.5.2.6</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Length</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286 aa (precursor) — mature enzyme ≈263 aa after signal-peptide cleavage</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Molecular weight</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31 514.9 Da (≈31.5 kDa)</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Theoretical pI</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≈5.7 (computed) / 5.9 (DrugBank)</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Signal peptide</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Residues 1–23 (MSIQHFR…PVFA) — cleaved during Sec export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Subcellular localisation</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Periplasm (Gram-negative)</w:t>
            </w:r>
          </w:p>
        </w:tc>
      </w:tr>
      <w:tr>
        <w:tc>
          <w:tcPr>
            <w:tcW w:type="dxa" w:w="26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Fold / domain</w:t>
            </w:r>
          </w:p>
        </w:tc>
        <w:tc>
          <w:tcPr>
            <w:tcW w:type="dxa" w:w="67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Single class A β-lactamase / transpeptidase domain (mixed α + α/β)</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Function</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Hydrolyses the β-lactam amide bond → inactivates the antibiotic</w:t>
            </w:r>
          </w:p>
        </w:tc>
      </w:tr>
    </w:tbl>
    <w:p>
      <w:pPr>
        <w:pStyle w:val="Heading2"/>
      </w:pPr>
      <w:r>
        <w:t xml:space="preserve">2.3 Catalytic / functional residues (Ambler numbering)</w:t>
      </w:r>
    </w:p>
    <w:p>
      <w:pPr>
        <w:pStyle w:val="ListParagraph"/>
        <w:numPr>
          <w:ilvl w:val="0"/>
          <w:numId w:val="2"/>
        </w:numPr>
        <w:spacing w:after="80" w:line="270"/>
      </w:pPr>
      <w:r>
        <w:rPr>
          <w:b/>
          <w:bCs/>
        </w:rPr>
        <w:t xml:space="preserve">Ser70</w:t>
      </w:r>
      <w:r>
        <w:t xml:space="preserve"> — nucleophilic serine of the S-x-x-K motif; attacks the β-lactam carbonyl to form the acyl-enzyme.</w:t>
      </w:r>
    </w:p>
    <w:p>
      <w:pPr>
        <w:pStyle w:val="ListParagraph"/>
        <w:numPr>
          <w:ilvl w:val="0"/>
          <w:numId w:val="2"/>
        </w:numPr>
        <w:spacing w:after="80" w:line="270"/>
      </w:pPr>
      <w:r>
        <w:rPr>
          <w:b/>
          <w:bCs/>
        </w:rPr>
        <w:t xml:space="preserve">Lys73</w:t>
      </w:r>
      <w:r>
        <w:t xml:space="preserve"> — general base partner of Ser70 in the same S-x-x-K motif.</w:t>
      </w:r>
    </w:p>
    <w:p>
      <w:pPr>
        <w:pStyle w:val="ListParagraph"/>
        <w:numPr>
          <w:ilvl w:val="0"/>
          <w:numId w:val="2"/>
        </w:numPr>
        <w:spacing w:after="80" w:line="270"/>
      </w:pPr>
      <w:r>
        <w:rPr>
          <w:b/>
          <w:bCs/>
        </w:rPr>
        <w:t xml:space="preserve">Ser130–Asp131–Asn132 (SDN loop)</w:t>
      </w:r>
      <w:r>
        <w:t xml:space="preserve"> — positions the substrate and shuttles protons.</w:t>
      </w:r>
    </w:p>
    <w:p>
      <w:pPr>
        <w:pStyle w:val="ListParagraph"/>
        <w:numPr>
          <w:ilvl w:val="0"/>
          <w:numId w:val="2"/>
        </w:numPr>
        <w:spacing w:after="80" w:line="270"/>
      </w:pPr>
      <w:r>
        <w:rPr>
          <w:b/>
          <w:bCs/>
        </w:rPr>
        <w:t xml:space="preserve">Glu166</w:t>
      </w:r>
      <w:r>
        <w:t xml:space="preserve"> — Ω-loop residue that activates the deacylating water (hydrolysis step).</w:t>
      </w:r>
    </w:p>
    <w:p>
      <w:pPr>
        <w:pStyle w:val="ListParagraph"/>
        <w:numPr>
          <w:ilvl w:val="0"/>
          <w:numId w:val="2"/>
        </w:numPr>
        <w:spacing w:after="80" w:line="270"/>
      </w:pPr>
      <w:r>
        <w:rPr>
          <w:b/>
          <w:bCs/>
        </w:rPr>
        <w:t xml:space="preserve">Lys234–[Ser/Thr]–Gly236 (K-[S/T]-G triad)</w:t>
      </w:r>
      <w:r>
        <w:t xml:space="preserve"> — anchors the substrate carboxylate in the oxyanion pocket.</w:t>
      </w:r>
    </w:p>
    <w:p>
      <w:pPr>
        <w:pStyle w:val="Heading1"/>
      </w:pPr>
      <w:r>
        <w:t xml:space="preserve">3. Literature search</w:t>
      </w:r>
    </w:p>
    <w:p>
      <w:pPr>
        <w:spacing w:after="140" w:line="276"/>
      </w:pPr>
      <w:r>
        <w:t xml:space="preserve">Searching </w:t>
      </w:r>
      <w:r>
        <w:rPr>
          <w:i/>
          <w:iCs/>
        </w:rPr>
        <w:t xml:space="preserve">blaTEM</w:t>
      </w:r>
      <w:r>
        <w:t xml:space="preserve"> / “TEM-1 β-lactamase” in PubMed returns </w:t>
      </w:r>
      <w:r>
        <w:rPr>
          <w:b/>
          <w:bCs/>
        </w:rPr>
        <w:t xml:space="preserve">thousands</w:t>
      </w:r>
      <w:r>
        <w:t xml:space="preserve"> of studies — the gene is one of the most heavily studied resistance determinants, spanning enzymology, structural biology, clinical epidemiology and AMR surveillance.</w:t>
      </w:r>
    </w:p>
    <w:p>
      <w:pPr>
        <w:spacing w:after="140" w:line="276"/>
      </w:pPr>
      <w:r>
        <w:rPr>
          <w:b/>
          <w:bCs/>
        </w:rPr>
        <w:t xml:space="preserve">Selected key paper. </w:t>
      </w:r>
      <w:r>
        <w:rPr>
          <w:i/>
          <w:iCs/>
        </w:rPr>
        <w:t xml:space="preserve">Sutcliffe (1978), PNAS — “Nucleotide sequence of the ampicillin resistance gene of E. coli plasmid pBR322.”</w:t>
      </w:r>
      <w:r>
        <w:rPr>
          <w:rStyle w:val="FootnoteReference"/>
        </w:rPr>
        <w:footnoteReference w:id="1"/>
      </w:r>
    </w:p>
    <w:p>
      <w:pPr>
        <w:spacing w:after="140" w:line="276"/>
      </w:pPr>
      <w:r>
        <w:rPr>
          <w:b/>
          <w:bCs/>
        </w:rPr>
        <w:t xml:space="preserve">Why it matters: </w:t>
      </w:r>
      <w:r>
        <w:t xml:space="preserve">this paper established the reference blaTEM-1 sequence still used today and characterised it within </w:t>
      </w:r>
      <w:r>
        <w:rPr>
          <w:b/>
          <w:bCs/>
        </w:rPr>
        <w:t xml:space="preserve">pBR322</w:t>
      </w:r>
      <w:r>
        <w:t xml:space="preserve"> — a founding cloning vector whose ampicillin-resistance selection marker </w:t>
      </w:r>
      <w:r>
        <w:rPr>
          <w:i/>
          <w:iCs/>
        </w:rPr>
        <w:t xml:space="preserve">is</w:t>
      </w:r>
      <w:r>
        <w:t xml:space="preserve"> the blaTEM-1 gene. The work therefore sits at the intersection of clinical AMR and the birth of recombinant-DNA technology.</w:t>
      </w:r>
    </w:p>
    <w:p>
      <w:pPr>
        <w:pStyle w:val="Heading1"/>
      </w:pPr>
      <w:r>
        <w:t xml:space="preserve">4. Homolog collection</w:t>
      </w:r>
    </w:p>
    <w:p>
      <w:pPr>
        <w:spacing w:after="140" w:line="276"/>
      </w:pPr>
      <w:r>
        <w:t xml:space="preserve">Five class A β-lactamases from different taxa were assembled into a single multi-FASTA file (</w:t>
      </w:r>
      <w:r>
        <w:rPr>
          <w:b/>
          <w:bCs/>
        </w:rPr>
        <w:t xml:space="preserve">homologs.fasta</w:t>
      </w:r>
      <w:r>
        <w:t xml:space="preserve">), including the query. The set spans the three dominant Gram-negative families (TEM, SHV, CTX-M) plus a Gram-positive outgroup to root the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400"/>
        <w:gridCol w:w="1860"/>
      </w:tblGrid>
      <w:tr>
        <w:trPr>
          <w:tblHeader/>
        </w:trPr>
        <w:tc>
          <w:tcPr>
            <w:tcW w:type="dxa" w:w="24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Label</w:t>
            </w:r>
          </w:p>
        </w:tc>
        <w:tc>
          <w:tcPr>
            <w:tcW w:type="dxa" w:w="27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Enzyme</w:t>
            </w:r>
          </w:p>
        </w:tc>
        <w:tc>
          <w:tcPr>
            <w:tcW w:type="dxa" w:w="240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Organism</w:t>
            </w:r>
          </w:p>
        </w:tc>
        <w:tc>
          <w:tcPr>
            <w:tcW w:type="dxa" w:w="1860"/>
            <w:tcBorders>
              <w:top w:val="single" w:color="CCCCCC" w:sz="1"/>
              <w:left w:val="single" w:color="CCCCCC" w:sz="1"/>
              <w:bottom w:val="single" w:color="CCCCCC" w:sz="1"/>
              <w:right w:val="single" w:color="CCCCCC" w:sz="1"/>
            </w:tcBorders>
            <w:shd w:fill="2E5A87" w:val="clear"/>
            <w:tcMar>
              <w:top w:type="dxa" w:w="80"/>
              <w:left w:type="dxa" w:w="120"/>
              <w:bottom w:type="dxa" w:w="80"/>
              <w:right w:type="dxa" w:w="120"/>
            </w:tcMar>
          </w:tcPr>
          <w:p>
            <w:r>
              <w:rPr>
                <w:b/>
                <w:bCs/>
                <w:color w:val="FFFFFF"/>
                <w:sz w:val="19"/>
                <w:szCs w:val="19"/>
              </w:rPr>
              <w:t xml:space="preserve">Accession</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TEM-1 (QUERY)</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TEM-1 β-lactamase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E. coli</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P62593</w:t>
            </w:r>
          </w:p>
        </w:tc>
      </w:tr>
      <w:tr>
        <w:tc>
          <w:tcPr>
            <w:tcW w:type="dxa" w:w="24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SHV-1</w:t>
            </w:r>
          </w:p>
        </w:tc>
        <w:tc>
          <w:tcPr>
            <w:tcW w:type="dxa" w:w="27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SHV-1 β-lactamase</w:t>
            </w:r>
          </w:p>
        </w:tc>
        <w:tc>
          <w:tcPr>
            <w:tcW w:type="dxa" w:w="24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K. pneumoniae</w:t>
            </w:r>
          </w:p>
        </w:tc>
        <w:tc>
          <w:tcPr>
            <w:tcW w:type="dxa" w:w="18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P0AD64</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SHV-2</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SHV-2 (ESBL)</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K. pneumoniae</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P0A9Z7</w:t>
            </w:r>
          </w:p>
        </w:tc>
      </w:tr>
      <w:tr>
        <w:tc>
          <w:tcPr>
            <w:tcW w:type="dxa" w:w="24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CTX-M-15</w:t>
            </w:r>
          </w:p>
        </w:tc>
        <w:tc>
          <w:tcPr>
            <w:tcW w:type="dxa" w:w="27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CTX-M-15 (ESBL)</w:t>
            </w:r>
          </w:p>
        </w:tc>
        <w:tc>
          <w:tcPr>
            <w:tcW w:type="dxa" w:w="240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E. coli</w:t>
            </w:r>
          </w:p>
        </w:tc>
        <w:tc>
          <w:tcPr>
            <w:tcW w:type="dxa" w:w="1860"/>
            <w:tcBorders>
              <w:top w:val="single" w:color="CCCCCC" w:sz="1"/>
              <w:left w:val="single" w:color="CCCCCC" w:sz="1"/>
              <w:bottom w:val="single" w:color="CCCCCC" w:sz="1"/>
              <w:right w:val="single" w:color="CCCCCC" w:sz="1"/>
            </w:tcBorders>
            <w:shd w:fill="EAF1F7" w:val="clear"/>
            <w:tcMar>
              <w:top w:type="dxa" w:w="70"/>
              <w:left w:type="dxa" w:w="120"/>
              <w:bottom w:type="dxa" w:w="70"/>
              <w:right w:type="dxa" w:w="120"/>
            </w:tcMar>
          </w:tcPr>
          <w:p>
            <w:r>
              <w:rPr>
                <w:sz w:val="19"/>
                <w:szCs w:val="19"/>
              </w:rPr>
              <w:t xml:space="preserve">H6UQH2</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BlaZ/PC1 (outgroup)</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BlaZ penicillinase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S. aureus (Gram+)</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9"/>
                <w:szCs w:val="19"/>
              </w:rPr>
              <w:t xml:space="preserve">blaZ</w:t>
            </w:r>
          </w:p>
        </w:tc>
      </w:tr>
    </w:tbl>
    <w:p>
      <w:pPr>
        <w:pStyle w:val="Heading1"/>
      </w:pPr>
      <w:r>
        <w:t xml:space="preserve">5. Multiple sequence alignment (MSA)</w:t>
      </w:r>
    </w:p>
    <w:p>
      <w:pPr>
        <w:spacing w:after="140" w:line="276"/>
      </w:pPr>
      <w:r>
        <w:rPr>
          <w:b/>
          <w:bCs/>
        </w:rPr>
        <w:t xml:space="preserve">Method. </w:t>
      </w:r>
      <w:r>
        <w:t xml:space="preserve">MSA built with FAMSA; 293 alignment columns, 5 sequences. </w:t>
      </w:r>
      <w:r>
        <w:rPr>
          <w:b/>
          <w:bCs/>
        </w:rPr>
        <w:t xml:space="preserve">48 columns are fully conserved</w:t>
      </w:r>
      <w:r>
        <w:t xml:space="preserve"> (identical residue, no gaps) across all five enzymes — concentrated in the catalytic core, exactly as expected for a functionally constrained enzyme family.</w:t>
      </w:r>
    </w:p>
    <w:p>
      <w:pPr>
        <w:spacing w:after="60" w:before="120"/>
        <w:jc w:val="center"/>
      </w:pPr>
      <w:r>
        <w:drawing>
          <wp:inline distT="0" distB="0" distL="0" distR="0">
            <wp:extent cx="5715000" cy="1666875"/>
            <wp:effectExtent t="0" r="0" b="0" l="0"/>
            <wp:docPr id="1" name="Figure 1. The three catalytic motifs in the FAMSA alignment. Catalytic residues (boxed) are invariant across all five enzymes; only neutral neighbours vary." descr="Figure 1. The three catalytic motifs in the FAMSA alignment. Catalytic residues (boxed) are invariant across all five enzymes; only neutral neighbours vary." title="Figure 1. The three catalytic motifs in the FAMSA alignment. Catalytic residues (boxed) are invariant across all five enzymes; only neutral neighbours v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160"/>
        <w:jc w:val="center"/>
      </w:pPr>
      <w:r>
        <w:rPr>
          <w:i/>
          <w:iCs/>
          <w:color w:val="666666"/>
          <w:sz w:val="18"/>
          <w:szCs w:val="18"/>
        </w:rPr>
        <w:t xml:space="preserve">Figure 1. The three catalytic motifs in the FAMSA alignment. Catalytic residues (boxed) are invariant across all five enzymes; only neutral neighbours vary.</w:t>
      </w:r>
    </w:p>
    <w:p>
      <w:pPr>
        <w:spacing w:after="140" w:line="276"/>
      </w:pPr>
      <w:r>
        <w:rPr>
          <w:b/>
          <w:bCs/>
        </w:rPr>
        <w:t xml:space="preserve">Conserved regions / catalytic residues. </w:t>
      </w:r>
      <w:r>
        <w:t xml:space="preserve">The nucleophile </w:t>
      </w:r>
      <w:r>
        <w:rPr>
          <w:b/>
          <w:bCs/>
        </w:rPr>
        <w:t xml:space="preserve">Ser70</w:t>
      </w:r>
      <w:r>
        <w:t xml:space="preserve"> and </w:t>
      </w:r>
      <w:r>
        <w:rPr>
          <w:b/>
          <w:bCs/>
        </w:rPr>
        <w:t xml:space="preserve">Lys73</w:t>
      </w:r>
      <w:r>
        <w:t xml:space="preserve"> (S-x-x-K), the </w:t>
      </w:r>
      <w:r>
        <w:rPr>
          <w:b/>
          <w:bCs/>
        </w:rPr>
        <w:t xml:space="preserve">SDN</w:t>
      </w:r>
      <w:r>
        <w:t xml:space="preserve"> loop (Ser130-Asp131-Asn132) and the </w:t>
      </w:r>
      <w:r>
        <w:rPr>
          <w:b/>
          <w:bCs/>
        </w:rPr>
        <w:t xml:space="preserve">Lys234 … Gly236</w:t>
      </w:r>
      <w:r>
        <w:t xml:space="preserve"> triad are conserved in every sequence. The middle triad residue toggles between Ser (TEM-1, BlaZ) and Thr (SHV, CTX-M) — a neutral substitution that does not affect catalysis.</w:t>
      </w:r>
    </w:p>
    <w:p>
      <w:pPr>
        <w:spacing w:after="140" w:line="276"/>
      </w:pPr>
      <w:r>
        <w:rPr>
          <w:b/>
          <w:bCs/>
        </w:rPr>
        <w:t xml:space="preserve">Variable regions. </w:t>
      </w:r>
      <w:r>
        <w:t xml:space="preserve">Sequence divergence is confined to surface loops and the N-terminal signal peptide — regions under no catalytic constraint. This conserved-core / variable-surface pattern is the structural signature of an ancient, functionally essential enzyme scaffold.</w:t>
      </w:r>
    </w:p>
    <w:p>
      <w:pPr>
        <w:pStyle w:val="Heading1"/>
      </w:pPr>
      <w:r>
        <w:t xml:space="preserve">6. Phylogenetic tree</w:t>
      </w:r>
    </w:p>
    <w:p>
      <w:pPr>
        <w:spacing w:after="140" w:line="276"/>
      </w:pPr>
      <w:r>
        <w:rPr>
          <w:b/>
          <w:bCs/>
        </w:rPr>
        <w:t xml:space="preserve">Method. </w:t>
      </w:r>
      <w:r>
        <w:t xml:space="preserve">Neighbour-joining tree from BLOSUM62 pairwise distances on the FAMSA alignment, rooted on the Gram-positive BlaZ outgroup.</w:t>
      </w:r>
    </w:p>
    <w:p>
      <w:pPr>
        <w:spacing w:after="60" w:before="120"/>
        <w:jc w:val="center"/>
      </w:pPr>
      <w:r>
        <w:drawing>
          <wp:inline distT="0" distB="0" distL="0" distR="0">
            <wp:extent cx="5334000" cy="2809875"/>
            <wp:effectExtent t="0" r="0" b="0" l="0"/>
            <wp:docPr id="1" name="Figure 2. Neighbour-joining tree of the five class A β-lactamases." descr="Figure 2. Neighbour-joining tree of the five class A β-lactamases." title="Figure 2. Neighbour-joining tree of the five class A β-lactam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09875"/>
                    </a:xfrm>
                    <a:prstGeom prst="rect">
                      <a:avLst/>
                    </a:prstGeom>
                  </pic:spPr>
                </pic:pic>
              </a:graphicData>
            </a:graphic>
          </wp:inline>
        </w:drawing>
      </w:r>
    </w:p>
    <w:p>
      <w:pPr>
        <w:spacing w:after="160"/>
        <w:jc w:val="center"/>
      </w:pPr>
      <w:r>
        <w:rPr>
          <w:i/>
          <w:iCs/>
          <w:color w:val="666666"/>
          <w:sz w:val="18"/>
          <w:szCs w:val="18"/>
        </w:rPr>
        <w:t xml:space="preserve">Figure 2. Neighbour-joining tree of the five class A β-lactamases.</w:t>
      </w:r>
    </w:p>
    <w:p>
      <w:pPr>
        <w:pStyle w:val="Heading2"/>
      </w:pPr>
      <w:r>
        <w:t xml:space="preserve">6.1 Interpretation</w:t>
      </w:r>
    </w:p>
    <w:p>
      <w:pPr>
        <w:pStyle w:val="ListParagraph"/>
        <w:numPr>
          <w:ilvl w:val="0"/>
          <w:numId w:val="2"/>
        </w:numPr>
        <w:spacing w:after="80" w:line="270"/>
      </w:pPr>
      <w:r>
        <w:rPr>
          <w:b/>
          <w:bCs/>
        </w:rPr>
        <w:t xml:space="preserve">SHV-1 and SHV-2 cluster almost on top of each other</w:t>
      </w:r>
      <w:r>
        <w:t xml:space="preserve"> (distance ≈ 0.004). They differ by a </w:t>
      </w:r>
      <w:r>
        <w:rPr>
          <w:b/>
          <w:bCs/>
        </w:rPr>
        <w:t xml:space="preserve">single residue</w:t>
      </w:r>
      <w:r>
        <w:t xml:space="preserve"> — the G→S substitution at the K-[S/T]-G+2 position that converts the narrow-spectrum SHV-1 into the extended-spectrum ESBL SHV-2. A one-amino-acid change with a major clinical phenotype.</w:t>
      </w:r>
    </w:p>
    <w:p>
      <w:pPr>
        <w:pStyle w:val="ListParagraph"/>
        <w:numPr>
          <w:ilvl w:val="0"/>
          <w:numId w:val="2"/>
        </w:numPr>
        <w:spacing w:after="80" w:line="270"/>
      </w:pPr>
      <w:r>
        <w:rPr>
          <w:b/>
          <w:bCs/>
        </w:rPr>
        <w:t xml:space="preserve">TEM-1 groups with the SHV clade</w:t>
      </w:r>
      <w:r>
        <w:t xml:space="preserve"> (both Enterobacteriaceae, distance ≈ 0.34), while </w:t>
      </w:r>
      <w:r>
        <w:rPr>
          <w:b/>
          <w:bCs/>
        </w:rPr>
        <w:t xml:space="preserve">CTX-M-15 sits on its own branch</w:t>
      </w:r>
      <w:r>
        <w:t xml:space="preserve"> (≈ 0.63–0.65) — consistent with CTX-M enzymes having a distinct evolutionary origin (mobilised from </w:t>
      </w:r>
      <w:r>
        <w:rPr>
          <w:i/>
          <w:iCs/>
        </w:rPr>
        <w:t xml:space="preserve">Kluyvera</w:t>
      </w:r>
      <w:r>
        <w:t xml:space="preserve"> chromosomal genes).</w:t>
      </w:r>
    </w:p>
    <w:p>
      <w:pPr>
        <w:pStyle w:val="ListParagraph"/>
        <w:numPr>
          <w:ilvl w:val="0"/>
          <w:numId w:val="2"/>
        </w:numPr>
        <w:spacing w:after="80" w:line="270"/>
      </w:pPr>
      <w:r>
        <w:rPr>
          <w:b/>
          <w:bCs/>
        </w:rPr>
        <w:t xml:space="preserve">BlaZ/PC1 (S. aureus) is the most distant</w:t>
      </w:r>
      <w:r>
        <w:t xml:space="preserve"> (≈ 0.71–0.74) and roots the tree — the Gram-positive enzyme separates cleanly from the Gram-negative clade.</w:t>
      </w:r>
    </w:p>
    <w:p>
      <w:pPr>
        <w:spacing w:after="140" w:line="276"/>
      </w:pPr>
      <w:r>
        <w:rPr>
          <w:b/>
          <w:bCs/>
        </w:rPr>
        <w:t xml:space="preserve">Consistent with taxonomy and function? </w:t>
      </w:r>
      <w:r>
        <w:t xml:space="preserve">Both. Clustering follows taxonomy (Gram-positive outgroup vs Enterobacterales clade) </w:t>
      </w:r>
      <w:r>
        <w:rPr>
          <w:b/>
          <w:bCs/>
        </w:rPr>
        <w:t xml:space="preserve">and</w:t>
      </w:r>
      <w:r>
        <w:t xml:space="preserve"> function (all five share the invariant class A catalytic core). The within-family micro-distances (SHV-1 vs SHV-2) also map neatly onto resistance phenotype.</w:t>
      </w:r>
    </w:p>
    <w:p>
      <w:pPr>
        <w:pStyle w:val="Heading1"/>
      </w:pPr>
      <w:r>
        <w:t xml:space="preserve">7. Galaxy workflow</w:t>
      </w:r>
    </w:p>
    <w:p>
      <w:pPr>
        <w:spacing w:after="140" w:line="276"/>
      </w:pPr>
      <w:r>
        <w:t xml:space="preserve">A reproducible Galaxy workflow chaining the three analyses is described in the companion file </w:t>
      </w:r>
      <w:r>
        <w:rPr>
          <w:b/>
          <w:bCs/>
        </w:rPr>
        <w:t xml:space="preserve">galaxy_workflow.md</w:t>
      </w:r>
      <w:r>
        <w:t xml:space="preserve">. Pipeline outline:</w:t>
      </w:r>
    </w:p>
    <w:p>
      <w:pPr>
        <w:pStyle w:val="ListParagraph"/>
        <w:numPr>
          <w:ilvl w:val="0"/>
          <w:numId w:val="2"/>
        </w:numPr>
        <w:spacing w:after="80" w:line="270"/>
      </w:pPr>
      <w:r>
        <w:rPr>
          <w:b/>
          <w:bCs/>
        </w:rPr>
        <w:t xml:space="preserve">Input: </w:t>
      </w:r>
      <w:r>
        <w:t xml:space="preserve">multi-FASTA of homologs (Get Data → Upload File).</w:t>
      </w:r>
    </w:p>
    <w:p>
      <w:pPr>
        <w:pStyle w:val="ListParagraph"/>
        <w:numPr>
          <w:ilvl w:val="0"/>
          <w:numId w:val="2"/>
        </w:numPr>
        <w:spacing w:after="80" w:line="270"/>
      </w:pPr>
      <w:r>
        <w:rPr>
          <w:b/>
          <w:bCs/>
        </w:rPr>
        <w:t xml:space="preserve">Step 1 — BLAST: </w:t>
      </w:r>
      <w:r>
        <w:t xml:space="preserve">NCBI BLAST+ blastp of the query vs nr / a protein DB → tabular hits.</w:t>
      </w:r>
    </w:p>
    <w:p>
      <w:pPr>
        <w:pStyle w:val="ListParagraph"/>
        <w:numPr>
          <w:ilvl w:val="0"/>
          <w:numId w:val="2"/>
        </w:numPr>
        <w:spacing w:after="80" w:line="270"/>
      </w:pPr>
      <w:r>
        <w:rPr>
          <w:b/>
          <w:bCs/>
        </w:rPr>
        <w:t xml:space="preserve">Step 2 — MSA: </w:t>
      </w:r>
      <w:r>
        <w:t xml:space="preserve">MUSCLE or MAFFT on the homolog set → FASTA alignment.</w:t>
      </w:r>
    </w:p>
    <w:p>
      <w:pPr>
        <w:pStyle w:val="ListParagraph"/>
        <w:numPr>
          <w:ilvl w:val="0"/>
          <w:numId w:val="2"/>
        </w:numPr>
        <w:spacing w:after="80" w:line="270"/>
      </w:pPr>
      <w:r>
        <w:rPr>
          <w:b/>
          <w:bCs/>
        </w:rPr>
        <w:t xml:space="preserve">Step 3 — Tree: </w:t>
      </w:r>
      <w:r>
        <w:t xml:space="preserve">FastTree (or IQ-TREE) on the alignment → Newick tree, then visualise.</w:t>
      </w:r>
    </w:p>
    <w:p>
      <w:pPr>
        <w:pStyle w:val="Heading1"/>
      </w:pPr>
      <w:r>
        <w:t xml:space="preserve">8. Biological, medical &amp; clinical significance</w:t>
      </w:r>
    </w:p>
    <w:p>
      <w:pPr>
        <w:spacing w:after="140" w:line="276"/>
      </w:pPr>
      <w:r>
        <w:t xml:space="preserve">TEM-1 is the single most prevalent plasmid-mediated β-lactamase in Gram-negative bacteria. Clinically it drives resistance to aminopenicillins (ampicillin, amoxicillin) and early cephalosporins. Its real danger is </w:t>
      </w:r>
      <w:r>
        <w:rPr>
          <w:b/>
          <w:bCs/>
        </w:rPr>
        <w:t xml:space="preserve">evolvability</w:t>
      </w:r>
      <w:r>
        <w:t xml:space="preserve">: a handful of point mutations turn TEM-1 into </w:t>
      </w:r>
      <w:r>
        <w:rPr>
          <w:b/>
          <w:bCs/>
        </w:rPr>
        <w:t xml:space="preserve">extended-spectrum β-lactamases</w:t>
      </w:r>
      <w:r>
        <w:t xml:space="preserve"> (TEM-3, TEM-10…) that defeat third-generation cephalosporins, or into </w:t>
      </w:r>
      <w:r>
        <w:rPr>
          <w:b/>
          <w:bCs/>
        </w:rPr>
        <w:t xml:space="preserve">inhibitor-resistant</w:t>
      </w:r>
      <w:r>
        <w:t xml:space="preserve"> variants (IRT) that survive clavulanate. The SHV-1→SHV-2 pair in this very dataset — separated by one residue — illustrates exactly how a small genetic step yields a large resistance gain.</w:t>
      </w:r>
    </w:p>
    <w:p>
      <w:pPr>
        <w:spacing w:after="140" w:line="276"/>
      </w:pPr>
      <w:r>
        <w:t xml:space="preserve">Because blaTEM is plasmid- and transposon-borne, it spreads readily across species (as the BLAST result showed), making it a central player in the global AMR crisis and a standard model system for studying β-lactamase mechanism, inhibitor design, and resistance evolution.</w:t>
      </w:r>
    </w:p>
    <w:p>
      <w:pPr>
        <w:pStyle w:val="Heading1"/>
      </w:pPr>
      <w:r>
        <w:t xml:space="preserve">Appendix — reproducibility</w:t>
      </w:r>
    </w:p>
    <w:p>
      <w:pPr>
        <w:pStyle w:val="ListParagraph"/>
        <w:numPr>
          <w:ilvl w:val="0"/>
          <w:numId w:val="2"/>
        </w:numPr>
        <w:spacing w:after="80" w:line="270"/>
      </w:pPr>
      <w:r>
        <w:rPr>
          <w:b/>
          <w:bCs/>
        </w:rPr>
        <w:t xml:space="preserve">homologs.fasta</w:t>
      </w:r>
      <w:r>
        <w:t xml:space="preserve"> — query + 4 homologs (multi-FASTA).</w:t>
      </w:r>
    </w:p>
    <w:p>
      <w:pPr>
        <w:pStyle w:val="ListParagraph"/>
        <w:numPr>
          <w:ilvl w:val="0"/>
          <w:numId w:val="2"/>
        </w:numPr>
        <w:spacing w:after="80" w:line="270"/>
      </w:pPr>
      <w:r>
        <w:rPr>
          <w:b/>
          <w:bCs/>
        </w:rPr>
        <w:t xml:space="preserve">alignment.fasta / alignment.clustal</w:t>
      </w:r>
      <w:r>
        <w:t xml:space="preserve"> — FAMSA MSA (293 columns).</w:t>
      </w:r>
    </w:p>
    <w:p>
      <w:pPr>
        <w:pStyle w:val="ListParagraph"/>
        <w:numPr>
          <w:ilvl w:val="0"/>
          <w:numId w:val="2"/>
        </w:numPr>
        <w:spacing w:after="80" w:line="270"/>
      </w:pPr>
      <w:r>
        <w:rPr>
          <w:b/>
          <w:bCs/>
        </w:rPr>
        <w:t xml:space="preserve">tree.nwk</w:t>
      </w:r>
      <w:r>
        <w:t xml:space="preserve"> — Newick tree; </w:t>
      </w:r>
      <w:r>
        <w:rPr>
          <w:b/>
          <w:bCs/>
        </w:rPr>
        <w:t xml:space="preserve">tree.png</w:t>
      </w:r>
      <w:r>
        <w:t xml:space="preserve">, </w:t>
      </w:r>
      <w:r>
        <w:rPr>
          <w:b/>
          <w:bCs/>
        </w:rPr>
        <w:t xml:space="preserve">msa_motifs.png</w:t>
      </w:r>
      <w:r>
        <w:t xml:space="preserve"> — figures.</w:t>
      </w:r>
    </w:p>
    <w:p>
      <w:pPr>
        <w:pStyle w:val="ListParagraph"/>
        <w:numPr>
          <w:ilvl w:val="0"/>
          <w:numId w:val="2"/>
        </w:numPr>
        <w:spacing w:after="80" w:line="270"/>
      </w:pPr>
      <w:r>
        <w:rPr>
          <w:b/>
          <w:bCs/>
        </w:rPr>
        <w:t xml:space="preserve">galaxy_workflow.md</w:t>
      </w:r>
      <w:r>
        <w:t xml:space="preserve"> — step-by-step Galaxy build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Sutcliffe JG. Nucleotide sequence of the ampicillin resistance gene of Escherichia coli plasmid pBR322. PNAS 1978;75(8):3737-41.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The Bioinformatic Detective — Sequence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7" w:sz="6" w:space="4"/>
      </w:pBdr>
      <w:spacing w:after="160" w:before="300"/>
      <w:outlineLvl w:val="0"/>
    </w:pPr>
    <w:rPr>
      <w:rFonts w:ascii="Arial" w:cs="Arial" w:eastAsia="Arial" w:hAnsi="Arial"/>
      <w:b/>
      <w:bCs/>
      <w:color w:val="2E5A87"/>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B99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158552d47c9d0960bda44268362c983cd5d187.png"/><Relationship Id="rId10" Type="http://schemas.openxmlformats.org/officeDocument/2006/relationships/image" Target="media/180c4131f94fe90c5f6836170996f4991e5069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Côme — Bioinformatics Minor</dc:creator>
  <cp:lastModifiedBy>Un-named</cp:lastModifiedBy>
  <cp:revision>1</cp:revision>
  <dcterms:created xsi:type="dcterms:W3CDTF">2026-06-25T19:51:34.342Z</dcterms:created>
  <dcterms:modified xsi:type="dcterms:W3CDTF">2026-06-25T19:51:34.342Z</dcterms:modified>
</cp:coreProperties>
</file>

<file path=docProps/custom.xml><?xml version="1.0" encoding="utf-8"?>
<Properties xmlns="http://schemas.openxmlformats.org/officeDocument/2006/custom-properties" xmlns:vt="http://schemas.openxmlformats.org/officeDocument/2006/docPropsVTypes"/>
</file>