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60"/>
      </w:pPr>
      <w:r>
        <w:rPr>
          <w:rFonts w:ascii="Times New Roman" w:hAnsi="Times New Roman" w:cs="Times New Roman"/>
          <w:sz w:val="8"/>
          <w:szCs w:val="8"/>
        </w:rPr>
        <w:t xml:space="preserve"> </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1A495D"/>
            <w:tcMar>
              <w:top w:w="60" w:type="dxa"/>
              <w:left w:w="80" w:type="dxa"/>
              <w:bottom w:w="60" w:type="dxa"/>
              <w:right w:w="80" w:type="dxa"/>
            </w:tcMar>
            <w:vAlign w:val="top"/>
          </w:tcPr>
          <w:p>
            <w:pPr>
              <w:spacing w:before="120" w:after="60"/>
            </w:pPr>
            <w:r>
              <w:rPr>
                <w:rFonts w:ascii="Arial" w:hAnsi="Arial" w:cs="Arial"/>
                <w:i/>
                <w:color w:val="A9D5E7"/>
                <w:sz w:val="22"/>
                <w:szCs w:val="22"/>
              </w:rPr>
              <w:t xml:space="preserve">JCDC Smart City Cyber Security Package</w:t>
            </w:r>
          </w:p>
          <w:p>
            <w:pPr>
              <w:spacing w:before="0" w:after="80"/>
            </w:pPr>
            <w:r>
              <w:rPr>
                <w:rFonts w:ascii="Arial" w:hAnsi="Arial" w:cs="Arial"/>
                <w:b/>
                <w:color w:val="FFFFFF"/>
                <w:sz w:val="52"/>
                <w:szCs w:val="52"/>
              </w:rPr>
              <w:t xml:space="preserve">Documentation Gap Analysis &amp; Evidence Map</w:t>
            </w:r>
          </w:p>
          <w:p>
            <w:pPr>
              <w:spacing w:before="0" w:after="140"/>
            </w:pPr>
            <w:r>
              <w:rPr>
                <w:rFonts w:ascii="Arial" w:hAnsi="Arial" w:cs="Arial"/>
                <w:i/>
                <w:color w:val="FFFFFF"/>
                <w:sz w:val="24"/>
                <w:szCs w:val="24"/>
              </w:rPr>
              <w:t xml:space="preserve">What we have said, where the proof lives, what is missing — and exactly where it must go</w:t>
            </w:r>
          </w:p>
        </w:tc>
      </w:tr>
    </w:tbl>
    <w:p>
      <w:pPr>
        <w:spacing w:after="120"/>
      </w:pPr>
    </w:p>
    <w:p>
      <w:pPr>
        <w:spacing w:before="200" w:after="80"/>
      </w:pPr>
      <w:r>
        <w:rPr>
          <w:rFonts w:ascii="Arial" w:hAnsi="Arial" w:cs="Arial"/>
          <w:b/>
          <w:color w:val="3494BA"/>
          <w:sz w:val="22"/>
          <w:szCs w:val="22"/>
        </w:rPr>
        <w:t xml:space="preserve">ABSTRACT</w:t>
      </w:r>
    </w:p>
    <w:p>
      <w:pPr>
        <w:spacing w:before="0" w:after="120"/>
      </w:pPr>
      <w:r>
        <w:rPr>
          <w:rFonts w:ascii="Times New Roman" w:hAnsi="Times New Roman" w:cs="Times New Roman"/>
          <w:sz w:val="22"/>
          <w:szCs w:val="22"/>
        </w:rPr>
        <w:t xml:space="preserve">4S has told JCDC and China Harbour that we comply with 60 numbered cyber-security requirements across five line items in Technical Comparison Sheet JCD-INFR-CHEC-PCL-TBE-034. The rule from here is simple: where we said Comply, our documentation must show exactly how — clause by clause, page by page. This briefing maps every requirement to the document and page where it is asked, the document where our proof lives today, and the precise place each missing piece must be written before Implementation Plan V2 is issued. It is written for the whole team, technical and commercial alike: every action has a named target, so nothing is left to interpretation.</w:t>
      </w:r>
    </w:p>
    <w:p>
      <w:pPr>
        <w:spacing w:before="120" w:after="40"/>
      </w:pPr>
      <w:r>
        <w:rPr>
          <w:rFonts w:ascii="Times New Roman" w:hAnsi="Times New Roman" w:cs="Times New Roman"/>
          <w:b/>
          <w:sz w:val="22"/>
          <w:szCs w:val="22"/>
        </w:rPr>
        <w:t xml:space="preserve">Author: </w:t>
      </w:r>
      <w:r>
        <w:rPr>
          <w:rFonts w:ascii="Times New Roman" w:hAnsi="Times New Roman" w:cs="Times New Roman"/>
          <w:sz w:val="22"/>
          <w:szCs w:val="22"/>
        </w:rPr>
        <w:t xml:space="preserve">Chris Barter, Chief Commercial Officer (CCO), Platinum High Integrity Technologies Limited</w:t>
      </w:r>
    </w:p>
    <w:p>
      <w:pPr>
        <w:spacing w:before="0" w:after="40"/>
      </w:pPr>
      <w:r>
        <w:rPr>
          <w:rFonts w:ascii="Times New Roman" w:hAnsi="Times New Roman" w:cs="Times New Roman"/>
          <w:b/>
          <w:sz w:val="22"/>
          <w:szCs w:val="22"/>
        </w:rPr>
        <w:t xml:space="preserve">Date: </w:t>
      </w:r>
      <w:r>
        <w:rPr>
          <w:rFonts w:ascii="Times New Roman" w:hAnsi="Times New Roman" w:cs="Times New Roman"/>
          <w:sz w:val="22"/>
          <w:szCs w:val="22"/>
        </w:rPr>
        <w:t xml:space="preserve">30 July 2026</w:t>
      </w:r>
    </w:p>
    <w:p>
      <w:pPr>
        <w:spacing w:before="0" w:after="40"/>
      </w:pPr>
      <w:r>
        <w:rPr>
          <w:rFonts w:ascii="Times New Roman" w:hAnsi="Times New Roman" w:cs="Times New Roman"/>
          <w:b/>
          <w:sz w:val="22"/>
          <w:szCs w:val="22"/>
        </w:rPr>
        <w:t xml:space="preserve">Classification: </w:t>
      </w:r>
      <w:r>
        <w:rPr>
          <w:rFonts w:ascii="Times New Roman" w:hAnsi="Times New Roman" w:cs="Times New Roman"/>
          <w:b/>
          <w:sz w:val="22"/>
          <w:szCs w:val="22"/>
          <w:highlight w:val="yellow"/>
        </w:rPr>
        <w:t xml:space="preserve">COMMERCIAL IN CONFIDENCE</w:t>
      </w:r>
    </w:p>
    <w:p>
      <w:pPr>
        <w:spacing w:before="200" w:after="0"/>
      </w:pPr>
      <w:r>
        <w:rPr>
          <w:rFonts w:ascii="Times New Roman" w:hAnsi="Times New Roman" w:cs="Times New Roman"/>
          <w:color w:val="7F7F7F"/>
          <w:sz w:val="18"/>
          <w:szCs w:val="18"/>
        </w:rPr>
        <w:t xml:space="preserve">© Platinum High Integrity Technologies Limited 2026</w:t>
      </w:r>
    </w:p>
    <w:p>
      <w:r>
        <w:br w:type="page"/>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1. EXECUTIVE SUMMARY</w:t>
            </w:r>
          </w:p>
        </w:tc>
      </w:tr>
    </w:tbl>
    <w:p>
      <w:pPr>
        <w:spacing w:after="120"/>
      </w:pPr>
    </w:p>
    <w:p>
      <w:pPr>
        <w:spacing w:before="0" w:after="120"/>
      </w:pPr>
      <w:r>
        <w:rPr>
          <w:rFonts w:ascii="Times New Roman" w:hAnsi="Times New Roman" w:cs="Times New Roman"/>
          <w:sz w:val="22"/>
          <w:szCs w:val="22"/>
        </w:rPr>
        <w:t xml:space="preserve">We are in a strong position — stronger than the pushback from 4S and CHEC suggests. The Praesidium Suite now has a named, credible component behind 55 of the 60 requirements we answered. The problem is not capability. The problem is that our proof is scattered across six documents, and the one document a CHEC reviewer will actually read line-by-line — the Implementation Plan — is the weakest of the set.</w:t>
      </w:r>
    </w:p>
    <w:p>
      <w:pPr>
        <w:spacing w:before="0" w:after="120"/>
      </w:pPr>
      <w:r>
        <w:rPr>
          <w:rFonts w:ascii="Times New Roman" w:hAnsi="Times New Roman" w:cs="Times New Roman"/>
          <w:sz w:val="22"/>
          <w:szCs w:val="22"/>
        </w:rPr>
        <w:t xml:space="preserve">The scoreboard across all 60 numbered requirements in TBE-034:</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2400"/>
        <w:gridCol w:w="6050"/>
        <w:gridCol w:w="1700"/>
      </w:tblGrid>
      <w:tr>
        <w:tc>
          <w:tcPr>
            <w:tcW w:w="24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Verdict</w:t>
            </w:r>
          </w:p>
        </w:tc>
        <w:tc>
          <w:tcPr>
            <w:tcW w:w="60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What it means</w:t>
            </w:r>
          </w:p>
        </w:tc>
        <w:tc>
          <w:tcPr>
            <w:tcW w:w="17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Count</w:t>
            </w:r>
          </w:p>
        </w:tc>
      </w:tr>
      <w:tr>
        <w:tc>
          <w:tcPr>
            <w:tcW w:w="24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Comply — evidenced</w:t>
            </w:r>
          </w:p>
        </w:tc>
        <w:tc>
          <w:tcPr>
            <w:tcW w:w="6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 named Praesidium component answers it; evidence exists and must be consolidated into Plan V2</w:t>
            </w:r>
          </w:p>
        </w:tc>
        <w:tc>
          <w:tcPr>
            <w:tcW w:w="17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40</w:t>
            </w:r>
          </w:p>
        </w:tc>
      </w:tr>
      <w:tr>
        <w:tc>
          <w:tcPr>
            <w:tcW w:w="24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Comply as Noted</w:t>
            </w:r>
          </w:p>
        </w:tc>
        <w:tc>
          <w:tcPr>
            <w:tcW w:w="6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 deviation 4S has already declared on the sheet; we restate it word-for-word, nothing new to defend</w:t>
            </w:r>
          </w:p>
        </w:tc>
        <w:tc>
          <w:tcPr>
            <w:tcW w:w="17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4</w:t>
            </w:r>
          </w:p>
        </w:tc>
      </w:tr>
      <w:tr>
        <w:tc>
          <w:tcPr>
            <w:tcW w:w="24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Action for V2</w:t>
            </w:r>
          </w:p>
        </w:tc>
        <w:tc>
          <w:tcPr>
            <w:tcW w:w="6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The capability exists but is not yet written down where the reviewer will look — writing task, not engineering task</w:t>
            </w:r>
          </w:p>
        </w:tc>
        <w:tc>
          <w:tcPr>
            <w:tcW w:w="17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11</w:t>
            </w:r>
          </w:p>
        </w:tc>
      </w:tr>
      <w:tr>
        <w:tc>
          <w:tcPr>
            <w:tcW w:w="24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Gap — decision needed</w:t>
            </w:r>
          </w:p>
        </w:tc>
        <w:tc>
          <w:tcPr>
            <w:tcW w:w="6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We said Comply but have no named component; needs a product, a demarcation, or a negotiated deviation before V2 issues</w:t>
            </w:r>
          </w:p>
        </w:tc>
        <w:tc>
          <w:tcPr>
            <w:tcW w:w="17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5</w:t>
            </w:r>
          </w:p>
        </w:tc>
      </w:tr>
    </w:tbl>
    <w:p>
      <w:pPr>
        <w:spacing w:after="120"/>
      </w:pPr>
    </w:p>
    <w:p>
      <w:pPr>
        <w:spacing w:before="0" w:after="120"/>
      </w:pPr>
      <w:r>
        <w:rPr>
          <w:rFonts w:ascii="Times New Roman" w:hAnsi="Times New Roman" w:cs="Times New Roman"/>
          <w:sz w:val="22"/>
          <w:szCs w:val="22"/>
        </w:rPr>
        <w:t xml:space="preserve">Three things decide whether this submission survives review. First, Implementation Plan V2 must become the single consolidation point — every diagram, function description and deviation pulled into one document with clause cross-references. Second, twelve documentation defects in the current V1 plan (empty sections, contradictions, end-of-life software versions) must be fixed — any one of them gives a reviewer a reason to distrust the whole pack. Third, five requirements need a commercial decision this week, because we have already said Comply to them on a signed sheet.</w:t>
      </w:r>
    </w:p>
    <w:p>
      <w:pPr>
        <w:spacing w:before="0" w:after="120"/>
      </w:pPr>
      <w:r>
        <w:rPr>
          <w:rFonts w:ascii="Times New Roman" w:hAnsi="Times New Roman" w:cs="Times New Roman"/>
          <w:sz w:val="22"/>
          <w:szCs w:val="22"/>
        </w:rPr>
        <w:t xml:space="preserve">Everything below tells the team exactly where each requirement is asked, what we answered, where today's proof sits, and where the fix goes. Work through it top to bottom and V2 goes out defensible.</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2. THE RULE WE ARE PLAYING BY</w:t>
            </w:r>
          </w:p>
        </w:tc>
      </w:tr>
    </w:tbl>
    <w:p>
      <w:pPr>
        <w:spacing w:after="120"/>
      </w:pPr>
    </w:p>
    <w:p>
      <w:pPr>
        <w:spacing w:before="0" w:after="120"/>
      </w:pPr>
      <w:r>
        <w:rPr>
          <w:rFonts w:ascii="Times New Roman" w:hAnsi="Times New Roman" w:cs="Times New Roman"/>
          <w:sz w:val="22"/>
          <w:szCs w:val="22"/>
        </w:rPr>
        <w:t xml:space="preserve">TBE-034 is a signed compliance sheet. Every row where 4S wrote “Comply” is a promise that a technical reviewer at CHEC or JCDC can test with one question: “show me.” Our documentation therefore has exactly three honest states, and every requirement must sit cleanly in one of them:</w:t>
      </w:r>
    </w:p>
    <w:p>
      <w:pPr>
        <w:spacing w:before="0" w:after="80"/>
      </w:pPr>
      <w:r>
        <w:rPr>
          <w:rFonts w:ascii="Times New Roman" w:hAnsi="Times New Roman" w:cs="Times New Roman"/>
          <w:b/>
          <w:sz w:val="22"/>
          <w:szCs w:val="22"/>
        </w:rPr>
        <w:t xml:space="preserve">1.  Comply — and show it. </w:t>
      </w:r>
      <w:r>
        <w:rPr>
          <w:rFonts w:ascii="Times New Roman" w:hAnsi="Times New Roman" w:cs="Times New Roman"/>
          <w:sz w:val="22"/>
          <w:szCs w:val="22"/>
        </w:rPr>
        <w:t xml:space="preserve">The capability has a named component and the implementation plan states, against the clause number, how it works. This is where 51 of 60 rows land once V2 consolidates the evidence.</w:t>
      </w:r>
    </w:p>
    <w:p>
      <w:pPr>
        <w:spacing w:before="0" w:after="80"/>
      </w:pPr>
      <w:r>
        <w:rPr>
          <w:rFonts w:ascii="Times New Roman" w:hAnsi="Times New Roman" w:cs="Times New Roman"/>
          <w:b/>
          <w:sz w:val="22"/>
          <w:szCs w:val="22"/>
        </w:rPr>
        <w:t xml:space="preserve">2.  Comply as Noted — and restate it. </w:t>
      </w:r>
      <w:r>
        <w:rPr>
          <w:rFonts w:ascii="Times New Roman" w:hAnsi="Times New Roman" w:cs="Times New Roman"/>
          <w:sz w:val="22"/>
          <w:szCs w:val="22"/>
        </w:rPr>
        <w:t xml:space="preserve">4S declared four deviations on the sheet itself. We repeat them word-for-word in V2’s deviation register. A declared limitation is a strength; a re-worded one looks like a retreat.</w:t>
      </w:r>
    </w:p>
    <w:p>
      <w:pPr>
        <w:spacing w:before="0" w:after="80"/>
      </w:pPr>
      <w:r>
        <w:rPr>
          <w:rFonts w:ascii="Times New Roman" w:hAnsi="Times New Roman" w:cs="Times New Roman"/>
          <w:b/>
          <w:sz w:val="22"/>
          <w:szCs w:val="22"/>
        </w:rPr>
        <w:t xml:space="preserve">3.  Not complying — declare it, do not decorate it. </w:t>
      </w:r>
      <w:r>
        <w:rPr>
          <w:rFonts w:ascii="Times New Roman" w:hAnsi="Times New Roman" w:cs="Times New Roman"/>
          <w:sz w:val="22"/>
          <w:szCs w:val="22"/>
        </w:rPr>
        <w:t xml:space="preserve">Where we have no component, we do not write around it. We either add a product, demarcate the obligation to another package in writing, or negotiate a deviation with 4S before submission. Five rows need this decision.</w:t>
      </w:r>
    </w:p>
    <w:p>
      <w:pPr>
        <w:spacing w:before="0" w:after="120"/>
      </w:pPr>
      <w:r>
        <w:rPr>
          <w:rFonts w:ascii="Times New Roman" w:hAnsi="Times New Roman" w:cs="Times New Roman"/>
          <w:sz w:val="22"/>
          <w:szCs w:val="22"/>
        </w:rPr>
        <w:t xml:space="preserve">The one outcome we cannot afford is a reviewer finding a “Comply” with nothing behind it. One undeclared gap and every other Comply on the sheet becomes suspect. That is the entire logic of this document.</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3. THE DOCUMENT SET — WHERE OUR INFORMATION COMES FROM</w:t>
            </w:r>
          </w:p>
        </w:tc>
      </w:tr>
    </w:tbl>
    <w:p>
      <w:pPr>
        <w:spacing w:after="120"/>
      </w:pPr>
    </w:p>
    <w:p>
      <w:pPr>
        <w:spacing w:before="0" w:after="120"/>
      </w:pPr>
      <w:r>
        <w:rPr>
          <w:rFonts w:ascii="Times New Roman" w:hAnsi="Times New Roman" w:cs="Times New Roman"/>
          <w:sz w:val="22"/>
          <w:szCs w:val="22"/>
        </w:rPr>
        <w:t xml:space="preserve">Every claim in this analysis is pulled from the following documents. This is the complete set the team is working with; page references throughout this briefing point into these documents.</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2950"/>
        <w:gridCol w:w="1350"/>
        <w:gridCol w:w="3800"/>
        <w:gridCol w:w="2050"/>
      </w:tblGrid>
      <w:tr>
        <w:tc>
          <w:tcPr>
            <w:tcW w:w="29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Document</w:t>
            </w:r>
          </w:p>
        </w:tc>
        <w:tc>
          <w:tcPr>
            <w:tcW w:w="13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Date / Ref</w:t>
            </w:r>
          </w:p>
        </w:tc>
        <w:tc>
          <w:tcPr>
            <w:tcW w:w="38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Role in the submission</w:t>
            </w:r>
          </w:p>
        </w:tc>
        <w:tc>
          <w:tcPr>
            <w:tcW w:w="20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Status</w:t>
            </w:r>
          </w:p>
        </w:tc>
      </w:tr>
      <w:tr>
        <w:tc>
          <w:tcPr>
            <w:tcW w:w="29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JCDC Technical Comparison Sheet (TBE-034), 12 pp., 4S-stamped</w:t>
            </w:r>
          </w:p>
        </w:tc>
        <w:tc>
          <w:tcPr>
            <w:tcW w:w="1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28-May-2025 · JCD-INFR-CHEC-PCL-TBE-034</w:t>
            </w:r>
          </w:p>
        </w:tc>
        <w:tc>
          <w:tcPr>
            <w:tcW w:w="3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THE COMMITMENT. 60 numbered requirements across line items 1.1 NDR, 1.3 SIEM, 1.4 Syslog, 1.5 Endpoint/DLP, each answered Comply or Comply-as-Noted, with the spec section and page each requirement is drawn from</w:t>
            </w:r>
          </w:p>
        </w:tc>
        <w:tc>
          <w:tcPr>
            <w:tcW w:w="2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Signed — cannot be re-worded, only evidenced</w:t>
            </w:r>
          </w:p>
        </w:tc>
      </w:tr>
      <w:tr>
        <w:tc>
          <w:tcPr>
            <w:tcW w:w="29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SPC-272541 Cyber Security for Data Network (27 pp.)</w:t>
            </w:r>
          </w:p>
        </w:tc>
        <w:tc>
          <w:tcPr>
            <w:tcW w:w="1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JCD400-GEN1-DDD-DAR-TEL-SPC-00001-00</w:t>
            </w:r>
          </w:p>
        </w:tc>
        <w:tc>
          <w:tcPr>
            <w:tcW w:w="3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THE SPECIFICATION. Design &amp; performance requirements: §1.8 performance (pp.4–12), §1.12 commissioning (pp.12–15), §2.11 SIEM (p.22), §3.3 training (pp.25–27)</w:t>
            </w:r>
          </w:p>
        </w:tc>
        <w:tc>
          <w:tcPr>
            <w:tcW w:w="2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Fixed employer document — we comply or deviate</w:t>
            </w:r>
          </w:p>
        </w:tc>
      </w:tr>
      <w:tr>
        <w:tc>
          <w:tcPr>
            <w:tcW w:w="29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SPC-270501 Common Clauses for IT &amp; Security (46 pp.)</w:t>
            </w:r>
          </w:p>
        </w:tc>
        <w:tc>
          <w:tcPr>
            <w:tcW w:w="1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same series</w:t>
            </w:r>
          </w:p>
        </w:tc>
        <w:tc>
          <w:tcPr>
            <w:tcW w:w="3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THE CONTRACT CONDITIONS. §1.12 warranty &amp; experimental period (p.21), §1.14 maintenance/SLA (pp.23–24), §2.8 cyber controls incl. NDR/EDR, SSL, DNS, backup, PAM (pp.31–34)</w:t>
            </w:r>
          </w:p>
        </w:tc>
        <w:tc>
          <w:tcPr>
            <w:tcW w:w="2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Fixed employer document</w:t>
            </w:r>
          </w:p>
        </w:tc>
      </w:tr>
      <w:tr>
        <w:tc>
          <w:tcPr>
            <w:tcW w:w="29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Praesidium HA Dual-Site Implementation Plan V1 (18 pp.)</w:t>
            </w:r>
          </w:p>
        </w:tc>
        <w:tc>
          <w:tcPr>
            <w:tcW w:w="1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30-Jul-2026</w:t>
            </w:r>
          </w:p>
        </w:tc>
        <w:tc>
          <w:tcPr>
            <w:tcW w:w="3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OUR PRIMARY DELIVERABLE — the document a reviewer reads line-by-line. Currently the weakest item: 12 defects listed in Section 4</w:t>
            </w:r>
          </w:p>
        </w:tc>
        <w:tc>
          <w:tcPr>
            <w:tcW w:w="2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Being rewritten as V2 — consolidation target</w:t>
            </w:r>
          </w:p>
        </w:tc>
      </w:tr>
      <w:tr>
        <w:tc>
          <w:tcPr>
            <w:tcW w:w="29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Architecture Overview v2.1 (PPTX, 3 slides)</w:t>
            </w:r>
          </w:p>
        </w:tc>
        <w:tc>
          <w:tcPr>
            <w:tcW w:w="1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29-Jul-2026</w:t>
            </w:r>
          </w:p>
        </w:tc>
        <w:tc>
          <w:tcPr>
            <w:tcW w:w="3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Names the full component set: Zeek, RITA, ntopng, Wazuh, Shuffle, IRIS, MISP-class TI, OpenVAS, PAM, DLP, asset inventory; slide 2 defines every integration flow</w:t>
            </w:r>
          </w:p>
        </w:tc>
        <w:tc>
          <w:tcPr>
            <w:tcW w:w="2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Content correct; slide-2 image must NOT be issued (AI-generated watermark, spelling defects) — redrawn in Compliance Pack Fig 2</w:t>
            </w:r>
          </w:p>
        </w:tc>
      </w:tr>
      <w:tr>
        <w:tc>
          <w:tcPr>
            <w:tcW w:w="29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DXI / EDR Function Paper (2 pp.)</w:t>
            </w:r>
          </w:p>
        </w:tc>
        <w:tc>
          <w:tcPr>
            <w:tcW w:w="1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29-Jul-2026</w:t>
            </w:r>
          </w:p>
        </w:tc>
        <w:tc>
          <w:tcPr>
            <w:tcW w:w="3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Evidence for endpoint items: default-deny lifecycle, REST→syslog→Wazuh pipeline, &lt;100 KB agent, NT4→Win11 + SELinux + RTOS coverage, 21-year zero-CVE record</w:t>
            </w:r>
          </w:p>
        </w:tc>
        <w:tc>
          <w:tcPr>
            <w:tcW w:w="2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Feed into Plan V2 §3</w:t>
            </w:r>
          </w:p>
        </w:tc>
      </w:tr>
      <w:tr>
        <w:tc>
          <w:tcPr>
            <w:tcW w:w="29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SIEM–IRIS–Shuffle Integration Paper (2 pp.)</w:t>
            </w:r>
          </w:p>
        </w:tc>
        <w:tc>
          <w:tcPr>
            <w:tcW w:w="1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29-Jul-2026</w:t>
            </w:r>
          </w:p>
        </w:tc>
        <w:tc>
          <w:tcPr>
            <w:tcW w:w="3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Evidence for SIEM/SOAR items: Wazuh detects → IRIS documents → Shuffle acts; playbooks (isolate host, block C2, suspend account); bidirectional audit</w:t>
            </w:r>
          </w:p>
        </w:tc>
        <w:tc>
          <w:tcPr>
            <w:tcW w:w="2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Feed into Plan V2 §4</w:t>
            </w:r>
          </w:p>
        </w:tc>
      </w:tr>
      <w:tr>
        <w:tc>
          <w:tcPr>
            <w:tcW w:w="29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XDR Function Paper (2 pp.)</w:t>
            </w:r>
          </w:p>
        </w:tc>
        <w:tc>
          <w:tcPr>
            <w:tcW w:w="1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29-Jul-2026</w:t>
            </w:r>
          </w:p>
        </w:tc>
        <w:tc>
          <w:tcPr>
            <w:tcW w:w="3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Evidence for behavioural analytics: cross-domain correlation, baselines, automated hunts, coordinated response</w:t>
            </w:r>
          </w:p>
        </w:tc>
        <w:tc>
          <w:tcPr>
            <w:tcW w:w="2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Feed into Plan V2 §3</w:t>
            </w:r>
          </w:p>
        </w:tc>
      </w:tr>
      <w:tr>
        <w:tc>
          <w:tcPr>
            <w:tcW w:w="29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DLP Function Paper (2 pp.)</w:t>
            </w:r>
          </w:p>
        </w:tc>
        <w:tc>
          <w:tcPr>
            <w:tcW w:w="1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29-Jul-2026</w:t>
            </w:r>
          </w:p>
        </w:tc>
        <w:tc>
          <w:tcPr>
            <w:tcW w:w="3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Evidence for DLP items: OpenMetadata (data at rest), ntopng (data in motion incl. encrypted-traffic analysis), ELK correlation, Shuffle enforcement</w:t>
            </w:r>
          </w:p>
        </w:tc>
        <w:tc>
          <w:tcPr>
            <w:tcW w:w="2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Feed into Plan V2 §3</w:t>
            </w:r>
          </w:p>
        </w:tc>
      </w:tr>
      <w:tr>
        <w:tc>
          <w:tcPr>
            <w:tcW w:w="29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Solution &amp; Compliance Pack (HTML/PDF) + Compliance Matrix workbook</w:t>
            </w:r>
          </w:p>
        </w:tc>
        <w:tc>
          <w:tcPr>
            <w:tcW w:w="1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30-Jul-2026 (this session)</w:t>
            </w:r>
          </w:p>
        </w:tc>
        <w:tc>
          <w:tcPr>
            <w:tcW w:w="3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The consolidation vehicle: 8 clean diagrams, 60-row matrix, scope demarcation, contract checklist — built to be lifted into Plan V2</w:t>
            </w:r>
          </w:p>
        </w:tc>
        <w:tc>
          <w:tcPr>
            <w:tcW w:w="20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Current; source for V2 figures</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4. FIX FIRST — TWELVE DEFECTS IN THE DOCUMENTS WE ARE SENDING</w:t>
            </w:r>
          </w:p>
        </w:tc>
      </w:tr>
    </w:tbl>
    <w:p>
      <w:pPr>
        <w:spacing w:after="120"/>
      </w:pPr>
    </w:p>
    <w:p>
      <w:pPr>
        <w:spacing w:before="0" w:after="120"/>
      </w:pPr>
      <w:r>
        <w:rPr>
          <w:rFonts w:ascii="Times New Roman" w:hAnsi="Times New Roman" w:cs="Times New Roman"/>
          <w:sz w:val="22"/>
          <w:szCs w:val="22"/>
        </w:rPr>
        <w:t xml:space="preserve">These are faults a reviewer can find without any technical knowledge — empty sections, contradictions, dead software versions. Each row says exactly where the fault is and where the fix goes. Nothing ships until this table is cleared.</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550"/>
        <w:gridCol w:w="2450"/>
        <w:gridCol w:w="3550"/>
        <w:gridCol w:w="3600"/>
      </w:tblGrid>
      <w:tr>
        <w:tc>
          <w:tcPr>
            <w:tcW w:w="5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t>
            </w:r>
          </w:p>
        </w:tc>
        <w:tc>
          <w:tcPr>
            <w:tcW w:w="24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Where it is (document · page)</w:t>
            </w:r>
          </w:p>
        </w:tc>
        <w:tc>
          <w:tcPr>
            <w:tcW w:w="35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The defect</w:t>
            </w:r>
          </w:p>
        </w:tc>
        <w:tc>
          <w:tcPr>
            <w:tcW w:w="36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The fix — and where it goes</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p.9, §4.1 step 2</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Step reads “2. Installation” with no content at all — the heading is empty and the numbering jumps to step 3</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Write the CMC installation procedure, or renumber. Goes to Plan V2 §4.1</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2</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pp.9–10, §4.2 steps 2 &amp; 4</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“Installation” empty again; “Create wazuh-agent.conf template:” is followed by nothing — the template was never inserted</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Insert the installation steps and the agent template. Goes to Plan V2 §4.2 + configuration annex</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3</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p.11, §4.4</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“Create playbook deploy-hdf.yml:” — playbook content missing</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Insert the Ansible playbook or reference the annex. Plan V2 §4.4 + annex</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4</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p.9, §4.2 prerequisites</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Servers specified as CentOS/RHEL 8.x and Ubuntu 20.04 — CentOS 8 died Dec-2021; breaches SPC-272541 p.22 §2.11-A.18 (products ≥3 yrs pre-end-of-sale, ≥5 yrs pre-end-of-life)</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Re-platform to current LTS (e.g. RHEL 9 / Ubuntu 24.04) with vendor lifecycle attestations. Plan V2 §4.2</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5</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p.9 §4.1.3 vs p.12 §4.5 Test 1</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§4.1 configures CMC failover election as “Manual”; Test 1 and §8 success criteria promise automatic recovery in under 60 seconds — direct self-contradiction</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Change design to automatic election with quorum; document fail-back. Plan V2 §4.1 and §6</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6</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p.2 §1 vs p.8 Phase 6</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Overview says “Timeline: 6 months”; Phase 6 runs “Months 6–7” — the plan is 7 months long by its own table</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Adopt the 30-week programme (Compliance Pack Fig 8). Plan V2 §1 and §5</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7</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p.4 Phase 1 vs p.6 Phase 4</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Phase 1 deploys a “pilot group (5,000 endpoints)”; Phase 4 pilots 10,000 — two different pilots with no reconciliation</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Unify at 10,000 (5k Windows, 3k Linux, 2k RTOS). Plan V2 §5</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8</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entire document</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JCDC, 4S, CHEC and TBE-034 are never mentioned — the plan reads as a generic template, which invites “did they write this for us?”</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Add project page naming JCDC Main Utilities &amp; Public Realm, TBE-034, and the spec set; cross-reference clauses throughout. Plan V2 §1</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9</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p.16 §8 Compliance</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“as previously mapped” cites a document CHEC has never seen; framework list omits NCA ECC/CSCC and HCIS which SPC-272541 pp.2–3 §1.3-B explicitly requires</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Attach the mapping as Annex A (control-by-control ECC/CSCC); align the framework list to the spec’s own. Plan V2 Annex A</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10</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Architecture Overview v2.1 · slide 2 image</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Main diagram is AI-generated with a visible “AI-Generated” watermark and garbled labels (“Wazuh SiEM”, “Presiential Averts”, “DR-IRIS”, “Aucident/Actions”)</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Do not issue the image. Use the redrawn version — Compliance Pack Fig 2 — in every outgoing document</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11</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p.10 §4.2 / p.14 §6.1</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500 GB indexer storage against a stated 50,000 events/sec peak and 120-day retention — the arithmetic fails within hours and no sizing calculation exists anywhere</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Publish the sizing maths (EPS × event size × retention × 125% headroom per SPC-272541 §1.7-C.3). Plan V2 §2</w:t>
            </w:r>
          </w:p>
        </w:tc>
      </w:tr>
      <w:tr>
        <w:tc>
          <w:tcPr>
            <w:tcW w:w="5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12</w:t>
            </w:r>
          </w:p>
        </w:tc>
        <w:tc>
          <w:tcPr>
            <w:tcW w:w="24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Impl. Plan V1 · p.2 §2.1</w:t>
            </w:r>
          </w:p>
        </w:tc>
        <w:tc>
          <w:tcPr>
            <w:tcW w:w="35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 “Dual-Site Architecture” plan with no architecture diagram — topology is bullet lists only</w:t>
            </w:r>
          </w:p>
        </w:tc>
        <w:tc>
          <w:tcPr>
            <w:tcW w:w="36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Embed Compliance Pack Figs 1–2 (architecture + integration flow). Plan V2 §2</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5. EVIDENCE MAP — LINE ITEM 1.1: NETWORK DETECTION &amp; RESPONSE (NDR)</w:t>
            </w:r>
          </w:p>
        </w:tc>
      </w:tr>
    </w:tbl>
    <w:p>
      <w:pPr>
        <w:spacing w:after="120"/>
      </w:pPr>
    </w:p>
    <w:p>
      <w:pPr>
        <w:spacing w:before="0" w:after="120"/>
      </w:pPr>
      <w:r>
        <w:rPr>
          <w:rFonts w:ascii="Times New Roman" w:hAnsi="Times New Roman" w:cs="Times New Roman"/>
          <w:sz w:val="22"/>
          <w:szCs w:val="22"/>
        </w:rPr>
        <w:t xml:space="preserve">Specification sources for this line item: 272111 §1.8-C Network Security · 272541 §1.8-I Data Leak Prevention · 272541 §1.8-O Cyber Security Tools · 270501 §2.8-B NDR/EDR Tools. For every numbered requirement: where it is asked, what 4S answered, where our proof lives today, and what must still be written — and where.</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700"/>
        <w:gridCol w:w="2350"/>
        <w:gridCol w:w="1250"/>
        <w:gridCol w:w="2900"/>
        <w:gridCol w:w="2950"/>
      </w:tblGrid>
      <w:tr>
        <w:tc>
          <w:tcPr>
            <w:tcW w:w="7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Ref</w:t>
            </w:r>
          </w:p>
        </w:tc>
        <w:tc>
          <w:tcPr>
            <w:tcW w:w="23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Requirement — and where it is asked</w:t>
            </w:r>
          </w:p>
        </w:tc>
        <w:tc>
          <w:tcPr>
            <w:tcW w:w="12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Our answer</w:t>
            </w:r>
          </w:p>
        </w:tc>
        <w:tc>
          <w:tcPr>
            <w:tcW w:w="29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Where the proof lives today</w:t>
            </w:r>
          </w:p>
        </w:tc>
        <w:tc>
          <w:tcPr>
            <w:tcW w:w="29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What is missing — and where it goes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1.1.1</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Detection of threats in real time across the network.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 · SPC-272111 p.5 §1.8-C</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Arch Overview v2.1 slides 2–3 (Zeek NDR on TAPs); Impl. Plan V1 §4.3 (Zeek deployment)</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§2/§4: sensor placement map per segment — SPC-272541 p.21 §2.10 requires sensors at every external link, VLAN vertical, WLAN, critical system and DMZ</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1.1.2</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Machine-learning analysis of network traffic, incl. malware detection in encrypted traffic (without decryption) and distributed anomaly detection.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 · SPC-272111 p.5 §1.8-C(d)</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DLP Paper §2 (ntopng ETA: JA3/JA3S, SNI, certificates — explicitly no decryption); Arch v2.1 slide 2 (RITA: beaconing, DNS tunnelling, entropy, C2)</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one page naming ntopng + RITA as the mechanism, using the clause’s own words “without decryption” so the reviewer finds the answer verbatim</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1.1.3</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Behavioral analytics tool to identify abnormal activity constituting a security breach.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p.2 · SPC-270501 p.31 §2.8-B(d)</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Arch v2.1 slide 2 (RITA behavioural analysis); XDR Paper (Wazuh baselines)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 commissioning deliverable: use-case/watchlist catalogue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1.1.4</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Monitor and control the movement of sensitive information across data networks.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p.2 · SPC-272541 p.10 §1.8-I.2</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DLP Paper §§2–3 (ntopng egress anomaly detection; ELK correlates flows against OpenMetadata sensitivity tags; Shuffle blocks)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DLP chapter + approved auto-block classes agreed with the SOC</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1.1.5</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Use a specific network appliance or embedded technology to selectively capture and analyze traffic.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p.2 · SPC-272541 p.10 §1.8-I.5(a)</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Arch v2.1 (dedicated Zeek/ntopng sensor appliances on passive TAPs)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§2 BoM: sensor hardware specification + TAP schedule per site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1.1.6</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Passively monitor traffic, recognise the data stream, assemble packets, reconstruct the carried file and perform analysis.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p.2 · SPC-272541 p.10 §1.8-I.5(b)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Zeek native capability, drawn in Compliance Pack Fig 2 (stream reassembly + file reconstruction)</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state Zeek file-extraction explicitly against this clause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1.1.7</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Alert and optionally block the data flow in real time based on a defined rule set.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p.2 · SPC-272541 p.10 §1.8-I.5(c)</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SIEM–IRIS–Shuffle Paper (playbooks: block C2 IP at firewall, isolate host — executed in seconds)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firewall-integration API (CHEC’s firewall vendor to confirm) + playbook catalogue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1.1.8</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Seamless integration with SIEM.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p.2 · SPC-270501 p.31 §2.8-B(i)</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Arch v2.1 slide 2 (Zeek &amp; RITA logs aggregate via Wazuh); Pack Fig 2</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interface inventory — restate, nothing new to build</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6. EVIDENCE MAP — LINE ITEM 1.3: SECURITY INFORMATION &amp; EVENT MANAGEMENT (SIEM)</w:t>
            </w:r>
          </w:p>
        </w:tc>
      </w:tr>
    </w:tbl>
    <w:p>
      <w:pPr>
        <w:spacing w:after="120"/>
      </w:pPr>
    </w:p>
    <w:p>
      <w:pPr>
        <w:spacing w:before="0" w:after="120"/>
      </w:pPr>
      <w:r>
        <w:rPr>
          <w:rFonts w:ascii="Times New Roman" w:hAnsi="Times New Roman" w:cs="Times New Roman"/>
          <w:sz w:val="22"/>
          <w:szCs w:val="22"/>
        </w:rPr>
        <w:t xml:space="preserve">Specification sources for this line item: 270501 §2.8 · 272541 §2.11 SIEM Functionality · 272541 §1.8-G Incident Mgmt · §1.8-H Event Monitoring · 272111 p30 §12. For every numbered requirement: where it is asked, what 4S answered, where our proof lives today, and what must still be written — and where.</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700"/>
        <w:gridCol w:w="2350"/>
        <w:gridCol w:w="1250"/>
        <w:gridCol w:w="2900"/>
        <w:gridCol w:w="2950"/>
      </w:tblGrid>
      <w:tr>
        <w:tc>
          <w:tcPr>
            <w:tcW w:w="7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Ref</w:t>
            </w:r>
          </w:p>
        </w:tc>
        <w:tc>
          <w:tcPr>
            <w:tcW w:w="23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Requirement — and where it is asked</w:t>
            </w:r>
          </w:p>
        </w:tc>
        <w:tc>
          <w:tcPr>
            <w:tcW w:w="12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Our answer</w:t>
            </w:r>
          </w:p>
        </w:tc>
        <w:tc>
          <w:tcPr>
            <w:tcW w:w="29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Where the proof lives today</w:t>
            </w:r>
          </w:p>
        </w:tc>
        <w:tc>
          <w:tcPr>
            <w:tcW w:w="29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What is missing — and where it goes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1.3.1</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Threat hunting — capability to hunt for threats that have not triggered alarms.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p.3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Compliance Pack Fig 3; 120-day online store (Impl. Plan V1 §3 Phase 2 retention)</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hunting workflow + saved hunting dashboards listed as commissioning deliverables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1.3.2</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Monitoring user activity and behavioural analytics.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p.3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XDR Paper (behavioural baselines per user, endpoint, application)</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1.3.3</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Responding to incidents: alerting, quarantining, isolating, remediating.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p.3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SIEM–IRIS–Shuffle Paper — the full detect→document→act flow with named playbook actions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lift the paper’s flow in verbatim; this is our strongest integration evidence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1.3.4</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Assess effectiveness of security controls via comprehensive reporting and analytics.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p.3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SIEM Paper (IRIS audit trail, who/what/when/why); Pack §4</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§6: report catalogue (SOC + employer reporting)</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1.3.5</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High-performance capabilities for real-time monitoring, analysis and response.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p.4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Impl. Plan V1 §4.2 sizing exists but is inadequate (16 vCPU/32 GB/500 GB)</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§2: EPS sizing calculation at 125% load; state ≤3 s event-to-console against SPC-272541 p.11 §1.8-L.2</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1.3.6</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Integration with threat-intelligence feeds and databases.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p.4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§2 adds MISP to BoM; SIEM Paper describes TI matching; DXI Paper offers honeynet-derived intelligence</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MISP deployment + JCDC-specific watchlists per SPC-272541 p.10 §1.8-H.7(a)</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1.3.7</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Collect data from syslog, files, servers, network devices, firewalls, logs and more.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p.4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Impl. Plan V1 §2.1 (syslog aggregators); Arch v2.1 telemetry bus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source inventory table (device class → channel → parser)</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1.3.8</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Conduct forensic analysis for incidents.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p.4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B87A1E"/>
                <w:sz w:val="18"/>
                <w:szCs w:val="18"/>
              </w:rPr>
              <w:t xml:space="preserve">Comply as Noted</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TBE-034 p.4 remark held verbatim; DXI Paper (forensic-grade enforcement logs)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§9 deviation register: restate remark word-for-word; name the on-demand DFIR toolset</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1.3.9</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API integration with threat-intelligence services for up-to-date IOC feeds.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p.4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SIEM Paper; MISP feed API is standard</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feed list + refresh cadence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1.3.10</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API integration with security devices for automated response capabilities.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p.4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SIEM–IRIS–Shuffle Paper (firewall, endpoint and identity actions via API)</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integration inventory — which devices, which APIs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1.3.11</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Ad-hoc search and reporting of breaches.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p.5 · SPC-272541 p.22 §2.11 / p.9 §1.8-G</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Fig 3 (ad-hoc query over full store)</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state query + export capability</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1.3.12</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Track attackers' actions.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p.5 · SPC-272541 p.22 §2.11 / p.9 §1.8-G</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SIEM Paper (IRIS timelines + MITRE ATT&amp;CK mapping)</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cross-reference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1.3.13</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Establish a tool for penetration testing.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p.5 · SPC-272541 p.22 §2.11 / p.9 §1.8-G</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B87A1E"/>
                <w:sz w:val="18"/>
                <w:szCs w:val="18"/>
              </w:rPr>
              <w:t xml:space="preserve">Comply as Noted</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TBE-034 p.5 remark held verbatim (third-party PT; SIEM provides legally admissible logs + chain of custody)</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§9: restate; add OpenVAS as the in-scope scanning instrument; SAT strategy references third-party PT per SPC-272541 p.13 §1.12-I</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1.3.14</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Analyze, test, track and record vulnerability reports.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p.5 · SPC-272541 p.22 §2.11 / p.9 §1.8-G</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§2 (Wazuh Vulnerability Detection + OpenVAS)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enable VD module estate-wide; OpenVAS scan schedule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1.3.15</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Collect security event reports from constituents, vendors, security organizations and automated sensors.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p.5 · SPC-272541 p.22 §2.11 / p.9 §1.8-G</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SIEM Paper (IRIS intake for manual reports and advisories)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define intake channels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1.3.16</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Work with vulnerability-management tools to prioritize detected vulnerabilities.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p.5 · SPC-272541 p.22 §2.11 / p.9 §1.8-G</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matrix (CVSS + asset-criticality prioritisation; asset inventory context per Arch v2.1)</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1.3.17</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Protect sensitive security data (login credentials, PII) within the SIEM.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p.6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Only MFA on CMC (Impl. Plan V1 §4.1); nothing written for SIEM data protection</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RBAC model, indexer encryption at rest, PII anonymisation options — currently unwritten</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1.3.18</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Support data encryption; integrate seamlessly with firewalls and IDS/IPS.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p.6 · SPC-272541 p.22 §2.11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§2 (TLS on all channels)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TLS matrix (agent↔manager, node↔node) + firewall/IDS-IPS log integration list</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7. EVIDENCE MAP — LINE ITEM 1.4: SYSLOG SERVER</w:t>
            </w:r>
          </w:p>
        </w:tc>
      </w:tr>
    </w:tbl>
    <w:p>
      <w:pPr>
        <w:spacing w:after="120"/>
      </w:pPr>
    </w:p>
    <w:p>
      <w:pPr>
        <w:spacing w:before="0" w:after="120"/>
      </w:pPr>
      <w:r>
        <w:rPr>
          <w:rFonts w:ascii="Times New Roman" w:hAnsi="Times New Roman" w:cs="Times New Roman"/>
          <w:sz w:val="22"/>
          <w:szCs w:val="22"/>
        </w:rPr>
        <w:t xml:space="preserve">Specification sources for this line item: 272541 §1.8-H Event Monitoring · 272111 p30 §11 · 272111 §1.2 Summary. For every numbered requirement: where it is asked, what 4S answered, where our proof lives today, and what must still be written — and where.</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700"/>
        <w:gridCol w:w="2350"/>
        <w:gridCol w:w="1250"/>
        <w:gridCol w:w="2900"/>
        <w:gridCol w:w="2950"/>
      </w:tblGrid>
      <w:tr>
        <w:tc>
          <w:tcPr>
            <w:tcW w:w="7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Ref</w:t>
            </w:r>
          </w:p>
        </w:tc>
        <w:tc>
          <w:tcPr>
            <w:tcW w:w="23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Requirement — and where it is asked</w:t>
            </w:r>
          </w:p>
        </w:tc>
        <w:tc>
          <w:tcPr>
            <w:tcW w:w="12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Our answer</w:t>
            </w:r>
          </w:p>
        </w:tc>
        <w:tc>
          <w:tcPr>
            <w:tcW w:w="29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Where the proof lives today</w:t>
            </w:r>
          </w:p>
        </w:tc>
        <w:tc>
          <w:tcPr>
            <w:tcW w:w="29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What is missing — and where it goes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1.4.1</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Customisable log-rotation policies and data-retention periods.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p.6 · SPC-272111 p.30 §11 / SPC-272541 p.9 §1.8-H</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Impl. Plan V1 §3 Phase 2 (rotation &amp; archiving configured)</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per-source rotation/retention policy table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1.4.2</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Real-time monitoring of logs; notify IT administrators of critical events.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p.6 · SPC-272111 p.30 §11 / SPC-272541 p.9 §1.8-H</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Fig 3 (real-time forwarding to Wazuh alerting)</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alert channels incl. email/SMS per SPC-272541 p.8 §1.8-E.10</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1.4.3</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Ensure collection of all data about information system, service and network, stored and processed.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p.6 · SPC-272111 p.30 §11 / SPC-272541 p.9 §1.8-H</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Impl. Plan V1 §2.1 (round-robin syslog VIP across sites)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monthly collection-completeness audit procedure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1.4.4</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Integrate with other security tools such as SIEM.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p.6 · SPC-272111 p.30 §11 / SPC-272541 p.9 §1.8-H</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Arch v2.1 telemetry bus → Wazuh</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Restate in Plan V2 §4</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1.4.5</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Filtering of logs.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p.7 · SPC-272111 p.30 §11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Aggregator filtering implied but unwritten</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filter policy per source class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1.4.6</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Detection and alerting of anomalous/suspicious/malicious activities via syslog alerts, incl. alerts on specific log events or patterns.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p.7 · SPC-272111 p.30 §11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Wazuh pattern/event rules (Pack Fig 3)</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worked examples of pattern-based alerts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1.4.7</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Retention of log data: 3 months.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p.7 · SPC-272111 p.30 §11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Impl. Plan V1 §3 Phase 2: 30 days hot + 90 warm = 120 days — exceeds the 3-month requirement</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state the arithmetic against the clause explicitly</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1.4.8</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Report system performance, security incidents and log-data trends to help IT make informed decisions.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p.7 · SPC-272111 p.30 §11</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Fig 3 dashboards (volume, source health, incident trends)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§6 report catalogue</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8. EVIDENCE MAP — LINE ITEM 1.5: ENDPOINT SECURITY &amp; DATA LEAK PREVENTION (EDR / DLP)</w:t>
            </w:r>
          </w:p>
        </w:tc>
      </w:tr>
    </w:tbl>
    <w:p>
      <w:pPr>
        <w:spacing w:after="120"/>
      </w:pPr>
    </w:p>
    <w:p>
      <w:pPr>
        <w:spacing w:before="0" w:after="120"/>
      </w:pPr>
      <w:r>
        <w:rPr>
          <w:rFonts w:ascii="Times New Roman" w:hAnsi="Times New Roman" w:cs="Times New Roman"/>
          <w:sz w:val="22"/>
          <w:szCs w:val="22"/>
        </w:rPr>
        <w:t xml:space="preserve">Specification sources for this line item: 272111 p32 §17 End Point Security · 272541 §1.8-B Server/Application Security · §1.8-I DLP · §1.8-O Tools · 270501 §2.8-B · 270501 §2.2-I. For every numbered requirement: where it is asked, what 4S answered, where our proof lives today, and what must still be written — and where.</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700"/>
        <w:gridCol w:w="2350"/>
        <w:gridCol w:w="1250"/>
        <w:gridCol w:w="2900"/>
        <w:gridCol w:w="2950"/>
      </w:tblGrid>
      <w:tr>
        <w:tc>
          <w:tcPr>
            <w:tcW w:w="7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Ref</w:t>
            </w:r>
          </w:p>
        </w:tc>
        <w:tc>
          <w:tcPr>
            <w:tcW w:w="23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Requirement — and where it is asked</w:t>
            </w:r>
          </w:p>
        </w:tc>
        <w:tc>
          <w:tcPr>
            <w:tcW w:w="12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Our answer</w:t>
            </w:r>
          </w:p>
        </w:tc>
        <w:tc>
          <w:tcPr>
            <w:tcW w:w="29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Where the proof lives today</w:t>
            </w:r>
          </w:p>
        </w:tc>
        <w:tc>
          <w:tcPr>
            <w:tcW w:w="29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What is missing — and where it goes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Real-time monitoring and detection of threats across endpoints, with real-time notifications and configurable alerts.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p.7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DXI Paper (real-time kernel enforcement events); Impl. Plan V1 §4.4</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1.5.2</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Behavioural analytics: identify abnormal activity that may constitute a security breach.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p.7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XDR Paper (baselines); DXI blocked-execution events as high-fidelity indicators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1.5.3</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Responding to incidents: alerting, quarantining, isolating, remediating.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p.8 · SPC-272111 p.32 §17 / SPC-270501 p.31 §2.8-B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SIEM–IRIS–Shuffle Paper (playbooks: isolate, kill, disable)</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playbook catalogue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1.5.4</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Perform forensic analysis on endpoints, including file and memory analysis.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p.8 · SPC-272111 p.32 §17 / SPC-270501 p.31 §2.8-B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B87A1E"/>
                <w:sz w:val="18"/>
                <w:szCs w:val="18"/>
              </w:rPr>
              <w:t xml:space="preserve">Comply as Noted</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TBE-034 p.8 remark held verbatim; DXI Paper (forensic log detail; honeynet kill-chain capture option)</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§9: restate word-for-word + name the on-demand forensic toolset</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1.5.5</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Seamless integration with SIEM.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p.8 · SPC-272111 p.32 §17 / SPC-270501 p.31 §2.8-B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DXI Paper (REST Swagger → syslog RFC-5424 → Wazuh pipeline)</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1.5.6</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Visibility of endpoint devices: processes, files, registry keys, network connections.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p.8 · SPC-272111 p.32 §17 / SPC-270501 p.31 §2.8-B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matrix (Wazuh syscollector: processes, packages, ports; FIM incl. Windows registry)</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inventory scope table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1.5.7</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Advanced scanning and detection against malware incl. viruses, Trojans and keyloggers.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p.8 · SPC-272111 p.32 §17 / SPC-270501 p.31 §2.8-B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DXI Paper (default-deny defeats trojans/droppers/keyloggers without signatures)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explicit anti-malware position — allowlisting primary + YARA/CDB scanning complement — pre-empting “where is the AV?” against SPC-272541 p.5 §1.8-B.2</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1.5.8</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Encryption at the endpoint: end-to-end encryption of data at rest, in transport and on the endpoint.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p.9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B87A1E"/>
                <w:sz w:val="18"/>
                <w:szCs w:val="18"/>
              </w:rPr>
              <w:t xml:space="preserve">Comply as Noted</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TBE-034 p.9 remark held verbatim (OS-native BitLocker/FileVault/LUKS)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§9 restate + §4: GPO-managed BitLocker &amp; LUKS with AD key escrow — turns the deviation into a managed answer</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1.5.9</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Mobile security: encryption, anti-malware and web protection for mobile devices.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p.9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A2453C"/>
                <w:sz w:val="18"/>
                <w:szCs w:val="18"/>
              </w:rPr>
              <w:t xml:space="preserve">Gap — decide</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No evidence exists — nothing in any document covers mobile anti-malware/web protection</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DECISION (Section 7): MDM product, demarcation, or deviation — before V2 issues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1.5.10</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User control: control over installation and modification of applications and the operating system.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p.9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DXI Paper — execution control IS installation/change control at kernel level</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lead with this; it is our single strongest line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1.5.11</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Automatically address breaches by isolating infected systems and blocking communication between them.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p.9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SIEM–IRIS–Shuffle Paper (autonomous isolation for predefined categories)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1.5.12</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Multi-platform support: Windows, macOS, Android and iOS.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p.9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A2453C"/>
                <w:sz w:val="18"/>
                <w:szCs w:val="18"/>
              </w:rPr>
              <w:t xml:space="preserve">Gap — decide</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Wazuh agent covers macOS monitoring; DXI on macOS unconfirmed; Android/iOS uncovered</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DECISION (Section 7) + Abatis engineering to confirm DXI macOS support in writing</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1.5.13</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Automated software updates: endpoints always protected by automatically updating software and protection mechanisms.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p.10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Impl. Plan V1 §5.2 (SCCM/Ansible); DXI needs no signature updates — protection does not age</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§5</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1.5.14</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Utilize a single-agent deployment strategy to simplify installation, updates and maintenance.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p.10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matrix (one deployment package per platform; DXI &lt;100 KB, no runtime maintenance)</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§5: justify against single-agent intent (simplicity of install/update/maintenance)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1.5.15</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Security threat intelligence: identify and respond to evolving threats using advanced analytics and TI feeds.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p.10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§2 (MISP); DXI honeynet option; Shuffle TI enrichment</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1.5.16</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Advanced email protection: secure communication with attachments; identify and block malicious emails.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p.10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A2453C"/>
                <w:sz w:val="18"/>
                <w:szCs w:val="18"/>
              </w:rPr>
              <w:t xml:space="preserve">Gap — decide</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No mail-security component in any document; DXI neutralises weaponised attachments at execution — mitigation, not mail filtering</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DECISION (Section 7): recommend demarcation to the messaging/collaboration package, recorded in writing with 4S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1.5.17</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Centralized management and reporting: manage, configure and monitor endpoint security from a single location.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p.10 · SPC-272111 p.32 §17</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Arch v2.1 (CMC = policy, Wazuh = monitoring, IRIS = record)</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§6: console operating model + SOC workflow between the three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1.5.18</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Advanced threat prevention: proactively identify and prevent potential security threats.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p.11 · SPC-272111 p.32 §17 / SPC-272541 p.5 §1.8-B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DXI Paper (proactive prevention by construction — blocks before execution)</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1.5.19</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In addition to signature-based detection mechanisms, machine learning applied to detect and block new and emerging threats.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p.11 · SPC-272111 p.32 §17 / SPC-272541 p.5 §1.8-B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DXI Paper (signature-less blocking of new/emerging incl. AI-generated malware); XDR Paper (behavioural baselines + automated hunts)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position statement — prevention-by-authorisation + behavioural analytics meets the clause’s intent</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1.5.20</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Performing security patches and upgrades.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p.11 · SPC-272111 p.32 §17 / SPC-272541 p.5 §1.8-B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Impl. Plan V1 §5.3 (WSUS)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§4: patch workflow; note DXI protects unpatched/legacy estate in the interim (key for RTOS/OT)</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1.5.21</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Vulnerability management, incl. security updates and patching for vulnerable systems.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p.11 · SPC-272111 p.32 §17 / SPC-272541 p.5 §1.8-B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2E7D4F"/>
                <w:sz w:val="18"/>
                <w:szCs w:val="18"/>
              </w:rPr>
              <w:t xml:space="preserve">Comply</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§2 (Wazuh VD continuous CVE correlation)</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VD feeding WSUS/SCCM patch queues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1.5.22</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Provide vulnerability assessment and security testing tool(s) for applications.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p.11 · SPC-272111 p.32 §17 / SPC-272541 p.5 §1.8-B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Pack §2 (OpenVAS + Wazuh SCA)</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§2 BoM + scan schedule</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1.5.23</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Monitor and control the movement of sensitive information on the end-use system.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p.11 · SPC-272541 p.10 §1.8-I.3</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A2453C"/>
                <w:sz w:val="18"/>
                <w:szCs w:val="18"/>
              </w:rPr>
              <w:t xml:space="preserve">Gap — decide</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Network-side movement covered (DLP Paper); Wazuh logs device/file events on endpoints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DECISION (Section 7) with item 26 — on-device content-aware control is the open half</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1.5.24</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Ability to seek out and identify files (sensitive-data discovery at rest).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p.11 · SPC-272541 p.10 §1.8-I.4(b)</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DLP Paper §1 (OpenMetadata crawlers: discovery + auto-classification tags across SQL, warehouse, object storage)</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confirm coverage scope for unstructured file shares alongside repositories</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1.5.25</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Ability to open the file and scan the specific content.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p.11 · SPC-272541 p.10 §1.8-I.4(c)</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3D5A80"/>
                <w:sz w:val="18"/>
                <w:szCs w:val="18"/>
              </w:rPr>
              <w:t xml:space="preserve">Action for V2</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DLP Paper §1 (classification models + content pattern matching; lineage flags non-compliant destinations)</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Plan V2 §3: same scope confirmation as item 24</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1.5.26</w:t>
            </w:r>
          </w:p>
        </w:tc>
        <w:tc>
          <w:tcPr>
            <w:tcW w:w="23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Control copying data to thumb drives, sending to printers, and cut-and-paste between applications.  </w:t>
            </w:r>
          </w:p>
          <w:p>
            <w:pPr>
              <w:spacing w:before="0" w:after="20"/>
            </w:pPr>
            <w:r>
              <w:rPr>
                <w:rFonts w:ascii="Times New Roman" w:hAnsi="Times New Roman" w:cs="Times New Roman"/>
                <w:b/>
                <w:color w:val="7F7F7F"/>
                <w:sz w:val="17"/>
                <w:szCs w:val="17"/>
              </w:rPr>
              <w:t xml:space="preserve">Asked in: </w:t>
            </w:r>
            <w:r>
              <w:rPr>
                <w:rFonts w:ascii="Times New Roman" w:hAnsi="Times New Roman" w:cs="Times New Roman"/>
                <w:color w:val="7F7F7F"/>
                <w:sz w:val="17"/>
                <w:szCs w:val="17"/>
              </w:rPr>
              <w:t xml:space="preserve">TBE-034 p.12 · SPC-272541 p.10 §1.8-I.6</w:t>
            </w:r>
          </w:p>
        </w:tc>
        <w:tc>
          <w:tcPr>
            <w:tcW w:w="1250" w:type="dxa"/>
            <w:tcMar>
              <w:top w:w="60" w:type="dxa"/>
              <w:left w:w="80" w:type="dxa"/>
              <w:bottom w:w="60" w:type="dxa"/>
              <w:right w:w="80" w:type="dxa"/>
            </w:tcMar>
            <w:vAlign w:val="top"/>
          </w:tcPr>
          <w:p>
            <w:pPr>
              <w:spacing w:before="0" w:after="20"/>
            </w:pPr>
            <w:r>
              <w:rPr>
                <w:rFonts w:ascii="Times New Roman" w:hAnsi="Times New Roman" w:cs="Times New Roman"/>
                <w:b/>
                <w:color w:val="A2453C"/>
                <w:sz w:val="18"/>
                <w:szCs w:val="18"/>
              </w:rPr>
              <w:t xml:space="preserve">Gap — decide</w:t>
            </w:r>
          </w:p>
        </w:tc>
        <w:tc>
          <w:tcPr>
            <w:tcW w:w="290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DXI blocks USB-launched executables; Wazuh logs USB events — mitigations, not content-aware device control</w:t>
            </w:r>
          </w:p>
        </w:tc>
        <w:tc>
          <w:tcPr>
            <w:tcW w:w="2950" w:type="dxa"/>
            <w:tcMar>
              <w:top w:w="60" w:type="dxa"/>
              <w:left w:w="80" w:type="dxa"/>
              <w:bottom w:w="60" w:type="dxa"/>
              <w:right w:w="80" w:type="dxa"/>
            </w:tcMar>
            <w:vAlign w:val="top"/>
          </w:tcPr>
          <w:p>
            <w:pPr>
              <w:spacing w:before="0" w:after="20"/>
            </w:pPr>
            <w:r>
              <w:rPr>
                <w:rFonts w:ascii="Times New Roman" w:hAnsi="Times New Roman" w:cs="Times New Roman"/>
                <w:sz w:val="19"/>
                <w:szCs w:val="19"/>
              </w:rPr>
              <w:t xml:space="preserve">DECISION (Section 7): device-control component, demarcation, or negotiated deviation; resolves items 23 + 26 together</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9. CONTRACT CLAUSES — EVIDENCE THE REVIEWER WILL CHECK LINE-BY-LINE</w:t>
            </w:r>
          </w:p>
        </w:tc>
      </w:tr>
    </w:tbl>
    <w:p>
      <w:pPr>
        <w:spacing w:after="120"/>
      </w:pPr>
    </w:p>
    <w:p>
      <w:pPr>
        <w:spacing w:before="0" w:after="120"/>
      </w:pPr>
      <w:r>
        <w:rPr>
          <w:rFonts w:ascii="Times New Roman" w:hAnsi="Times New Roman" w:cs="Times New Roman"/>
          <w:sz w:val="22"/>
          <w:szCs w:val="22"/>
        </w:rPr>
        <w:t xml:space="preserve">Beyond the 60 numbered requirements, SPC-272541 and SPC-270501 contain contractual clauses our current plan either contradicts or ignores. Every row below is checkable by a reviewer in minutes. The V2 commitment column is the writing assignment.</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3100"/>
        <w:gridCol w:w="1500"/>
        <w:gridCol w:w="2350"/>
        <w:gridCol w:w="3200"/>
      </w:tblGrid>
      <w:tr>
        <w:tc>
          <w:tcPr>
            <w:tcW w:w="31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Contractual requirement</w:t>
            </w:r>
          </w:p>
        </w:tc>
        <w:tc>
          <w:tcPr>
            <w:tcW w:w="15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Where it is asked</w:t>
            </w:r>
          </w:p>
        </w:tc>
        <w:tc>
          <w:tcPr>
            <w:tcW w:w="23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State of our documents today</w:t>
            </w:r>
          </w:p>
        </w:tc>
        <w:tc>
          <w:tcPr>
            <w:tcW w:w="32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What Plan V2 must say</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Product lifecycle: ≥3 yr before end-of-sale, ≥5 yr before end-of-life; 10-yr design service life</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§2.11-A.18 / §1.7-C.6</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V1 specified CentOS 8 / Ubuntu 20.04 — both EOL</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Re-platform all servers to current LTS releases (e.g. RHEL 9 / Ubuntu 24.04); include vendor lifecycle attestations</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Availability 99.999% monthly, combined, all interdependent systems</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§1.8-L.1</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Not addressed</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State the availability model: dual-site active pairs, failure-mode table, monthly calculation method</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MTTR ≤ 30 min; response time ≤ 1 h; task/system crash not permitted</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§1.8-L.3 / 270501 §1.14</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Not addressed</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Add SLA section mirroring 270501 §1.14 terms; vendor-direct 24×7 support statement</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Automatic failover consistent with 60-s claims</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validation vs §4.1 config</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V1 set CMC election to Manual — contradicts its own Test 1</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Change to automatic election with quorum; document fail-back procedure</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25% spare capacity at all levels; 25% database headroom</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§1.7-C.3 / §1.8-N.1</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Not addressed</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License for 187,500 endpoints; size EPS, storage and sensors at 125% of calculated load; publish the sizing maths</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Site-wide licence, no per-user/workstation limitation</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§2.6-B.1.a / §1.7-C.5</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Per-endpoint framing</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Commercial: present licence as project-site-wide with the 25% headroom built in</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IPv6 capability on all security equipment</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§2.4-J</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Not addressed</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Confirm dual-stack support for CMC, Wazuh, Zeek/RITA/ntopng, aggregators; add to SAT</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Time synchronisation to Project Master Clock (PTP / NTP fallback)</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§2.12-E</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Not addressed</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All components sync to Master Clock; single time base for forensic admissibility</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Experimental Period (3 months, extending on malfunction) then taking-over</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270501 §1.12-B/C</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Not addressed (V1 ends at 2-week shadow)</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Adopt the 270501 acceptance sequence: SAT → Experimental Period → taking-over → 5-yr warranty</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5-year warranty; maintenance manpower plan 6 months pre-warranty; 24×7 service centre; ≤4-day repair turnaround; 2% spare peripherals; MTBF-based spares</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270501 §1.12-D / §1.14 / §1.15</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Not addressed</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Add warranty &amp; support chapter with the full 270501 obligations and spares schedule</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SAT matrix: L1/L2/L3 resilience, link rates to 100G, delay, loss, CRC; security test strategy incl. hardened-OS verification &amp; audit-log verification; punch list; hourly traffic studies; 30-day acceptance</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§1.12</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V1 has 3 HA tests only</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Replace §6 of the plan with the full commissioning &amp; SAT programme keyed to 272541 §1.12</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Training: 4 categories × ≥4 sessions, day+evening, factory certification ≥2 technicians, recorded media, 90% proficiency</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§3.3</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Three bullet points in V1</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Full training plan per 272541 §3.3 with schedule and evaluation method</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Compliance mapping: NCA ECC (9 domains) &amp; CSCC, HCIS SEC directives, SCyWF, NCS, ISO 27032/27033/27035, NIST 800-53</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§1.3-B / §1.8-K.5</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V1 cites a partial, different list</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Annex A: control-by-control ECC/CSCC mapping; align framework list to the spec's own (which includes ISO 27001/27701, NDMO, PCI-DSS, GDPR, PII, OTCC, DCC)</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Multi-factor authentication on consoles and admin paths</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§2.8-B</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Covered (CMC MFA)</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Extend statement to Wazuh, IRIS, Shuffle, MISP and PAM consoles</w:t>
            </w:r>
          </w:p>
        </w:tc>
      </w:tr>
      <w:tr>
        <w:tc>
          <w:tcPr>
            <w:tcW w:w="31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Virus-free media evidence; no beta software; structured design methods</w:t>
            </w:r>
          </w:p>
        </w:tc>
        <w:tc>
          <w:tcPr>
            <w:tcW w:w="15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272541 §1.8-L.12/13</w:t>
            </w:r>
          </w:p>
        </w:tc>
        <w:tc>
          <w:tcPr>
            <w:tcW w:w="23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Not addressed</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Add delivery-assurance statements to submittals section</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10. SCOPE BOUNDARIES — OBLIGATIONS WE ANSWER WITH A LINE, NOT A PRODUCT</w:t>
            </w:r>
          </w:p>
        </w:tc>
      </w:tr>
    </w:tbl>
    <w:p>
      <w:pPr>
        <w:spacing w:after="120"/>
      </w:pPr>
    </w:p>
    <w:p>
      <w:pPr>
        <w:spacing w:before="0" w:after="120"/>
      </w:pPr>
      <w:r>
        <w:rPr>
          <w:rFonts w:ascii="Times New Roman" w:hAnsi="Times New Roman" w:cs="Times New Roman"/>
          <w:sz w:val="22"/>
          <w:szCs w:val="22"/>
        </w:rPr>
        <w:t xml:space="preserve">SPC-270501 §2.8 (pp.31–34) loads several obligations onto “the Contractor” without naming a package. Where these are not ours, the answer is a written boundary agreed with 4S — silence reads as a hole. Proposed ownership:</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2700"/>
        <w:gridCol w:w="1400"/>
        <w:gridCol w:w="2800"/>
        <w:gridCol w:w="3250"/>
      </w:tblGrid>
      <w:tr>
        <w:tc>
          <w:tcPr>
            <w:tcW w:w="27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Obligation</w:t>
            </w:r>
          </w:p>
        </w:tc>
        <w:tc>
          <w:tcPr>
            <w:tcW w:w="14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Where it is asked</w:t>
            </w:r>
          </w:p>
        </w:tc>
        <w:tc>
          <w:tcPr>
            <w:tcW w:w="28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Proposed owner</w:t>
            </w:r>
          </w:p>
        </w:tc>
        <w:tc>
          <w:tcPr>
            <w:tcW w:w="32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Praesidium contribution to state</w:t>
            </w:r>
          </w:p>
        </w:tc>
      </w:tr>
      <w:tr>
        <w:tc>
          <w:tcPr>
            <w:tcW w:w="2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SSL/TLS inspection on firewalls &amp; proxies</w:t>
            </w:r>
          </w:p>
        </w:tc>
        <w:tc>
          <w:tcPr>
            <w:tcW w:w="14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270501 §2.8-C</w:t>
            </w:r>
          </w:p>
        </w:tc>
        <w:tc>
          <w:tcPr>
            <w:tcW w:w="2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Network package (firewalls/proxies are not in the Praesidium BoM)</w:t>
            </w:r>
          </w:p>
        </w:tc>
        <w:tc>
          <w:tcPr>
            <w:tcW w:w="32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Praesidium consumes decrypted-traffic logs; ntopng/Zeek analyse TLS metadata without decryption (JA3/JA3S, SNI, certificates)</w:t>
            </w:r>
          </w:p>
        </w:tc>
      </w:tr>
      <w:tr>
        <w:tc>
          <w:tcPr>
            <w:tcW w:w="2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DNS security (DNS firewall, DoH/DoT, DDoS mitigation)</w:t>
            </w:r>
          </w:p>
        </w:tc>
        <w:tc>
          <w:tcPr>
            <w:tcW w:w="14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270501 §2.8-D</w:t>
            </w:r>
          </w:p>
        </w:tc>
        <w:tc>
          <w:tcPr>
            <w:tcW w:w="2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Network package</w:t>
            </w:r>
          </w:p>
        </w:tc>
        <w:tc>
          <w:tcPr>
            <w:tcW w:w="32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RITA performs DNS-tunnelling analysis; Zeek dns.log + MISP malicious-domain watchlists feed detection</w:t>
            </w:r>
          </w:p>
        </w:tc>
      </w:tr>
      <w:tr>
        <w:tc>
          <w:tcPr>
            <w:tcW w:w="2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Data backup vs ransomware (local + offsite)</w:t>
            </w:r>
          </w:p>
        </w:tc>
        <w:tc>
          <w:tcPr>
            <w:tcW w:w="14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270501 §2.8-E</w:t>
            </w:r>
          </w:p>
        </w:tc>
        <w:tc>
          <w:tcPr>
            <w:tcW w:w="2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To be assigned — currently unowned</w:t>
            </w:r>
          </w:p>
        </w:tc>
        <w:tc>
          <w:tcPr>
            <w:tcW w:w="32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Praesidium supplies its own component backups; estate-wide backup needs an owner before V2. DXI's execution control is itself the strongest anti-ransomware layer</w:t>
            </w:r>
          </w:p>
        </w:tc>
      </w:tr>
      <w:tr>
        <w:tc>
          <w:tcPr>
            <w:tcW w:w="2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Configuration hardening of devices</w:t>
            </w:r>
          </w:p>
        </w:tc>
        <w:tc>
          <w:tcPr>
            <w:tcW w:w="14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270501 §2.8-F</w:t>
            </w:r>
          </w:p>
        </w:tc>
        <w:tc>
          <w:tcPr>
            <w:tcW w:w="2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Shared: each package hardens its own devices</w:t>
            </w:r>
          </w:p>
        </w:tc>
        <w:tc>
          <w:tcPr>
            <w:tcW w:w="32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Praesidium hardens its servers to baseline guides; Wazuh SCA audits hardening compliance estate-wide — a selling point</w:t>
            </w:r>
          </w:p>
        </w:tc>
      </w:tr>
      <w:tr>
        <w:tc>
          <w:tcPr>
            <w:tcW w:w="2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Privileged Access Management (PAM)</w:t>
            </w:r>
          </w:p>
        </w:tc>
        <w:tc>
          <w:tcPr>
            <w:tcW w:w="14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270501 §2.8-G</w:t>
            </w:r>
          </w:p>
        </w:tc>
        <w:tc>
          <w:tcPr>
            <w:tcW w:w="2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Praesidium — PAM included in Architecture Overview v2.1 (privileged session monitoring &amp; alerts); product name and feature mapping to be stated in V2</w:t>
            </w:r>
          </w:p>
        </w:tc>
        <w:tc>
          <w:tcPr>
            <w:tcW w:w="32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PAM session alerts feed Wazuh; PAM logs correlate in IRIS casework; asset inventory provides context</w:t>
            </w:r>
          </w:p>
        </w:tc>
      </w:tr>
      <w:tr>
        <w:tc>
          <w:tcPr>
            <w:tcW w:w="2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Advanced email protection</w:t>
            </w:r>
          </w:p>
        </w:tc>
        <w:tc>
          <w:tcPr>
            <w:tcW w:w="14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TBE-034 item 1.5-16</w:t>
            </w:r>
          </w:p>
        </w:tc>
        <w:tc>
          <w:tcPr>
            <w:tcW w:w="2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Proposed: messaging/collaboration package</w:t>
            </w:r>
          </w:p>
        </w:tc>
        <w:tc>
          <w:tcPr>
            <w:tcW w:w="32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DXI neutralises weaponised attachments at execution; not a mail-filtering substitute</w:t>
            </w:r>
          </w:p>
        </w:tc>
      </w:tr>
      <w:tr>
        <w:tc>
          <w:tcPr>
            <w:tcW w:w="2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Mobile security &amp; MDM (Android/iOS/macOS)</w:t>
            </w:r>
          </w:p>
        </w:tc>
        <w:tc>
          <w:tcPr>
            <w:tcW w:w="14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TBE-034 items 1.5-9 / 1.5-12</w:t>
            </w:r>
          </w:p>
        </w:tc>
        <w:tc>
          <w:tcPr>
            <w:tcW w:w="2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To be decided: add MDM to scope or demarcate</w:t>
            </w:r>
          </w:p>
        </w:tc>
        <w:tc>
          <w:tcPr>
            <w:tcW w:w="32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Wazuh agent covers macOS monitoring today; DXI coverage on macOS to be confirmed with Abatis engineering</w:t>
            </w:r>
          </w:p>
        </w:tc>
      </w:tr>
      <w:tr>
        <w:tc>
          <w:tcPr>
            <w:tcW w:w="2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Endpoint device control (USB write / print / clipboard)</w:t>
            </w:r>
          </w:p>
        </w:tc>
        <w:tc>
          <w:tcPr>
            <w:tcW w:w="1400" w:type="dxa"/>
            <w:tcMar>
              <w:top w:w="60" w:type="dxa"/>
              <w:left w:w="80" w:type="dxa"/>
              <w:bottom w:w="60" w:type="dxa"/>
              <w:right w:w="80" w:type="dxa"/>
            </w:tcMar>
            <w:vAlign w:val="top"/>
          </w:tcPr>
          <w:p>
            <w:pPr>
              <w:spacing w:before="0" w:after="20"/>
            </w:pPr>
            <w:r>
              <w:rPr>
                <w:rFonts w:ascii="Times New Roman" w:hAnsi="Times New Roman" w:cs="Times New Roman"/>
                <w:sz w:val="18"/>
                <w:szCs w:val="18"/>
              </w:rPr>
              <w:t xml:space="preserve">TBE-034 items 1.5-23 / 1.5-26</w:t>
            </w:r>
          </w:p>
        </w:tc>
        <w:tc>
          <w:tcPr>
            <w:tcW w:w="28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To be decided: endpoint DLP/device-control component or negotiated deviation</w:t>
            </w:r>
          </w:p>
        </w:tc>
        <w:tc>
          <w:tcPr>
            <w:tcW w:w="32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Network + repository DLP now fully named (ntopng · OpenMetadata · ELK · Shuffle); only on-device content control remains open</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11. THE FIVE DECISIONS — THIS WEEK, BEFORE V2 ISSUES</w:t>
            </w:r>
          </w:p>
        </w:tc>
      </w:tr>
    </w:tbl>
    <w:p>
      <w:pPr>
        <w:spacing w:after="120"/>
      </w:pPr>
    </w:p>
    <w:p>
      <w:pPr>
        <w:spacing w:before="0" w:after="120"/>
      </w:pPr>
      <w:r>
        <w:rPr>
          <w:rFonts w:ascii="Times New Roman" w:hAnsi="Times New Roman" w:cs="Times New Roman"/>
          <w:sz w:val="22"/>
          <w:szCs w:val="22"/>
        </w:rPr>
        <w:t xml:space="preserve">Five requirements carry a signed “Comply” with no named component behind them. Each needs one of three moves: add a product, demarcate in writing, or negotiate a deviation with 4S. My recommendation against each:</w:t>
      </w: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150"/>
        <w:gridCol w:w="3300"/>
        <w:gridCol w:w="2500"/>
        <w:gridCol w:w="3200"/>
      </w:tblGrid>
      <w:tr>
        <w:tc>
          <w:tcPr>
            <w:tcW w:w="11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Ref(s)</w:t>
            </w:r>
          </w:p>
        </w:tc>
        <w:tc>
          <w:tcPr>
            <w:tcW w:w="33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The promise we have signed</w:t>
            </w:r>
          </w:p>
        </w:tc>
        <w:tc>
          <w:tcPr>
            <w:tcW w:w="25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Options</w:t>
            </w:r>
          </w:p>
        </w:tc>
        <w:tc>
          <w:tcPr>
            <w:tcW w:w="32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Recommendation</w:t>
            </w:r>
          </w:p>
        </w:tc>
      </w:tr>
      <w:tr>
        <w:tc>
          <w:tcPr>
            <w:tcW w:w="11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1.5-9 &amp; 1.5-12</w:t>
            </w:r>
          </w:p>
        </w:tc>
        <w:tc>
          <w:tcPr>
            <w:tcW w:w="33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Mobile security (encryption, anti-malware, web protection) and multi-platform support incl. macOS, Android, iOS</w:t>
            </w:r>
          </w:p>
        </w:tc>
        <w:tc>
          <w:tcPr>
            <w:tcW w:w="25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 add MDM/mobile-security product; (b) demarcate mobile estate to another package; (c) negotiated deviation</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Price option (a) this week and take it to 4S alongside (b) — let them choose with numbers on the table. In parallel, Abatis engineering confirms DXI macOS support in writing</w:t>
            </w:r>
          </w:p>
        </w:tc>
      </w:tr>
      <w:tr>
        <w:tc>
          <w:tcPr>
            <w:tcW w:w="11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1.5-16</w:t>
            </w:r>
          </w:p>
        </w:tc>
        <w:tc>
          <w:tcPr>
            <w:tcW w:w="33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Advanced email protection — identify and block malicious emails and attachments</w:t>
            </w:r>
          </w:p>
        </w:tc>
        <w:tc>
          <w:tcPr>
            <w:tcW w:w="25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 add mail security gateway; (b) demarcate to messaging/collaboration package; (c) deviation</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Demarcate — email security belongs with the messaging package in any smart-city work breakdown. Record it in the 4S demarcation schedule; state DXI’s attachment-neutralisation as defence-in-depth, not substitute</w:t>
            </w:r>
          </w:p>
        </w:tc>
      </w:tr>
      <w:tr>
        <w:tc>
          <w:tcPr>
            <w:tcW w:w="115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1.5-23 &amp; 1.5-26</w:t>
            </w:r>
          </w:p>
        </w:tc>
        <w:tc>
          <w:tcPr>
            <w:tcW w:w="33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Content-aware control of sensitive data on the device: USB write, print, clipboard</w:t>
            </w:r>
          </w:p>
        </w:tc>
        <w:tc>
          <w:tcPr>
            <w:tcW w:w="25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(a) add endpoint device-control/DLP component; (b) demarcate; (c) deviation scoped to on-device control, citing DXI + network DLP mitigations</w:t>
            </w:r>
          </w:p>
        </w:tc>
        <w:tc>
          <w:tcPr>
            <w:tcW w:w="32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Take (a) to costing and present (c) as fallback: our network + repository DLP is now genuinely strong (Section 8, items 23–25), so a narrowly-scoped deviation is defensible if the component does not price</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12. ACTION PLAN — WHO DOES WHAT, IN ORDER</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700"/>
        <w:gridCol w:w="5150"/>
        <w:gridCol w:w="2300"/>
        <w:gridCol w:w="2000"/>
      </w:tblGrid>
      <w:tr>
        <w:tc>
          <w:tcPr>
            <w:tcW w:w="7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t>
            </w:r>
          </w:p>
        </w:tc>
        <w:tc>
          <w:tcPr>
            <w:tcW w:w="515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Action</w:t>
            </w:r>
          </w:p>
        </w:tc>
        <w:tc>
          <w:tcPr>
            <w:tcW w:w="23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Owner</w:t>
            </w:r>
          </w:p>
        </w:tc>
        <w:tc>
          <w:tcPr>
            <w:tcW w:w="2000" w:type="dxa"/>
            <w:shd w:val="clear" w:color="auto" w:fill="A9D5E7"/>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When</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1</w:t>
            </w:r>
          </w:p>
        </w:tc>
        <w:tc>
          <w:tcPr>
            <w:tcW w:w="51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Clear the twelve defects in Section 4 — empty sections filled, contradictions reconciled, OS versions re-platformed, project page added</w:t>
            </w:r>
          </w:p>
        </w:tc>
        <w:tc>
          <w:tcPr>
            <w:tcW w:w="23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Technical author + Abatis engineering</w:t>
            </w:r>
          </w:p>
        </w:tc>
        <w:tc>
          <w:tcPr>
            <w:tcW w:w="20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This week</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2</w:t>
            </w:r>
          </w:p>
        </w:tc>
        <w:tc>
          <w:tcPr>
            <w:tcW w:w="51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Take the three decision papers in Section 11 to 4S with pricing — mobile/MDM, email demarcation, device DLP</w:t>
            </w:r>
          </w:p>
        </w:tc>
        <w:tc>
          <w:tcPr>
            <w:tcW w:w="23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Chris Barter / commercial</w:t>
            </w:r>
          </w:p>
        </w:tc>
        <w:tc>
          <w:tcPr>
            <w:tcW w:w="20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This week</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3</w:t>
            </w:r>
          </w:p>
        </w:tc>
        <w:tc>
          <w:tcPr>
            <w:tcW w:w="51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Write the eleven ‘Action for V2’ items from Sections 5–8 into Plan V2 — each is a writing task against a named clause, with the source document identified in the evidence column</w:t>
            </w:r>
          </w:p>
        </w:tc>
        <w:tc>
          <w:tcPr>
            <w:tcW w:w="23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Technical author</w:t>
            </w:r>
          </w:p>
        </w:tc>
        <w:tc>
          <w:tcPr>
            <w:tcW w:w="20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Days 3–8</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4</w:t>
            </w:r>
          </w:p>
        </w:tc>
        <w:tc>
          <w:tcPr>
            <w:tcW w:w="51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Build Plan V2 to the consolidation structure: §1 project &amp; scope · §2 architecture &amp; sizing (Pack Figs 1–2, sizing maths) · §3 component functions (DXI, SIEM, XDR, DLP papers folded in) · §4 integration &amp; interfaces · §5 deployment programme (30 weeks) · §6 SAT &amp; commissioning per SPC-272541 §1.12 · §7 SLA, warranty &amp; support per SPC-270501 §§1.12–1.15 · §8 training per §3.3 · §9 deviation register (4 declared + any new) · Annex A ECC/CSCC mapping · Annex B configurations</w:t>
            </w:r>
          </w:p>
        </w:tc>
        <w:tc>
          <w:tcPr>
            <w:tcW w:w="23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Technical author</w:t>
            </w:r>
          </w:p>
        </w:tc>
        <w:tc>
          <w:tcPr>
            <w:tcW w:w="20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Days 3–10</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5</w:t>
            </w:r>
          </w:p>
        </w:tc>
        <w:tc>
          <w:tcPr>
            <w:tcW w:w="51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Restate the four declared deviations word-for-word from TBE-034 in the §9 register — no re-wording</w:t>
            </w:r>
          </w:p>
        </w:tc>
        <w:tc>
          <w:tcPr>
            <w:tcW w:w="23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Technical author</w:t>
            </w:r>
          </w:p>
        </w:tc>
        <w:tc>
          <w:tcPr>
            <w:tcW w:w="20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With step 4</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6</w:t>
            </w:r>
          </w:p>
        </w:tc>
        <w:tc>
          <w:tcPr>
            <w:tcW w:w="51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Internal red-team: someone plays the CHEC reviewer with TBE-034 in hand and tries to find a ‘Comply’ without evidence — every miss goes back to step 3</w:t>
            </w:r>
          </w:p>
        </w:tc>
        <w:tc>
          <w:tcPr>
            <w:tcW w:w="23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Second technical reviewer</w:t>
            </w:r>
          </w:p>
        </w:tc>
        <w:tc>
          <w:tcPr>
            <w:tcW w:w="20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Day 10</w:t>
            </w:r>
          </w:p>
        </w:tc>
      </w:tr>
      <w:tr>
        <w:tc>
          <w:tcPr>
            <w:tcW w:w="700" w:type="dxa"/>
            <w:tcMar>
              <w:top w:w="60" w:type="dxa"/>
              <w:left w:w="80" w:type="dxa"/>
              <w:bottom w:w="60" w:type="dxa"/>
              <w:right w:w="80" w:type="dxa"/>
            </w:tcMar>
            <w:vAlign w:val="top"/>
          </w:tcPr>
          <w:p>
            <w:pPr>
              <w:spacing w:before="0" w:after="20"/>
            </w:pPr>
            <w:r>
              <w:rPr>
                <w:rFonts w:ascii="Times New Roman" w:hAnsi="Times New Roman" w:cs="Times New Roman"/>
                <w:b/>
                <w:sz w:val="19"/>
                <w:szCs w:val="19"/>
              </w:rPr>
              <w:t xml:space="preserve">7</w:t>
            </w:r>
          </w:p>
        </w:tc>
        <w:tc>
          <w:tcPr>
            <w:tcW w:w="515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Issue to 4S with a one-page cover note mapping their pushback points to the sections that now answer them</w:t>
            </w:r>
          </w:p>
        </w:tc>
        <w:tc>
          <w:tcPr>
            <w:tcW w:w="23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Chris Barter</w:t>
            </w:r>
          </w:p>
        </w:tc>
        <w:tc>
          <w:tcPr>
            <w:tcW w:w="2000" w:type="dxa"/>
            <w:tcMar>
              <w:top w:w="60" w:type="dxa"/>
              <w:left w:w="80" w:type="dxa"/>
              <w:bottom w:w="60" w:type="dxa"/>
              <w:right w:w="80" w:type="dxa"/>
            </w:tcMar>
            <w:vAlign w:val="top"/>
          </w:tcPr>
          <w:p>
            <w:pPr>
              <w:spacing w:before="0" w:after="40"/>
            </w:pPr>
            <w:r>
              <w:rPr>
                <w:rFonts w:ascii="Times New Roman" w:hAnsi="Times New Roman" w:cs="Times New Roman"/>
                <w:sz w:val="19"/>
                <w:szCs w:val="19"/>
              </w:rPr>
              <w:t xml:space="preserve">On completion</w:t>
            </w:r>
          </w:p>
        </w:tc>
      </w:tr>
    </w:tbl>
    <w:p>
      <w:pPr>
        <w:spacing w:after="120"/>
      </w:pPr>
    </w:p>
    <w:tbl>
      <w:tblPr>
        <w:tblW w:w="10150" w:type="dxa"/>
        <w:tblBorders>
          <w:top w:val="single" w:sz="4" w:color="3494BA"/>
          <w:left w:val="single" w:sz="4" w:color="3494BA"/>
          <w:bottom w:val="single" w:sz="4" w:color="3494BA"/>
          <w:right w:val="single" w:sz="4" w:color="3494BA"/>
          <w:insideH w:val="single" w:sz="4" w:color="3494BA"/>
          <w:insideV w:val="single" w:sz="4" w:color="3494BA"/>
        </w:tblBorders>
        <w:tblLayout w:type="fixed"/>
      </w:tblPr>
      <w:tblGrid>
        <w:gridCol w:w="10150"/>
      </w:tblGrid>
      <w:tr>
        <w:tc>
          <w:tcPr>
            <w:tcW w:w="10150" w:type="dxa"/>
            <w:shd w:val="clear" w:color="auto" w:fill="3494BA"/>
            <w:tcMar>
              <w:top w:w="60" w:type="dxa"/>
              <w:left w:w="80" w:type="dxa"/>
              <w:bottom w:w="60" w:type="dxa"/>
              <w:right w:w="80" w:type="dxa"/>
            </w:tcMar>
            <w:vAlign w:val="top"/>
          </w:tcPr>
          <w:p>
            <w:pPr>
              <w:spacing w:before="0" w:after="20"/>
            </w:pPr>
            <w:r>
              <w:rPr>
                <w:rFonts w:ascii="Arial" w:hAnsi="Arial" w:cs="Arial"/>
                <w:b/>
                <w:color w:val="FFFFFF"/>
                <w:sz w:val="24"/>
                <w:szCs w:val="24"/>
              </w:rPr>
              <w:t xml:space="preserve">13. WHAT HAPPENS NEXT</w:t>
            </w:r>
          </w:p>
        </w:tc>
      </w:tr>
    </w:tbl>
    <w:p>
      <w:pPr>
        <w:spacing w:after="120"/>
      </w:pPr>
    </w:p>
    <w:p>
      <w:pPr>
        <w:spacing w:before="0" w:after="120"/>
      </w:pPr>
      <w:r>
        <w:rPr>
          <w:rFonts w:ascii="Times New Roman" w:hAnsi="Times New Roman" w:cs="Times New Roman"/>
          <w:sz w:val="22"/>
          <w:szCs w:val="22"/>
        </w:rPr>
        <w:t xml:space="preserve">The capability argument is already won — DXI’s deterministic prevention, a 21-year zero-CVE record, and a fully-named detection and response stack are a stronger technical story than anything a signature-based competitor will put on this table. What stands between us and approval is assembly: one consolidated V2, twelve defects cleared, five decisions made. That is a fortnight of disciplined work, and this document is the checklist for it.</w:t>
      </w:r>
    </w:p>
    <w:p>
      <w:pPr>
        <w:spacing w:before="0" w:after="120"/>
      </w:pPr>
      <w:r>
        <w:rPr>
          <w:rFonts w:ascii="Times New Roman" w:hAnsi="Times New Roman" w:cs="Times New Roman"/>
          <w:sz w:val="22"/>
          <w:szCs w:val="22"/>
        </w:rPr>
        <w:t xml:space="preserve">I will hold the tracker against Section 12 and chase each owner daily. First checkpoint: decisions from Section 11 back from 4S by end of this week. We are ready to move — let’s get V2 out the door and turn this pushback into a signed approval.</w:t>
      </w:r>
    </w:p>
    <w:p>
      <w:pPr>
        <w:spacing w:before="200" w:after="20"/>
      </w:pPr>
      <w:r>
        <w:rPr>
          <w:rFonts w:ascii="Times New Roman" w:hAnsi="Times New Roman" w:cs="Times New Roman"/>
          <w:b/>
          <w:sz w:val="22"/>
          <w:szCs w:val="22"/>
        </w:rPr>
        <w:t xml:space="preserve">Chris Barter</w:t>
      </w:r>
    </w:p>
    <w:p>
      <w:pPr>
        <w:spacing w:before="0" w:after="20"/>
      </w:pPr>
      <w:r>
        <w:rPr>
          <w:rFonts w:ascii="Times New Roman" w:hAnsi="Times New Roman" w:cs="Times New Roman"/>
          <w:sz w:val="22"/>
          <w:szCs w:val="22"/>
        </w:rPr>
        <w:t xml:space="preserve">Chief Commercial Officer (CCO) · Platinum High Integrity Technologies Limited</w:t>
      </w:r>
    </w:p>
    <w:p>
      <w:pPr>
        <w:spacing w:before="0" w:after="20"/>
      </w:pPr>
      <w:r>
        <w:rPr>
          <w:rFonts w:ascii="Times New Roman" w:hAnsi="Times New Roman" w:cs="Times New Roman"/>
          <w:sz w:val="22"/>
          <w:szCs w:val="22"/>
        </w:rPr>
        <w:t xml:space="preserve">chris.barter@abatis.ch · www.abatis.ch · +44 7888 871081 (UK)</w:t>
      </w:r>
    </w:p>
    <w:p>
      <w:pPr>
        <w:spacing w:before="0" w:after="20"/>
      </w:pPr>
      <w:r>
        <w:rPr>
          <w:rFonts w:ascii="Times New Roman" w:hAnsi="Times New Roman" w:cs="Times New Roman"/>
          <w:b/>
          <w:color w:val="1A495D"/>
          <w:sz w:val="22"/>
          <w:szCs w:val="22"/>
        </w:rPr>
        <w:t xml:space="preserve">Prevent | Protect | Prevail</w:t>
      </w:r>
    </w:p>
    <w:sectPr>
      <w:headerReference w:type="default" r:id="rIdHdr"/>
      <w:footerReference w:type="default" r:id="rIdFtr"/>
      <w:pgSz w:w="12240" w:h="15840"/>
      <w:pgMar w:top="1000" w:right="1034" w:bottom="900" w:left="1048" w:header="334" w:footer="380" w:gutter="0"/>
    </w:sectPr>
  </w:body>
</w:document>
</file>

<file path=word/footer1.xml><?xml version="1.0" encoding="utf-8"?>
<w:ftr xmlns:w="http://schemas.openxmlformats.org/wordprocessingml/2006/main">
  <w:p>
    <w:pPr>
      <w:tabs>
        <w:tab w:val="right" w:pos="10150"/>
      </w:tabs>
      <w:spacing w:before="60" w:after="0"/>
    </w:pPr>
    <w:r>
      <w:rPr>
        <w:rFonts w:ascii="Arial" w:hAnsi="Arial"/>
        <w:b/>
        <w:sz w:val="18"/>
        <w:highlight w:val="yellow"/>
      </w:rPr>
      <w:t>COMMERCIAL IN CONFIDENCE</w:t>
    </w:r>
    <w:r>
      <w:tab/>
    </w:r>
    <w:r>
      <w:rPr>
        <w:rFonts w:ascii="Arial" w:hAnsi="Arial"/>
        <w:color w:val="7F7F7F"/>
        <w:sz w:val="18"/>
      </w:rPr>
      <w:t xml:space="preserve">Page | </w:t>
    </w:r>
    <w:r>
      <w:rPr>
        <w:rFonts w:ascii="Arial" w:hAnsi="Arial"/>
        <w:color w:val="7F7F7F"/>
        <w:sz w:val="18"/>
      </w:rPr>
      <w:fldChar w:fldCharType="begin"/>
    </w:r>
    <w:r>
      <w:rPr>
        <w:rFonts w:ascii="Arial" w:hAnsi="Arial"/>
        <w:color w:val="7F7F7F"/>
        <w:sz w:val="18"/>
      </w:rPr>
      <w:instrText xml:space="preserve"> PAGE </w:instrText>
    </w:r>
    <w:r>
      <w:rPr>
        <w:rFonts w:ascii="Arial" w:hAnsi="Arial"/>
        <w:color w:val="7F7F7F"/>
        <w:sz w:val="18"/>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0150" w:type="dxa"/>
      <w:tblBorders>
        <w:top w:val="none" w:sz="0" w:color="auto"/>
        <w:left w:val="none" w:sz="0" w:color="auto"/>
        <w:bottom w:val="none" w:sz="0" w:color="auto"/>
        <w:right w:val="none" w:sz="0" w:color="auto"/>
        <w:insideH w:val="none" w:sz="0" w:color="auto"/>
        <w:insideV w:val="none" w:sz="0" w:color="auto"/>
      </w:tblBorders>
      <w:tblLayout w:type="fixed"/>
    </w:tblPr>
    <w:tblGrid>
      <w:gridCol w:w="6650"/>
      <w:gridCol w:w="3500"/>
    </w:tblGrid>
    <w:tr>
      <w:tc>
        <w:tcPr>
          <w:tcW w:w="6650" w:type="dxa"/>
        </w:tcPr>
        <w:p>
          <w:pPr>
            <w:spacing w:after="0"/>
          </w:pPr>
          <w:r>
            <w:rPr>
              <w:rFonts w:ascii="Arial" w:hAnsi="Arial"/>
              <w:b/>
              <w:color w:val="1A495D"/>
              <w:sz w:val="20"/>
            </w:rPr>
            <w:t>Prevent | Protect | Prevail</w:t>
          </w:r>
        </w:p>
        <w:p>
          <w:pPr>
            <w:spacing w:after="0"/>
          </w:pPr>
          <w:r>
            <w:rPr>
              <w:rFonts w:ascii="Arial" w:hAnsi="Arial"/>
              <w:u w:val="single"/>
              <w:color w:val="1A495D"/>
              <w:sz w:val="18"/>
            </w:rPr>
            <w:t>Platinum-HIT</w:t>
          </w:r>
        </w:p>
      </w:tc>
      <w:tc>
        <w:tcPr>
          <w:tcW w:w="3500" w:type="dxa"/>
          <w:vAlign w:val="center"/>
        </w:tcPr>
        <w:p>
          <w:pPr>
            <w:spacing w:after="0"/>
            <w:jc w:val="right"/>
          </w:pPr>
          <w:r>
            <w:drawing>
              <wp:inline distT="0" distB="0" distL="0" distR="0">
                <wp:extent cx="1524000" cy="378460"/>
                <wp:docPr id="1" name="PlatinumLogo"/>
                <a:graphic>
                  <a:graphicData uri="http://schemas.openxmlformats.org/drawingml/2006/picture">
                    <pic:pic>
                      <pic:nvPicPr>
                        <pic:cNvPr id="1" name="platinum-logo.png"/>
                        <pic:cNvPicPr/>
                      </pic:nvPicPr>
                      <pic:blipFill>
                        <a:blip r:embed="rIdLogo"/>
                        <a:stretch>
                          <a:fillRect/>
                        </a:stretch>
                      </pic:blipFill>
                      <pic:spPr>
                        <a:xfrm>
                          <a:off x="0" y="0"/>
                          <a:ext cx="1524000" cy="378460"/>
                        </a:xfrm>
                        <a:prstGeom prst="rect">
                          <a:avLst/>
                        </a:prstGeom>
                      </pic:spPr>
                    </pic:pic>
                  </a:graphicData>
                </a:graphic>
              </wp:inline>
            </w:drawing>
          </w:r>
        </w:p>
      </w:tc>
    </w:tr>
  </w:tbl>
  <w:p>
    <w:pPr>
      <w:pBdr>
        <w:bottom w:val="single" w:sz="12" w:space="1" w:color="3494BA"/>
      </w:pBdr>
      <w:spacing w:after="80"/>
    </w:pPr>
  </w:p>
</w:hdr>
</file>

<file path=word/numbering.xml><?xml version="1.0" encoding="utf-8"?>
<w:numbering xmlns:w="http://schemas.openxmlformats.org/wordprocessingml/2006/main">
  <w:abstractNum w:abstractNumId="0">
    <w:lvl w:ilvl="0">
      <w:start w:val="1"/>
      <w:numFmt w:val="bullet"/>
      <w:lvlText w:val="•"/>
      <w:lvlJc w:val="left"/>
      <w:pPr>
        <w:ind w:left="360" w:hanging="200"/>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20" w:line="252"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 Type="http://schemas.openxmlformats.org/officeDocument/2006/relationships/numbering" Target="numbering.xml"/>
<Relationship Id="rIdHdr" Type="http://schemas.openxmlformats.org/officeDocument/2006/relationships/header" Target="header1.xml"/>
<Relationship Id="rIdFtr" Type="http://schemas.openxmlformats.org/officeDocument/2006/relationships/footer" Target="footer1.xml"/>
</Relationships>
</file>

<file path=word/_rels/header1.xml.rels><?xml version="1.0" encoding="UTF-8" standalone="yes"?>
<Relationships xmlns="http://schemas.openxmlformats.org/package/2006/relationships">
<Relationship Id="rIdLogo" Type="http://schemas.openxmlformats.org/officeDocument/2006/relationships/image" Target="media/image1.png"/>
</Relationships>
</file>