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20"/>
      </w:pP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1A495D"/>
            <w:tcMar>
              <w:top w:w="60" w:type="dxa"/>
              <w:left w:w="100" w:type="dxa"/>
              <w:bottom w:w="60" w:type="dxa"/>
              <w:right w:w="100" w:type="dxa"/>
            </w:tcMar>
            <w:vAlign w:val="top"/>
          </w:tcPr>
          <w:p>
            <w:pPr>
              <w:spacing w:before="0" w:after="60"/>
            </w:pPr>
            <w:r>
              <w:rPr>
                <w:rFonts w:ascii="Arial" w:hAnsi="Arial" w:cs="Arial"/>
                <w:b/>
                <w:color w:val="FFFFFF"/>
                <w:sz w:val="40"/>
                <w:szCs w:val="40"/>
              </w:rPr>
              <w:t xml:space="preserve">RFP Gap Analysis — Platinum / Abatis Actions</w:t>
            </w:r>
          </w:p>
          <w:p>
            <w:pPr>
              <w:spacing w:before="0" w:after="0"/>
            </w:pPr>
            <w:r>
              <w:rPr>
                <w:rFonts w:ascii="Arial" w:hAnsi="Arial" w:cs="Arial"/>
                <w:b/>
                <w:color w:val="FFFFFF"/>
                <w:sz w:val="22"/>
                <w:szCs w:val="22"/>
              </w:rPr>
              <w:t xml:space="preserve">PUCSL — Assessment on Cybersecurity Readiness of Electricity Network &amp; Critical Generation Facilities in Sri Lanka and Development of a Cybersecurity Audit Framework</w:t>
            </w:r>
          </w:p>
        </w:tc>
      </w:tr>
    </w:tbl>
    <w:p>
      <w:pPr>
        <w:spacing w:after="80"/>
      </w:pPr>
    </w:p>
    <w:p>
      <w:pPr>
        <w:spacing w:before="0" w:after="60"/>
      </w:pPr>
      <w:r>
        <w:rPr>
          <w:rFonts w:ascii="Arial" w:hAnsi="Arial" w:cs="Arial"/>
          <w:i/>
          <w:color w:val="1A495D"/>
          <w:sz w:val="21"/>
          <w:szCs w:val="21"/>
        </w:rPr>
        <w:t xml:space="preserve">RFP reference: RFP-Cybersecurity-22-06-2025-revised-1  |  QCBS  |  Deadline: 30 July 2026, 2:00 pm Sri Lanka Standard Time</w:t>
      </w:r>
    </w:p>
    <w:p>
      <w:pPr>
        <w:spacing w:before="0" w:after="120"/>
      </w:pPr>
      <w:r>
        <w:rPr>
          <w:rFonts w:ascii="Times New Roman" w:hAnsi="Times New Roman" w:cs="Times New Roman"/>
          <w:i/>
          <w:sz w:val="20"/>
          <w:szCs w:val="20"/>
        </w:rPr>
        <w:t xml:space="preserve">UPDATED 29 July 2026 (evening) — statuses reflect Proposal V0.9 and the revised Master Response Workbook (now including TECH-7 Staffing Schedule and TECH-8 25-week Gantt sheets). Scope: only the actions owned by Platinum / Abatis. Items owned by EML are excluded and summarised in Section 6 as a handover list. Page references use the RFP's printed page labels (ITC-x, DATA-x, Forms-x, GC-x) shown in the RFP's page footers.</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1.  Critical — fix before submission</w:t>
            </w:r>
          </w:p>
        </w:tc>
      </w:tr>
    </w:tbl>
    <w:p>
      <w:pPr>
        <w:spacing w:after="80"/>
      </w:pPr>
    </w:p>
    <w:tbl>
      <w:tblPr>
        <w:tblW w:w="10158" w:type="dxa"/>
        <w:tblLayout w:type="fixed"/>
      </w:tblPr>
      <w:tblGrid>
        <w:gridCol w:w="500"/>
        <w:gridCol w:w="2900"/>
        <w:gridCol w:w="1500"/>
        <w:gridCol w:w="2400"/>
        <w:gridCol w:w="2858"/>
      </w:tblGrid>
      <w:tr>
        <w:tc>
          <w:tcPr>
            <w:tcW w:w="5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w:t>
            </w:r>
          </w:p>
        </w:tc>
        <w:tc>
          <w:tcPr>
            <w:tcW w:w="29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Gap / RFP requirement</w:t>
            </w:r>
          </w:p>
        </w:tc>
        <w:tc>
          <w:tcPr>
            <w:tcW w:w="15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RFP reference</w:t>
            </w:r>
          </w:p>
        </w:tc>
        <w:tc>
          <w:tcPr>
            <w:tcW w:w="24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Current state</w:t>
            </w:r>
          </w:p>
        </w:tc>
        <w:tc>
          <w:tcPr>
            <w:tcW w:w="2858"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Required action (Platinum/Abatis)</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C1</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No pricing may appear in the Technical Proposal (the unpriced set). Financial content belongs only in FIN-1 to FIN-5 in the separately sealed Financial envelope.</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ITC 4.3–4.4, pp. DATA-2–DATA-3; envelope rules pp. ITC-6–ITC-7</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STILL OPEN IN V0.9 — the Costs Table (USD 346,500, day rates, payment terms, cost+20% expenses) and the internal warning note remain in the technical document.</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Delete the entire Costs Table section and all internal notes from the technical document; move every number into FIN-1–FIN-5. Owner: Glyn / Alexander.</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C2</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TECH-2A corporate information must be complete for the Lead JV Partner: company name, Business Registration Certificate, incorporation date, address, email, telephone, fax, website — plus a decision on whether the Lead Partner must also evidence the Rs. 60M/yr turnover.</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FORM TECH-2, p. Forms-3</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PARTLY DONE IN V0.9 — Malta details added (incorporated 24 June 2022, Reg. C 102592, chris.barter@abatis.ch) BUT: the registration number sits in the 'Date of incorporation' cell; the 'Business Registration' cell is truncated ('…Limited Malt'); the Malta registered address is missing (only the UK affiliate shown); and the MANDATORY audited-turnover table has been DELETED from the document.</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Fix the three TECH-2A cell errors; add the Malta registered address; RESTORE the turnover table (Form TECH-2 requires exact audited figures per year — deleting it is non-compliant) and populate EML figures on handover; decide whether Platinum also evidences turnover. Owner: Alexander.</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C3</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Currency structure of the Financial Proposal: local costs in Sri Lanka Rupees ONLY; foreign consultants' fees and air tickets may be in foreign currency. Every FIN form has separate LKR and foreign-currency columns.</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ITC 3.8, p. ITC-6; FIN-2–FIN-5, pp. Forms-14–17</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Workbook now documents the USD approach (Platinum in USD; EML reprices local components to LKR) and the corrected fee arithmetic; the FIN-1–FIN-5 forms themselves are still to be populated.</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Platinum action: populate the foreign-currency (USD) columns of FIN-2–FIN-5 with Abatis remuneration and international airfare, and hand EML the cost detail needed to reprice all local components into LKR. Note ITC 5.6 (p. ITC-7): the evaluation converts foreign-currency prices to LKR at the selling exchange rate. Owner: Chris / Alexander.</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C4</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One consistent fee: FIN-1 amount must exactly equal the FIN-2 total; arithmetic must be defensible (taxes are settled at negotiations per ITC 3.7).</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FIN-1 footnote 15, p. Forms-13; ITC 3.7, p. ITC-6; SCC 3.7(b), p. SC-2</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WORKBOOK NOW FIXED — profit label corrected to 30% (formula was deliberately C8×0.3), SSCL corrected to 2.5%, giving USD 356,343.81 excl. VAT (VAT flagged for confirmation, would add USD 62,577.45). REMAINING: V0.9's Costs Table still says USD 346,500 — one number must be chosen for FIN-1/FIN-2.</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Decide the single fee basis; rebuild the financial workbook from it; correct profit/VAT/SSCL arithmetic before any FIN form is populated. Owner: Alexander / Chris.</w:t>
            </w:r>
          </w:p>
        </w:tc>
      </w:tr>
    </w:tbl>
    <w:p>
      <w:pPr>
        <w:spacing w:after="80"/>
      </w:pP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2.  Structural — work plan &amp; scoring (TECH-4 = 35 pts, TECH-8 = 10 pts)</w:t>
            </w:r>
          </w:p>
        </w:tc>
      </w:tr>
    </w:tbl>
    <w:p>
      <w:pPr>
        <w:spacing w:after="80"/>
      </w:pPr>
    </w:p>
    <w:tbl>
      <w:tblPr>
        <w:tblW w:w="10158" w:type="dxa"/>
        <w:tblLayout w:type="fixed"/>
      </w:tblPr>
      <w:tblGrid>
        <w:gridCol w:w="500"/>
        <w:gridCol w:w="2900"/>
        <w:gridCol w:w="1500"/>
        <w:gridCol w:w="2400"/>
        <w:gridCol w:w="2858"/>
      </w:tblGrid>
      <w:tr>
        <w:tc>
          <w:tcPr>
            <w:tcW w:w="5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w:t>
            </w:r>
          </w:p>
        </w:tc>
        <w:tc>
          <w:tcPr>
            <w:tcW w:w="29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Gap / RFP requirement</w:t>
            </w:r>
          </w:p>
        </w:tc>
        <w:tc>
          <w:tcPr>
            <w:tcW w:w="15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RFP reference</w:t>
            </w:r>
          </w:p>
        </w:tc>
        <w:tc>
          <w:tcPr>
            <w:tcW w:w="24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Current state</w:t>
            </w:r>
          </w:p>
        </w:tc>
        <w:tc>
          <w:tcPr>
            <w:tcW w:w="2858"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Required action (Platinum/Abatis)</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S1</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The assignment runs 25 weeks with five mandated deliverables and fixed payment percentages: Inception 4 wks/10%; Interim Progress 8 wks/20%; Data Assessment &amp; Preliminary Findings 16 wks/20%; Draft Final 22 wks/30%; Final 25 wks/20%.</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TOR §6, pp. GC-7–GC-8; §7, p. GC-9</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TECH-8 NOW BUILT — the workbook's 'TECH-8 Gantt (25 wks)' sheet carries the 5 mandated deliverables at W4/W8/W16/W22/W25 with 10/20/20/30/20 payments. REMAINING: V0.9 still shows the 63-day plan — replace its SRA Project/phase sections with the 25-week schedule.</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Transpose the workbook TECH-8 sheet into the proposal document, deleting the 63-day plan and phase-payment wording. Owner: Glyn.</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S2</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Pilot validation of the audit framework is mandatory: pilot on selected transmission/grid systems, evaluate lessons learned, refine the framework, and hand over internal-audit guidelines, checklists, tools and matrices to the Transmission Network Operator.</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TOR §(e), p. GC-5</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NOW IN THE WORK PLAN — pilot validation appears in the TECH-8 Gantt (W18–W21, with W20–W22 refinement &amp; TNO guidelines). REMAINING: still absent from V0.9's TECH-4 methodology narrative — add a matching subsection.</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Add the pilot-validation subsection to the TECH-4 narrative in the proposal (schedule already done). Owner: Glyn.</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S3</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TECH-8 activities must be the TOR subsection D deliverables, and FIN-5 activity names must match TECH-8 exactly (footnote 20).</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TECH-8, p. Forms-11; FIN-5, p. Forms-17; pp. GC-8–GC-9</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TECH-8 sheet now uses the RFP deliverable names — REMAINING: carry the same activity names into FIN-5 (with remuneration/expenses split) and into the V0.9 document.</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Rename work-plan activities to the RFP deliverables; carry the same names into FIN-5 with remuneration and expenses separated per activity. Owner: Glyn + Chris.</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S4</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Evaluators will look for the 14 titled sub-deliverables of the Deliverables Schedule (C2M2 Maturity Assessment Report, Technical Vulnerability &amp; Gap Analysis Report, Standards Alignment Matrix, Maturity Profile &amp; Executive Dashboard, Verified Evidence Ledger, Remediation Roadmap, Policy &amp; Standards Manual, Audit Program &amp; RACI Matrix, Performance Metrics &amp; Re-assessment Protocol, Operational Toolkit Package, SOPs, Regulatory Compliance Sustainability Guide, Knowledge Transfer &amp; Training Report).</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Deliverables Schedule, pp. GC-8–GC-9</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ALL 14 now named verbatim in the TECH-8 Gantt sheet. REMAINING: name them in V0.9's TECH-4/deliverables sections too.</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Name all 14 verbatim in TECH-4 and TECH-8 so each can be ticked off. Owner: Glyn.</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S5</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Only three positions are scored, with expected man-days: Team Leader 30 (15 pts), Cybersecurity Specialist 60 (10 pts), Power Systems/SCADA Engineer 50 (10 pts) — and the financial score is Sf = 100 × Fm/F (lowest price takes the full 20%).</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ITC 5.2(iii) &amp; 5.7, pp. DATA-3–DATA-4</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Current loading is 315 person-days (~USD 346.5k–354.6k) vs the RFP's 140 expected key-staff man-days — the price premium is carried into a lowest-price formula.</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Platinum decision: align visible key-staff man-days closer to RFP expectations and carry any extra effort in support roles — or knowingly accept the financial-score cost. Owner: Alexander / Chris (with EML consulted).</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S6</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CV mark schemes for the two Abatis-scored positions. Team Leader: relevant Bachelor's (2) + relevant Postgraduate degree (3) + PM experience (max 5) + leadership (max 3) + certifications (2); min 10 years. Cybersecurity Specialist: degree (2) + OT/ICS experience (2) + IEC 62443/C2M2 (2) + power-sector/CNI (2) + certifications (2); min 5 years.</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ITC 5.2(iii), pp. DATA-3–DATA-4</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CVs collected, but not yet verified line-by-line against the mark scheme. Known issue: Christian Rogan's CV has an empty Education section; confirm the nominated Team Leader holds a postgraduate degree (3 marks).</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Audit both Abatis CVs against the exact mark items; complete education/certification entries so no mark is forfeited by omission. Owner: Debbie / Glyn.</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S7</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CVs must be presented in the prescribed TECH-6 form: position, firm, name, date of birth, nationality, education, professional memberships, other qualifications, languages with proficiency, employment record — certified and signed by the expert AND the authorised representative; one candidate per position.</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FORM TECH-6, p. Forms-9</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Abatis CVs exist in narrative/branded formats; TECH-6 fields (DOB, nationality, language proficiency, structured employment record) and dual signatures not yet in place.</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Recast the Abatis CVs into TECH-6 structure and collect both signatures on each. Owner: Debbie.</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S8</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TECH-7 Staffing Schedule: per-expert bar chart with office and field input shown separately, staff-month totals, and Foreign (Abatis) subtotal distinct from National staff.</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FORM TECH-7, p. Forms-10</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NOW BUILT — workbook 'TECH-7 Staffing Schedule' sheet: per-expert office/field man-days by month, staff-months (1 SM = 21 days), Foreign (Abatis 200 MD / 9.52 SM) vs National (EML 220 MD / 10.48 SM) subtotals, two field missions in M2/M4. REMAINING: insert expert names from the signed CVs; revisit if the S5 man-day decision changes loading.</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Insert names; re-run numbers only if S5 changes the loading. Owner: Chris/Debbie.</w:t>
            </w:r>
          </w:p>
        </w:tc>
      </w:tr>
    </w:tbl>
    <w:p>
      <w:pPr>
        <w:spacing w:after="80"/>
      </w:pP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3.  Minor — drafting cleanup in the technical document</w:t>
            </w:r>
          </w:p>
        </w:tc>
      </w:tr>
    </w:tbl>
    <w:p>
      <w:pPr>
        <w:spacing w:after="80"/>
      </w:pPr>
    </w:p>
    <w:tbl>
      <w:tblPr>
        <w:tblW w:w="10158" w:type="dxa"/>
        <w:tblLayout w:type="fixed"/>
      </w:tblPr>
      <w:tblGrid>
        <w:gridCol w:w="500"/>
        <w:gridCol w:w="2900"/>
        <w:gridCol w:w="1500"/>
        <w:gridCol w:w="2400"/>
        <w:gridCol w:w="2858"/>
      </w:tblGrid>
      <w:tr>
        <w:tc>
          <w:tcPr>
            <w:tcW w:w="5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w:t>
            </w:r>
          </w:p>
        </w:tc>
        <w:tc>
          <w:tcPr>
            <w:tcW w:w="29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Gap / RFP requirement</w:t>
            </w:r>
          </w:p>
        </w:tc>
        <w:tc>
          <w:tcPr>
            <w:tcW w:w="15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RFP reference</w:t>
            </w:r>
          </w:p>
        </w:tc>
        <w:tc>
          <w:tcPr>
            <w:tcW w:w="24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Current state</w:t>
            </w:r>
          </w:p>
        </w:tc>
        <w:tc>
          <w:tcPr>
            <w:tcW w:w="2858"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Required action (Platinum/Abatis)</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M1</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TECH-3 Part B response on Counterpart Staff and Facilities (Client provides access to information/documents and office space).</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FORM TECH-3B, p. Forms-6; Data Sheet ITC 1.2, p. DATA-1</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TECH-3 section covers TOR comments only.</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Add a short Part B: acknowledge the Client's inputs; state assumptions on counterpart staff, document access, site permissions and review turnarounds. Owner: Glyn.</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M2</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Explicit data-protection commitments: NDA signed before commencement; no sharing/export of SCADA/EMS data without prior written approval; Client owns all data; certified return and destruction on completion.</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TOR §5(i)–(vi), pp. GC-6–GC-7</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QA &amp; Information Security section is generic on these points.</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Add one paragraph making the four commitments explicit — particularly important for the foreign lead partner. Owner: Glyn.</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M3</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Proposal validity is 60 days from the closing date.</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Data Sheet ITC 1.3, p. DATA-1</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STILL OPEN IN V0.9 ('prices will be held for 90 days').</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Standardise on 60 days everywhere in both sets. Owner: Glyn.</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M4</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Residual drafting issues.</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STILL OPEN IN V0.9 — liaison email '&lt;&lt;TBA&gt;&gt;'; weak schedule sentence; version block now reads 0.6 (filename V0.9).</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Name the Project Manager and contact email; replace the weak schedule sentence; correct the version block. Owner: Glyn.</w:t>
            </w:r>
          </w:p>
        </w:tc>
      </w:tr>
    </w:tbl>
    <w:p>
      <w:pPr>
        <w:spacing w:after="80"/>
      </w:pP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3b.  New Defects Introduced in V0.9 (TECH-2B references table)</w:t>
            </w:r>
          </w:p>
        </w:tc>
      </w:tr>
    </w:tbl>
    <w:p>
      <w:pPr>
        <w:spacing w:after="80"/>
      </w:pPr>
    </w:p>
    <w:tbl>
      <w:tblPr>
        <w:tblW w:w="10158" w:type="dxa"/>
        <w:tblLayout w:type="fixed"/>
      </w:tblPr>
      <w:tblGrid>
        <w:gridCol w:w="500"/>
        <w:gridCol w:w="2900"/>
        <w:gridCol w:w="1500"/>
        <w:gridCol w:w="2400"/>
        <w:gridCol w:w="2858"/>
      </w:tblGrid>
      <w:tr>
        <w:tc>
          <w:tcPr>
            <w:tcW w:w="5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w:t>
            </w:r>
          </w:p>
        </w:tc>
        <w:tc>
          <w:tcPr>
            <w:tcW w:w="29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Gap / RFP requirement</w:t>
            </w:r>
          </w:p>
        </w:tc>
        <w:tc>
          <w:tcPr>
            <w:tcW w:w="15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RFP reference</w:t>
            </w:r>
          </w:p>
        </w:tc>
        <w:tc>
          <w:tcPr>
            <w:tcW w:w="24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Current state</w:t>
            </w:r>
          </w:p>
        </w:tc>
        <w:tc>
          <w:tcPr>
            <w:tcW w:w="2858"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Required action (Platinum/Abatis)</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N1</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TECH-2B requires client, contract value, duration, staff-months and services for every reference — evaluators score this table (15 pts, criterion i).</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FORM TECH-2B, p. Forms-4; ITC 5.2(i), p. DATA-3</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Data errors in the new references table: '% years' placeholder (JCDC row); '$330,00 USD' typo (COPPEL); the 'Port development projects (Sri Lanka) — JV with Niras' row lists client as 'Port of Hamburg' with 17 years/€1.17M (label and data mismatched — appears to be a different project); staff-month entries ('4 / 60', '1 / 204') use an unexplained format.</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Correct the four data errors; state staff-months in the RFP's format (total assignment SM vs SM provided by the firm); ensure each row's label matches its data. Owner: Alexander/Glyn.</w:t>
            </w:r>
          </w:p>
        </w:tc>
      </w:tr>
      <w:tr>
        <w:tc>
          <w:tcPr>
            <w:tcW w:w="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N2</w:t>
            </w:r>
          </w:p>
        </w:tc>
        <w:tc>
          <w:tcPr>
            <w:tcW w:w="2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References marked 'Restricted' provide no scoreable evidence.</w:t>
            </w:r>
          </w:p>
        </w:tc>
        <w:tc>
          <w:tcPr>
            <w:tcW w:w="15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ITC 5.2(i), p. DATA-3</w:t>
            </w:r>
          </w:p>
        </w:tc>
        <w:tc>
          <w:tcPr>
            <w:tcW w:w="24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Four cells say 'Restricted' (Swiss Government, Gulf energy, NNPC rows).</w:t>
            </w:r>
          </w:p>
        </w:tc>
        <w:tc>
          <w:tcPr>
            <w:tcW w:w="28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Where NDAs prevent naming values, still give duration, staff-months and a service description, and note 'value under NDA — verifiable on request'; a row with no data risks scoring zero. Owner: Alexander.</w:t>
            </w:r>
          </w:p>
        </w:tc>
      </w:tr>
    </w:tbl>
    <w:p>
      <w:pPr>
        <w:spacing w:after="80"/>
      </w:pP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4.  Where Platinum/Abatis Wins the Points</w:t>
            </w:r>
          </w:p>
        </w:tc>
      </w:tr>
    </w:tbl>
    <w:p>
      <w:pPr>
        <w:spacing w:after="80"/>
      </w:pPr>
    </w:p>
    <w:tbl>
      <w:tblPr>
        <w:tblW w:w="10158" w:type="dxa"/>
        <w:tblLayout w:type="fixed"/>
      </w:tblPr>
      <w:tblGrid>
        <w:gridCol w:w="3900"/>
        <w:gridCol w:w="900"/>
        <w:gridCol w:w="1600"/>
        <w:gridCol w:w="3758"/>
      </w:tblGrid>
      <w:tr>
        <w:tc>
          <w:tcPr>
            <w:tcW w:w="39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Criterion</w:t>
            </w:r>
          </w:p>
        </w:tc>
        <w:tc>
          <w:tcPr>
            <w:tcW w:w="9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Points</w:t>
            </w:r>
          </w:p>
        </w:tc>
        <w:tc>
          <w:tcPr>
            <w:tcW w:w="16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RFP ref</w:t>
            </w:r>
          </w:p>
        </w:tc>
        <w:tc>
          <w:tcPr>
            <w:tcW w:w="3758"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Platinum/Abatis answer</w:t>
            </w:r>
          </w:p>
        </w:tc>
      </w:tr>
      <w:tr>
        <w:tc>
          <w:tcPr>
            <w:tcW w:w="3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(ii)a Technical approach &amp; methodology</w:t>
            </w:r>
          </w:p>
        </w:tc>
        <w:tc>
          <w:tcPr>
            <w:tcW w:w="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35</w:t>
            </w:r>
          </w:p>
        </w:tc>
        <w:tc>
          <w:tcPr>
            <w:tcW w:w="16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 DATA-3</w:t>
            </w:r>
          </w:p>
        </w:tc>
        <w:tc>
          <w:tcPr>
            <w:tcW w:w="37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TECH-4 — C2M2 v2.1 process, standards benchmark, governance &amp; audit framework, pilot validation (add), non-intrusive approach</w:t>
            </w:r>
          </w:p>
        </w:tc>
      </w:tr>
      <w:tr>
        <w:tc>
          <w:tcPr>
            <w:tcW w:w="3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(ii)b Work plan</w:t>
            </w:r>
          </w:p>
        </w:tc>
        <w:tc>
          <w:tcPr>
            <w:tcW w:w="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10</w:t>
            </w:r>
          </w:p>
        </w:tc>
        <w:tc>
          <w:tcPr>
            <w:tcW w:w="16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 DATA-3</w:t>
            </w:r>
          </w:p>
        </w:tc>
        <w:tc>
          <w:tcPr>
            <w:tcW w:w="37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TECH-8 — 25-week Gantt on the 5 mandated deliverables + 14 named outputs</w:t>
            </w:r>
          </w:p>
        </w:tc>
      </w:tr>
      <w:tr>
        <w:tc>
          <w:tcPr>
            <w:tcW w:w="3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(ii)c Organisation &amp; staffing</w:t>
            </w:r>
          </w:p>
        </w:tc>
        <w:tc>
          <w:tcPr>
            <w:tcW w:w="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5</w:t>
            </w:r>
          </w:p>
        </w:tc>
        <w:tc>
          <w:tcPr>
            <w:tcW w:w="16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 DATA-3</w:t>
            </w:r>
          </w:p>
        </w:tc>
        <w:tc>
          <w:tcPr>
            <w:tcW w:w="37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JV organisation, responsibility matrix, TECH-5/TECH-7</w:t>
            </w:r>
          </w:p>
        </w:tc>
      </w:tr>
      <w:tr>
        <w:tc>
          <w:tcPr>
            <w:tcW w:w="3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(iii)a Team Leader CV</w:t>
            </w:r>
          </w:p>
        </w:tc>
        <w:tc>
          <w:tcPr>
            <w:tcW w:w="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15</w:t>
            </w:r>
          </w:p>
        </w:tc>
        <w:tc>
          <w:tcPr>
            <w:tcW w:w="16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pp. DATA-3–4</w:t>
            </w:r>
          </w:p>
        </w:tc>
        <w:tc>
          <w:tcPr>
            <w:tcW w:w="37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Bachelor's 2 + Postgraduate 3 + PM experience 5 + leadership 3 + certifications 2</w:t>
            </w:r>
          </w:p>
        </w:tc>
      </w:tr>
      <w:tr>
        <w:tc>
          <w:tcPr>
            <w:tcW w:w="3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(iii)b Cybersecurity Specialist CV</w:t>
            </w:r>
          </w:p>
        </w:tc>
        <w:tc>
          <w:tcPr>
            <w:tcW w:w="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10</w:t>
            </w:r>
          </w:p>
        </w:tc>
        <w:tc>
          <w:tcPr>
            <w:tcW w:w="16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 DATA-4</w:t>
            </w:r>
          </w:p>
        </w:tc>
        <w:tc>
          <w:tcPr>
            <w:tcW w:w="37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Degree 2 + OT/ICS 2 + IEC 62443/C2M2 2 + power-sector CNI 2 + certifications 2</w:t>
            </w:r>
          </w:p>
        </w:tc>
      </w:tr>
      <w:tr>
        <w:tc>
          <w:tcPr>
            <w:tcW w:w="3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 Specific experience (shared with EML)</w:t>
            </w:r>
          </w:p>
        </w:tc>
        <w:tc>
          <w:tcPr>
            <w:tcW w:w="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15</w:t>
            </w:r>
          </w:p>
        </w:tc>
        <w:tc>
          <w:tcPr>
            <w:tcW w:w="16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 DATA-3</w:t>
            </w:r>
          </w:p>
        </w:tc>
        <w:tc>
          <w:tcPr>
            <w:tcW w:w="37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TECH-2B references: OT/ICS, SCADA, energy, CNI, audit-framework assignments with values/durations/staff-months</w:t>
            </w:r>
          </w:p>
        </w:tc>
      </w:tr>
      <w:tr>
        <w:tc>
          <w:tcPr>
            <w:tcW w:w="3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Threshold &amp; weighting</w:t>
            </w:r>
          </w:p>
        </w:tc>
        <w:tc>
          <w:tcPr>
            <w:tcW w:w="9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w:t>
            </w:r>
          </w:p>
        </w:tc>
        <w:tc>
          <w:tcPr>
            <w:tcW w:w="16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p. DATA-4</w:t>
            </w:r>
          </w:p>
        </w:tc>
        <w:tc>
          <w:tcPr>
            <w:tcW w:w="37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Minimum technical score 70/100; Technical 80% / Financial 20%; Sf = 100 × Fm/F</w:t>
            </w:r>
          </w:p>
        </w:tc>
      </w:tr>
    </w:tbl>
    <w:p>
      <w:pPr>
        <w:spacing w:after="80"/>
      </w:pP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5.  Mandated Deliverables &amp; Payments (rebuild basis for S1/S3)</w:t>
            </w:r>
          </w:p>
        </w:tc>
      </w:tr>
    </w:tbl>
    <w:p>
      <w:pPr>
        <w:spacing w:after="80"/>
      </w:pPr>
    </w:p>
    <w:tbl>
      <w:tblPr>
        <w:tblW w:w="10158" w:type="dxa"/>
        <w:tblLayout w:type="fixed"/>
      </w:tblPr>
      <w:tblGrid>
        <w:gridCol w:w="600"/>
        <w:gridCol w:w="5758"/>
        <w:gridCol w:w="2000"/>
        <w:gridCol w:w="1800"/>
      </w:tblGrid>
      <w:tr>
        <w:tc>
          <w:tcPr>
            <w:tcW w:w="6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w:t>
            </w:r>
          </w:p>
        </w:tc>
        <w:tc>
          <w:tcPr>
            <w:tcW w:w="5758"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Deliverable</w:t>
            </w:r>
          </w:p>
        </w:tc>
        <w:tc>
          <w:tcPr>
            <w:tcW w:w="20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Due</w:t>
            </w:r>
          </w:p>
        </w:tc>
        <w:tc>
          <w:tcPr>
            <w:tcW w:w="1800" w:type="dxa"/>
            <w:tcBorders>
              <w:top w:val="single" w:sz="4" w:color="3494BA"/>
              <w:left w:val="single" w:sz="4" w:color="3494BA"/>
              <w:bottom w:val="single" w:sz="4" w:color="3494BA"/>
              <w:right w:val="single" w:sz="4" w:color="3494BA"/>
            </w:tcBorders>
            <w:shd w:val="clear" w:color="auto" w:fill="A9D5E7"/>
            <w:tcMar>
              <w:top w:w="60" w:type="dxa"/>
              <w:left w:w="100" w:type="dxa"/>
              <w:bottom w:w="60" w:type="dxa"/>
              <w:right w:w="100" w:type="dxa"/>
            </w:tcMar>
            <w:vAlign w:val="top"/>
          </w:tcPr>
          <w:p>
            <w:pPr>
              <w:spacing w:before="0" w:after="0"/>
            </w:pPr>
            <w:r>
              <w:rPr>
                <w:rFonts w:ascii="Times New Roman" w:hAnsi="Times New Roman" w:cs="Times New Roman"/>
                <w:b/>
                <w:sz w:val="23"/>
                <w:szCs w:val="23"/>
              </w:rPr>
              <w:t xml:space="preserve">Payment</w:t>
            </w:r>
          </w:p>
        </w:tc>
      </w:tr>
      <w:tr>
        <w:tc>
          <w:tcPr>
            <w:tcW w:w="6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1</w:t>
            </w:r>
          </w:p>
        </w:tc>
        <w:tc>
          <w:tcPr>
            <w:tcW w:w="57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Inception Report (methodology, work plan, data requirements)</w:t>
            </w:r>
          </w:p>
        </w:tc>
        <w:tc>
          <w:tcPr>
            <w:tcW w:w="2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4 weeks from contract</w:t>
            </w:r>
          </w:p>
        </w:tc>
        <w:tc>
          <w:tcPr>
            <w:tcW w:w="18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10%</w:t>
            </w:r>
          </w:p>
        </w:tc>
      </w:tr>
      <w:tr>
        <w:tc>
          <w:tcPr>
            <w:tcW w:w="6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2</w:t>
            </w:r>
          </w:p>
        </w:tc>
        <w:tc>
          <w:tcPr>
            <w:tcW w:w="57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Interim Progress Report</w:t>
            </w:r>
          </w:p>
        </w:tc>
        <w:tc>
          <w:tcPr>
            <w:tcW w:w="2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8 weeks</w:t>
            </w:r>
          </w:p>
        </w:tc>
        <w:tc>
          <w:tcPr>
            <w:tcW w:w="18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20%</w:t>
            </w:r>
          </w:p>
        </w:tc>
      </w:tr>
      <w:tr>
        <w:tc>
          <w:tcPr>
            <w:tcW w:w="6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3</w:t>
            </w:r>
          </w:p>
        </w:tc>
        <w:tc>
          <w:tcPr>
            <w:tcW w:w="57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Data Assessment and Preliminary Findings Report</w:t>
            </w:r>
          </w:p>
        </w:tc>
        <w:tc>
          <w:tcPr>
            <w:tcW w:w="2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16 weeks</w:t>
            </w:r>
          </w:p>
        </w:tc>
        <w:tc>
          <w:tcPr>
            <w:tcW w:w="18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20%</w:t>
            </w:r>
          </w:p>
        </w:tc>
      </w:tr>
      <w:tr>
        <w:tc>
          <w:tcPr>
            <w:tcW w:w="6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4</w:t>
            </w:r>
          </w:p>
        </w:tc>
        <w:tc>
          <w:tcPr>
            <w:tcW w:w="57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Draft Final Report</w:t>
            </w:r>
          </w:p>
        </w:tc>
        <w:tc>
          <w:tcPr>
            <w:tcW w:w="2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22 weeks</w:t>
            </w:r>
          </w:p>
        </w:tc>
        <w:tc>
          <w:tcPr>
            <w:tcW w:w="18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30%</w:t>
            </w:r>
          </w:p>
        </w:tc>
      </w:tr>
      <w:tr>
        <w:tc>
          <w:tcPr>
            <w:tcW w:w="6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5</w:t>
            </w:r>
          </w:p>
        </w:tc>
        <w:tc>
          <w:tcPr>
            <w:tcW w:w="5758"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Final Report</w:t>
            </w:r>
          </w:p>
        </w:tc>
        <w:tc>
          <w:tcPr>
            <w:tcW w:w="20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25 weeks</w:t>
            </w:r>
          </w:p>
        </w:tc>
        <w:tc>
          <w:tcPr>
            <w:tcW w:w="1800" w:type="dxa"/>
            <w:tcBorders>
              <w:top w:val="single" w:sz="4" w:color="3494BA"/>
              <w:left w:val="single" w:sz="4" w:color="3494BA"/>
              <w:bottom w:val="single" w:sz="4" w:color="3494BA"/>
              <w:right w:val="single" w:sz="4" w:color="3494BA"/>
            </w:tcBorders>
            <w:tcMar>
              <w:top w:w="60" w:type="dxa"/>
              <w:left w:w="100" w:type="dxa"/>
              <w:bottom w:w="60" w:type="dxa"/>
              <w:right w:w="100" w:type="dxa"/>
            </w:tcMar>
            <w:vAlign w:val="top"/>
          </w:tcPr>
          <w:p>
            <w:pPr>
              <w:spacing w:before="0" w:after="0"/>
            </w:pPr>
            <w:r>
              <w:rPr>
                <w:rFonts w:ascii="Times New Roman" w:hAnsi="Times New Roman" w:cs="Times New Roman"/>
                <w:sz w:val="21"/>
                <w:szCs w:val="21"/>
              </w:rPr>
              <w:t xml:space="preserve">20%</w:t>
            </w:r>
          </w:p>
        </w:tc>
      </w:tr>
    </w:tbl>
    <w:p>
      <w:pPr>
        <w:spacing w:after="80"/>
      </w:pPr>
    </w:p>
    <w:p>
      <w:pPr>
        <w:spacing w:before="0" w:after="120"/>
      </w:pPr>
      <w:r>
        <w:rPr>
          <w:rFonts w:ascii="Times New Roman" w:hAnsi="Times New Roman" w:cs="Times New Roman"/>
          <w:sz w:val="22"/>
          <w:szCs w:val="22"/>
        </w:rPr>
        <w:t xml:space="preserve">Source: TOR §6, pp. GC-7–GC-8; §7, p. GC-9.</w:t>
      </w:r>
    </w:p>
    <w:tbl>
      <w:tblPr>
        <w:tblW w:w="10158" w:type="dxa"/>
        <w:tblLayout w:type="fixed"/>
      </w:tblPr>
      <w:tblGrid>
        <w:gridCol w:w="10158"/>
      </w:tblGrid>
      <w:tr>
        <w:tc>
          <w:tcPr>
            <w:tcW w:w="10158" w:type="dxa"/>
            <w:tcBorders>
              <w:top w:val="single" w:sz="4" w:color="3494BA"/>
              <w:left w:val="single" w:sz="4" w:color="3494BA"/>
              <w:bottom w:val="single" w:sz="4" w:color="3494BA"/>
              <w:right w:val="single" w:sz="4" w:color="3494BA"/>
            </w:tcBorders>
            <w:shd w:val="clear" w:color="auto" w:fill="3494BA"/>
            <w:tcMar>
              <w:top w:w="60" w:type="dxa"/>
              <w:left w:w="100" w:type="dxa"/>
              <w:bottom w:w="60" w:type="dxa"/>
              <w:right w:w="100" w:type="dxa"/>
            </w:tcMar>
            <w:vAlign w:val="top"/>
          </w:tcPr>
          <w:p>
            <w:pPr>
              <w:spacing w:before="0" w:after="0"/>
            </w:pPr>
            <w:r>
              <w:rPr>
                <w:rFonts w:ascii="Arial" w:hAnsi="Arial" w:cs="Arial"/>
                <w:b/>
                <w:color w:val="FFFFFF"/>
                <w:sz w:val="24"/>
                <w:szCs w:val="24"/>
              </w:rPr>
              <w:t xml:space="preserve">6.  Handed to EML (for reference only — not Platinum actions)</w:t>
            </w:r>
          </w:p>
        </w:tc>
      </w:tr>
    </w:tbl>
    <w:p>
      <w:pPr>
        <w:spacing w:after="80"/>
      </w:pPr>
    </w:p>
    <w:p>
      <w:pPr>
        <w:numPr>
          <w:ilvl w:val="0"/>
          <w:numId w:val="1"/>
        </w:numPr>
        <w:spacing w:before="0" w:after="60"/>
      </w:pPr>
      <w:r>
        <w:rPr>
          <w:rFonts w:ascii="Times New Roman" w:hAnsi="Times New Roman" w:cs="Times New Roman"/>
          <w:sz w:val="22"/>
          <w:szCs w:val="22"/>
        </w:rPr>
        <w:t xml:space="preserve">Enter EML's audited turnover figures (each year &gt; Rs. 60 million) into the TECH-2A table (p. Forms-3) and attach the audited statements.</w:t>
      </w:r>
    </w:p>
    <w:p>
      <w:pPr>
        <w:numPr>
          <w:ilvl w:val="0"/>
          <w:numId w:val="1"/>
        </w:numPr>
        <w:spacing w:before="0" w:after="60"/>
      </w:pPr>
      <w:r>
        <w:rPr>
          <w:rFonts w:ascii="Times New Roman" w:hAnsi="Times New Roman" w:cs="Times New Roman"/>
          <w:sz w:val="22"/>
          <w:szCs w:val="22"/>
        </w:rPr>
        <w:t xml:space="preserve">Reprice all local-cost components into Sri Lanka Rupees (ITC 3.8, p. ITC-6 — local costs must be in LKR only) and populate the LKR columns of FIN-2–FIN-5, working from Platinum's USD cost detail.</w:t>
      </w:r>
    </w:p>
    <w:p>
      <w:pPr>
        <w:numPr>
          <w:ilvl w:val="0"/>
          <w:numId w:val="1"/>
        </w:numPr>
        <w:spacing w:before="0" w:after="60"/>
      </w:pPr>
      <w:r>
        <w:rPr>
          <w:rFonts w:ascii="Times New Roman" w:hAnsi="Times New Roman" w:cs="Times New Roman"/>
          <w:sz w:val="22"/>
          <w:szCs w:val="22"/>
        </w:rPr>
        <w:t xml:space="preserve">Power Systems/SCADA Engineer CV in TECH-6 form — mark scheme: degree 2 + power/grid operations 3 + SCADA/EMS integration 5 (p. DATA-4).</w:t>
      </w:r>
    </w:p>
    <w:p>
      <w:pPr>
        <w:numPr>
          <w:ilvl w:val="0"/>
          <w:numId w:val="1"/>
        </w:numPr>
        <w:spacing w:before="0" w:after="60"/>
      </w:pPr>
      <w:r>
        <w:rPr>
          <w:rFonts w:ascii="Times New Roman" w:hAnsi="Times New Roman" w:cs="Times New Roman"/>
          <w:sz w:val="22"/>
          <w:szCs w:val="22"/>
        </w:rPr>
        <w:t xml:space="preserve">Printing, copies and packaging: original + 2 copies of both proposals (conservative reading of ITC 4.3, p. DATA-2), USB pen drive of the Technical Proposal, exact envelope markings per ITC 4.4 (pp. DATA-2–DATA-3) including 'DO NOT OPEN, EXCEPT IN PRESENCE OF THE OFFICIAL APPOINTED, BEFORE 2.00 pm (SLST) on 30th July 2026', and physical delivery to PUCSL, 6th Floor, BOC Merchant Tower, No. 28, St. Michael's Road, Colombo 3.</w:t>
      </w:r>
    </w:p>
    <w:p>
      <w:pPr>
        <w:numPr>
          <w:ilvl w:val="0"/>
          <w:numId w:val="1"/>
        </w:numPr>
        <w:spacing w:before="0" w:after="60"/>
      </w:pPr>
      <w:r>
        <w:rPr>
          <w:rFonts w:ascii="Times New Roman" w:hAnsi="Times New Roman" w:cs="Times New Roman"/>
          <w:sz w:val="22"/>
          <w:szCs w:val="22"/>
        </w:rPr>
        <w:t xml:space="preserve">Closed items needing no work: no bid security is required anywhere in the Data Sheet (the p. SC-6 advance-payment guarantee applies only after award); validity is 60 days; the clarification window closed 15 July.</w:t>
      </w:r>
    </w:p>
    <w:sectPr>
      <w:headerReference w:type="default" r:id="rIdHdr"/>
      <w:footerReference w:type="default" r:id="rIdFtr"/>
      <w:pgSz w:w="12240" w:h="15840"/>
      <w:pgMar w:top="1100" w:right="1034" w:bottom="900" w:left="1048" w:header="334" w:footer="360" w:gutter="0"/>
    </w:sectPr>
  </w:body>
</w:document>
</file>

<file path=word/footer1.xml><?xml version="1.0" encoding="utf-8"?>
<w:ftr xmlns:w="http://schemas.openxmlformats.org/wordprocessingml/2006/main">
  <w:p>
    <w:pPr>
      <w:pBdr>
        <w:top w:val="single" w:sz="6" w:space="1" w:color="3494BA"/>
      </w:pBdr>
      <w:tabs>
        <w:tab w:val="right" w:pos="10158"/>
      </w:tabs>
      <w:spacing w:before="60" w:after="0"/>
    </w:pPr>
    <w:r>
      <w:rPr>
        <w:rFonts w:ascii="Arial" w:hAnsi="Arial"/>
        <w:b/>
        <w:sz w:val="18"/>
        <w:highlight w:val="yellow"/>
      </w:rPr>
      <w:t xml:space="preserve">COMMERCIAL IN CONFIDENCE</w:t>
    </w:r>
    <w:r>
      <w:tab/>
    </w:r>
    <w:r>
      <w:rPr>
        <w:rFonts w:ascii="Arial" w:hAnsi="Arial"/>
        <w:color w:val="7F7F7F"/>
        <w:sz w:val="18"/>
      </w:rPr>
      <w:t xml:space="preserve">P a g e  | </w:t>
    </w:r>
    <w:fldSimple w:instr=" PAGE ">
      <w:r>
        <w:rPr>
          <w:rFonts w:ascii="Arial" w:hAnsi="Arial"/>
          <w:color w:val="7F7F7F"/>
          <w:sz w:val="18"/>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10158" w:type="dxa"/>
      <w:tblLayout w:type="fixed"/>
    </w:tblPr>
    <w:tblGrid>
      <w:gridCol w:w="7758"/>
      <w:gridCol w:w="2400"/>
    </w:tblGrid>
    <w:tr>
      <w:tc>
        <w:tcPr>
          <w:tcW w:w="7758" w:type="dxa"/>
          <w:vAlign w:val="bottom"/>
        </w:tcPr>
        <w:p>
          <w:pPr>
            <w:spacing w:after="20"/>
          </w:pPr>
          <w:r>
            <w:rPr>
              <w:rFonts w:ascii="Arial" w:hAnsi="Arial"/>
              <w:b/>
              <w:color w:val="1A495D"/>
              <w:sz w:val="20"/>
            </w:rPr>
            <w:t xml:space="preserve">Prevent | Protect | Prevail</w:t>
          </w:r>
        </w:p>
        <w:p>
          <w:pPr>
            <w:spacing w:after="20"/>
          </w:pPr>
          <w:r>
            <w:rPr>
              <w:rFonts w:ascii="Arial" w:hAnsi="Arial"/>
              <w:color w:val="1A495D"/>
              <w:sz w:val="18"/>
              <w:u w:val="single"/>
            </w:rPr>
            <w:t>Platinum-HIT</w:t>
          </w:r>
        </w:p>
      </w:tc>
      <w:tc>
        <w:tcPr>
          <w:tcW w:w="2400" w:type="dxa"/>
          <w:vAlign w:val="bottom"/>
        </w:tcPr>
        <w:p>
          <w:pPr>
            <w:jc w:val="right"/>
            <w:spacing w:after="20"/>
          </w:pPr>
          <w:r>
            <w:drawing>
              <wp:inline distT="0" distB="0" distL="0" distR="0">
                <wp:extent cx="1428750" cy="354648"/>
                <wp:docPr id="1" name="Platinum Logo"/>
                <a:graphic xmlns:a="http://schemas.openxmlformats.org/drawingml/2006/main">
                  <a:graphicData uri="http://schemas.openxmlformats.org/drawingml/2006/picture">
                    <pic:pic>
                      <pic:nvPicPr>
                        <pic:cNvPr id="1" name="platinum-logo.png"/>
                        <pic:cNvPicPr/>
                      </pic:nvPicPr>
                      <pic:blipFill>
                        <a:blip r:embed="rIdLogo"/>
                        <a:stretch>
                          <a:fillRect/>
                        </a:stretch>
                      </pic:blipFill>
                      <pic:spPr>
                        <a:xfrm>
                          <a:off x="0" y="0"/>
                          <a:ext cx="1428750" cy="354648"/>
                        </a:xfrm>
                        <a:prstGeom prst="rect">
                          <a:avLst/>
                        </a:prstGeom>
                      </pic:spPr>
                    </pic:pic>
                  </a:graphicData>
                </a:graphic>
              </wp:inline>
            </w:drawing>
          </w:r>
        </w:p>
      </w:tc>
    </w:tr>
  </w:tbl>
  <w:p>
    <w:pPr>
      <w:pBdr>
        <w:bottom w:val="single" w:sz="12" w:space="1" w:color="3494BA"/>
      </w:pBdr>
      <w:spacing w:after="120"/>
    </w:pPr>
  </w:p>
</w:hdr>
</file>

<file path=word/numbering.xml><?xml version="1.0" encoding="utf-8"?>
<w:numbering xmlns:w="http://schemas.openxmlformats.org/wordprocessingml/2006/main">
  <w:abstractNum w:abstractNumId="0">
    <w:lvl w:ilvl="0">
      <w:start w:val="1"/>
      <w:numFmt w:val="bullet"/>
      <w:lvlText w:val="•"/>
      <w:lvlJc w:val="left"/>
      <w:pPr>
        <w:ind w:left="480" w:hanging="240"/>
      </w:pPr>
      <w:rPr>
        <w:rFonts w:ascii="Symbol" w:hAnsi="Symbol" w:hint="default"/>
      </w:rPr>
    </w:lvl>
    <w:lvl w:ilvl="1">
      <w:start w:val="1"/>
      <w:numFmt w:val="bullet"/>
      <w:lvlText w:val="o"/>
      <w:lvlJc w:val="left"/>
      <w:pPr>
        <w:ind w:left="960" w:hanging="240"/>
      </w:pPr>
      <w:rPr>
        <w:rFonts w:ascii="Courier New" w:hAnsi="Courier New" w:hint="default"/>
      </w:rPr>
    </w:lvl>
  </w:abstractNum>
  <w:num w:numId="1">
    <w:abstractNumId w:val="0"/>
  </w:num>
</w:numbering>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after="12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Sty" Type="http://schemas.openxmlformats.org/officeDocument/2006/relationships/styles" Target="styles.xml"/>
<Relationship Id="rIdNum" Type="http://schemas.openxmlformats.org/officeDocument/2006/relationships/numbering" Target="numbering.xml"/>
<Relationship Id="rIdHdr" Type="http://schemas.openxmlformats.org/officeDocument/2006/relationships/header" Target="header1.xml"/>
<Relationship Id="rIdFtr" Type="http://schemas.openxmlformats.org/officeDocument/2006/relationships/footer" Target="footer1.xml"/>
</Relationships>
</file>

<file path=word/_rels/header1.xml.rels><?xml version="1.0" encoding="UTF-8" standalone="yes"?>
<Relationships xmlns="http://schemas.openxmlformats.org/package/2006/relationships">
<Relationship Id="rIdLogo" Type="http://schemas.openxmlformats.org/officeDocument/2006/relationships/image" Target="media/platinum-logo.png"/>
</Relationships>
</file>