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20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1A495D"/>
            <w:tcMar>
              <w:top w:w="60" w:type="dxa"/>
              <w:left w:w="100" w:type="dxa"/>
              <w:bottom w:w="60" w:type="dxa"/>
              <w:right w:w="100" w:type="dxa"/>
            </w:tcMar>
            <w:vAlign w:val="top"/>
          </w:tcPr>
          <w:p>
            <w:pPr>
              <w:spacing w:before="0" w:after="60"/>
            </w:pPr>
            <w:r>
              <w:rPr>
                <w:rFonts w:ascii="Arial" w:hAnsi="Arial" w:cs="Arial"/>
                <w:b/>
                <w:color w:val="FFFFFF"/>
                <w:sz w:val="40"/>
                <w:szCs w:val="40"/>
              </w:rPr>
              <w:t xml:space="preserve">Technical Proposal (Draft)</w:t>
            </w:r>
          </w:p>
          <w:p>
            <w:pPr>
              <w:spacing w:before="0" w:after="0"/>
            </w:pPr>
            <w:r>
              <w:rPr>
                <w:rFonts w:ascii="Arial" w:hAnsi="Arial" w:cs="Arial"/>
                <w:b/>
                <w:color w:val="FFFFFF"/>
                <w:sz w:val="24"/>
                <w:szCs w:val="24"/>
              </w:rPr>
              <w:t xml:space="preserve">Assessment on Cybersecurity Readiness of Electricity Network and Critical Generation Facilities in Sri Lanka and Development of a Cybersecurity Audit Framework Specific to Grid Operations, SCADA and Critical Infrastructure Protection</w:t>
            </w:r>
          </w:p>
        </w:tc>
      </w:tr>
    </w:tbl>
    <w:p>
      <w:pPr>
        <w:spacing w:after="120"/>
      </w:pPr>
    </w:p>
    <w:p>
      <w:pPr>
        <w:spacing w:before="0" w:after="60"/>
      </w:pPr>
      <w:r>
        <w:rPr>
          <w:rFonts w:ascii="Arial" w:hAnsi="Arial" w:cs="Arial"/>
          <w:i/>
          <w:color w:val="1A495D"/>
          <w:sz w:val="24"/>
          <w:szCs w:val="24"/>
        </w:rPr>
        <w:t xml:space="preserve">Prepared for the Public Utilities Commission of Sri Lanka (PUCSL)</w:t>
      </w:r>
    </w:p>
    <w:p>
      <w:pPr>
        <w:spacing w:before="0" w:after="200"/>
      </w:pPr>
      <w:r>
        <w:rPr>
          <w:rFonts w:ascii="Times New Roman" w:hAnsi="Times New Roman" w:cs="Times New Roman"/>
          <w:i/>
          <w:sz w:val="22"/>
          <w:szCs w:val="22"/>
        </w:rPr>
        <w:t xml:space="preserve">Submitted by the Joint Venture of Platinum High Integrity Technologies Limited (Malta) — Lead Joint Venture Partner — and EML Consultants PLC (Sri Lanka) — Local Joint Venture Partner</w:t>
      </w:r>
    </w:p>
    <w:p>
      <w:pPr>
        <w:keepNext/>
        <w:spacing w:before="160" w:after="80"/>
      </w:pPr>
      <w:r>
        <w:rPr>
          <w:rFonts w:ascii="Arial" w:hAnsi="Arial" w:cs="Arial"/>
          <w:b/>
          <w:color w:val="3494BA"/>
          <w:sz w:val="22"/>
          <w:szCs w:val="22"/>
        </w:rPr>
        <w:t xml:space="preserve">ABSTRACT</w:t>
      </w:r>
    </w:p>
    <w:p>
      <w:pPr>
        <w:spacing w:before="0" w:after="200"/>
      </w:pPr>
      <w:r>
        <w:rPr>
          <w:rFonts w:ascii="Times New Roman" w:hAnsi="Times New Roman" w:cs="Times New Roman"/>
          <w:i/>
          <w:sz w:val="22"/>
          <w:szCs w:val="22"/>
        </w:rPr>
        <w:t xml:space="preserve">This draft technical proposal sets out the Joint Venture's approach to assessing the cybersecurity readiness of Sri Lanka's electricity network and critical generation facilities and to developing a cybersecurity audit framework specific to grid operations, SCADA and critical infrastructure protection. The methodology combines the DOE Cybersecurity Capability Maturity Model (C2M2), IEC 62443, the NIST Cybersecurity Framework and ISO/IEC 27019, delivered by internationally proven OT/CNI cybersecurity specialists working alongside Sri Lanka's only stock-exchange-listed engineering consultancy. This is a working draft: every section must be verified against the official tender document once purchased, and items marked [TBC] require inputs listed in Section 9.</w:t>
      </w:r>
    </w:p>
    <w:p>
      <w:pPr>
        <w:spacing w:before="0" w:after="60"/>
      </w:pPr>
      <w:r>
        <w:rPr>
          <w:rFonts w:ascii="Arial" w:hAnsi="Arial" w:cs="Arial"/>
          <w:b/>
          <w:sz w:val="20"/>
          <w:szCs w:val="20"/>
        </w:rPr>
        <w:t xml:space="preserve">Platinum High Integrity Technologies Limited &amp; EML Consultants PLC  |  29 July 2026</w:t>
      </w:r>
    </w:p>
    <w:p>
      <w:pPr>
        <w:spacing w:before="0" w:after="120"/>
      </w:pPr>
      <w:r>
        <w:rPr>
          <w:rFonts w:ascii="Arial" w:hAnsi="Arial" w:cs="Arial"/>
          <w:color w:val="7F7F7F"/>
          <w:sz w:val="18"/>
          <w:szCs w:val="18"/>
        </w:rPr>
        <w:t xml:space="preserve">© Platinum High Integrity Technologies Limited 2026</w:t>
      </w:r>
    </w:p>
    <w:p>
      <w:pPr>
        <w:spacing w:before="0" w:after="0"/>
      </w:pPr>
      <w:r>
        <w:rPr>
          <w:rFonts w:ascii="Times New Roman" w:hAnsi="Times New Roman" w:cs="Times New Roman"/>
          <w:i/>
          <w:color w:val="7F7F7F"/>
          <w:sz w:val="18"/>
          <w:szCs w:val="18"/>
        </w:rPr>
        <w:t xml:space="preserve">Confidentiality: all information in this proposal is provided in confidence and is commercially sensitive. It contains proprietary trade secrets, pricing and know-how of the Joint Venture partners and is accordingly exempt from disclosure under the Right to Information Act, No. 12 of 2016 of Sri Lanka (Section 5(d)).</w:t>
      </w:r>
    </w:p>
    <w:p>
      <w:r>
        <w:br w:type="page"/>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1.  Covering Letter (Draft Text)</w:t>
            </w:r>
          </w:p>
        </w:tc>
      </w:tr>
    </w:tbl>
    <w:p>
      <w:pPr>
        <w:spacing w:after="80"/>
      </w:pPr>
    </w:p>
    <w:p>
      <w:pPr>
        <w:spacing w:before="0" w:after="120"/>
      </w:pPr>
      <w:r>
        <w:rPr>
          <w:rFonts w:ascii="Times New Roman" w:hAnsi="Times New Roman" w:cs="Times New Roman"/>
          <w:sz w:val="22"/>
          <w:szCs w:val="22"/>
        </w:rPr>
        <w:t xml:space="preserve">Dear Chairman / Members of the Procurement Committee,</w:t>
      </w:r>
    </w:p>
    <w:p>
      <w:pPr>
        <w:spacing w:before="0" w:after="120"/>
      </w:pPr>
      <w:r>
        <w:rPr>
          <w:rFonts w:ascii="Times New Roman" w:hAnsi="Times New Roman" w:cs="Times New Roman"/>
          <w:sz w:val="22"/>
          <w:szCs w:val="22"/>
        </w:rPr>
        <w:t xml:space="preserve">We, the Joint Venture of Platinum High Integrity Technologies Limited (Malta) as Lead Joint Venture Partner and EML Consultants PLC as Local Joint Venture Partner, are pleased to submit our Technical and Financial Proposals for the Assessment on Cybersecurity Readiness of Electricity Network and Critical Generation Facilities in Sri Lanka and Development of a Cybersecurity Audit Framework Specific to Grid Operations, SCADA and Critical Infrastructure Protection.</w:t>
      </w:r>
    </w:p>
    <w:p>
      <w:pPr>
        <w:spacing w:before="0" w:after="120"/>
      </w:pPr>
      <w:r>
        <w:rPr>
          <w:rFonts w:ascii="Times New Roman" w:hAnsi="Times New Roman" w:cs="Times New Roman"/>
          <w:sz w:val="22"/>
          <w:szCs w:val="22"/>
        </w:rPr>
        <w:t xml:space="preserve">Our Joint Venture combines internationally proven Operational Technology (OT) and Critical National Infrastructure (CNI) cybersecurity expertise — built over two decades protecting government and military-grade critical assets — with the strongest locally listed engineering consultancy in Sri Lanka, providing power-systems and SCADA engineering capability, stakeholder engagement and full local delivery support.</w:t>
      </w:r>
    </w:p>
    <w:p>
      <w:pPr>
        <w:spacing w:before="0" w:after="120"/>
      </w:pPr>
      <w:r>
        <w:rPr>
          <w:rFonts w:ascii="Times New Roman" w:hAnsi="Times New Roman" w:cs="Times New Roman"/>
          <w:sz w:val="22"/>
          <w:szCs w:val="22"/>
        </w:rPr>
        <w:t xml:space="preserve">We confirm that our proposal remains valid for 60 calendar days from the closing date of the proposal submission as per RFP stipulations, that the information provided is true and correct, and that both Joint Venture partners accept joint responsibility for the performance of the assignment.</w:t>
      </w:r>
    </w:p>
    <w:p>
      <w:pPr>
        <w:spacing w:before="0" w:after="120"/>
      </w:pPr>
      <w:r>
        <w:rPr>
          <w:rFonts w:ascii="Times New Roman" w:hAnsi="Times New Roman" w:cs="Times New Roman"/>
          <w:sz w:val="22"/>
          <w:szCs w:val="22"/>
        </w:rPr>
        <w:t xml:space="preserve">Signatories: authorised representative of Platinum High Integrity Technologies Limited (Malta); authorised representative of EML Consultants PLC. [Power of attorney / board authorisation — TBC]</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2.  Consultant's Organisation and Experience</w:t>
            </w:r>
          </w:p>
        </w:tc>
      </w:tr>
    </w:tbl>
    <w:p>
      <w:pPr>
        <w:spacing w:after="80"/>
      </w:pPr>
    </w:p>
    <w:p>
      <w:pPr>
        <w:keepNext/>
        <w:spacing w:before="160" w:after="80"/>
      </w:pPr>
      <w:r>
        <w:rPr>
          <w:rFonts w:ascii="Arial" w:hAnsi="Arial" w:cs="Arial"/>
          <w:b/>
          <w:color w:val="3494BA"/>
          <w:sz w:val="22"/>
          <w:szCs w:val="22"/>
        </w:rPr>
        <w:t xml:space="preserve">2.1  Lead JV Partner — Platinum High Integrity Technologies Limited (Malta), with Abatis Security Innovations &amp; Technologies GmbH (Switzerland)</w:t>
      </w:r>
    </w:p>
    <w:p>
      <w:pPr>
        <w:numPr>
          <w:ilvl w:val="0"/>
          <w:numId w:val="1"/>
        </w:numPr>
        <w:spacing w:before="0" w:after="60"/>
      </w:pPr>
      <w:r>
        <w:rPr>
          <w:rFonts w:ascii="Times New Roman" w:hAnsi="Times New Roman" w:cs="Times New Roman"/>
          <w:sz w:val="22"/>
          <w:szCs w:val="22"/>
        </w:rPr>
        <w:t xml:space="preserve">Abatis Security Innovations &amp; Technologies GmbH was incorporated in Switzerland in October 2004. Its founding engagement was at the request of the Swiss government: technology designed for national critical-infrastructure protection and implemented by the Swiss military.</w:t>
      </w:r>
    </w:p>
    <w:p>
      <w:pPr>
        <w:numPr>
          <w:ilvl w:val="0"/>
          <w:numId w:val="1"/>
        </w:numPr>
        <w:spacing w:before="0" w:after="60"/>
      </w:pPr>
      <w:r>
        <w:rPr>
          <w:rFonts w:ascii="Times New Roman" w:hAnsi="Times New Roman" w:cs="Times New Roman"/>
          <w:sz w:val="22"/>
          <w:szCs w:val="22"/>
        </w:rPr>
        <w:t xml:space="preserve">Over 20+ years of operation there has been no reported breach against the Abatis code and no CVE (Common Vulnerabilities and Exposures) registered against it — a record we believe is unique in the security industry.</w:t>
      </w:r>
    </w:p>
    <w:p>
      <w:pPr>
        <w:numPr>
          <w:ilvl w:val="0"/>
          <w:numId w:val="1"/>
        </w:numPr>
        <w:spacing w:before="0" w:after="60"/>
      </w:pPr>
      <w:r>
        <w:rPr>
          <w:rFonts w:ascii="Times New Roman" w:hAnsi="Times New Roman" w:cs="Times New Roman"/>
          <w:sz w:val="22"/>
          <w:szCs w:val="22"/>
        </w:rPr>
        <w:t xml:space="preserve">The Abatis approach is deterministic and rule-enforcing: attacks are stopped before they start, in nanoseconds — against an industry mean time to identify and contain a breach of approximately 270 days at an average cost of USD 4.5M (IBM, global).</w:t>
      </w:r>
    </w:p>
    <w:p>
      <w:pPr>
        <w:numPr>
          <w:ilvl w:val="0"/>
          <w:numId w:val="1"/>
        </w:numPr>
        <w:spacing w:before="0" w:after="60"/>
      </w:pPr>
      <w:r>
        <w:rPr>
          <w:rFonts w:ascii="Times New Roman" w:hAnsi="Times New Roman" w:cs="Times New Roman"/>
          <w:sz w:val="22"/>
          <w:szCs w:val="22"/>
        </w:rPr>
        <w:t xml:space="preserve">The group's portfolio spans critical national infrastructure, smart-city OT programmes in the Gulf, energy-sector engagements (including a current engagement with a Gulf national energy company), government projects in Africa and Latin America, and OEM security integration at device-manufacturing point.</w:t>
      </w:r>
    </w:p>
    <w:p>
      <w:pPr>
        <w:numPr>
          <w:ilvl w:val="0"/>
          <w:numId w:val="1"/>
        </w:numPr>
        <w:spacing w:before="0" w:after="60"/>
      </w:pPr>
      <w:r>
        <w:rPr>
          <w:rFonts w:ascii="Times New Roman" w:hAnsi="Times New Roman" w:cs="Times New Roman"/>
          <w:sz w:val="22"/>
          <w:szCs w:val="22"/>
        </w:rPr>
        <w:t xml:space="preserve">Consultancy and advisory work (governance, risk, maturity assessment, regulatory support) represents a substantial share of the group's business alongside technology licensing.</w:t>
      </w:r>
    </w:p>
    <w:p>
      <w:pPr>
        <w:numPr>
          <w:ilvl w:val="0"/>
          <w:numId w:val="1"/>
        </w:numPr>
        <w:spacing w:before="0" w:after="60"/>
      </w:pPr>
      <w:r>
        <w:rPr>
          <w:rFonts w:ascii="Times New Roman" w:hAnsi="Times New Roman" w:cs="Times New Roman"/>
          <w:sz w:val="22"/>
          <w:szCs w:val="22"/>
        </w:rPr>
        <w:t xml:space="preserve">Platinum High Integrity Technologies Limited (Malta) is the group's EU-domiciled entity and owns the commercial delivery of the Abatis capability; it therefore leads the Joint Venture, carrying the principal technical scope and specialist resources. [Insert Malta incorporation details — TBC]</w:t>
      </w:r>
    </w:p>
    <w:p>
      <w:pPr>
        <w:numPr>
          <w:ilvl w:val="0"/>
          <w:numId w:val="1"/>
        </w:numPr>
        <w:spacing w:before="0" w:after="60"/>
      </w:pPr>
      <w:r>
        <w:rPr>
          <w:rFonts w:ascii="Times New Roman" w:hAnsi="Times New Roman" w:cs="Times New Roman"/>
          <w:sz w:val="22"/>
          <w:szCs w:val="22"/>
        </w:rPr>
        <w:t xml:space="preserve">UK affiliate: Platinum High Integrity Technologies Limited, Kemp House, 152–160 City Road, London EC1V 2NX (Company No. 13674653).</w:t>
      </w:r>
    </w:p>
    <w:p>
      <w:pPr>
        <w:keepNext/>
        <w:spacing w:before="160" w:after="80"/>
      </w:pPr>
      <w:r>
        <w:rPr>
          <w:rFonts w:ascii="Arial" w:hAnsi="Arial" w:cs="Arial"/>
          <w:b/>
          <w:color w:val="3494BA"/>
          <w:sz w:val="22"/>
          <w:szCs w:val="22"/>
        </w:rPr>
        <w:t xml:space="preserve">2.2  Local JV Partner — EML Consultants PLC (Sri Lanka)</w:t>
      </w:r>
    </w:p>
    <w:p>
      <w:pPr>
        <w:numPr>
          <w:ilvl w:val="0"/>
          <w:numId w:val="1"/>
        </w:numPr>
        <w:spacing w:before="0" w:after="60"/>
      </w:pPr>
      <w:r>
        <w:rPr>
          <w:rFonts w:ascii="Times New Roman" w:hAnsi="Times New Roman" w:cs="Times New Roman"/>
          <w:sz w:val="22"/>
          <w:szCs w:val="22"/>
        </w:rPr>
        <w:t xml:space="preserve">Incorporated 1993 as EML Consultants (Pvt) Ltd — originally established with Ernst &amp; Young and DHV Netherlands; fully Sri Lankan-owned since 2003; re-registered as EML Consultants PLC (Reg. No. PQ 00240481) and listed on the Colombo Stock Exchange (name change effective 19 November 2021) — the only consultancy company listed on the CSE.</w:t>
      </w:r>
    </w:p>
    <w:p>
      <w:pPr>
        <w:numPr>
          <w:ilvl w:val="0"/>
          <w:numId w:val="1"/>
        </w:numPr>
        <w:spacing w:before="0" w:after="60"/>
      </w:pPr>
      <w:r>
        <w:rPr>
          <w:rFonts w:ascii="Times New Roman" w:hAnsi="Times New Roman" w:cs="Times New Roman"/>
          <w:sz w:val="22"/>
          <w:szCs w:val="22"/>
        </w:rPr>
        <w:t xml:space="preserve">600+ consultancy projects delivered across engineering, environment, water, irrigation, urban infrastructure, governance, institutional development and capacity building.</w:t>
      </w:r>
    </w:p>
    <w:p>
      <w:pPr>
        <w:numPr>
          <w:ilvl w:val="0"/>
          <w:numId w:val="1"/>
        </w:numPr>
        <w:spacing w:before="0" w:after="60"/>
      </w:pPr>
      <w:r>
        <w:rPr>
          <w:rFonts w:ascii="Times New Roman" w:hAnsi="Times New Roman" w:cs="Times New Roman"/>
          <w:sz w:val="22"/>
          <w:szCs w:val="22"/>
        </w:rPr>
        <w:t xml:space="preserve">ISO 9001:2015 (Certificate GISL-0009-QC) and ISO 14001:2015 (Certificate GISL-0009-EC) certified.</w:t>
      </w:r>
    </w:p>
    <w:p>
      <w:pPr>
        <w:numPr>
          <w:ilvl w:val="0"/>
          <w:numId w:val="1"/>
        </w:numPr>
        <w:spacing w:before="0" w:after="60"/>
      </w:pPr>
      <w:r>
        <w:rPr>
          <w:rFonts w:ascii="Times New Roman" w:hAnsi="Times New Roman" w:cs="Times New Roman"/>
          <w:sz w:val="22"/>
          <w:szCs w:val="22"/>
        </w:rPr>
        <w:t xml:space="preserve">International JV experience including with Niras (Netherlands) on Sri Lanka port projects; current major assignments include a hyperscale data-centre project, a 50-storey mixed development at Port City Colombo, and the Grand Hyatt Colombo project.</w:t>
      </w:r>
    </w:p>
    <w:p>
      <w:pPr>
        <w:numPr>
          <w:ilvl w:val="0"/>
          <w:numId w:val="1"/>
        </w:numPr>
        <w:spacing w:before="0" w:after="60"/>
      </w:pPr>
      <w:r>
        <w:rPr>
          <w:rFonts w:ascii="Times New Roman" w:hAnsi="Times New Roman" w:cs="Times New Roman"/>
          <w:sz w:val="22"/>
          <w:szCs w:val="22"/>
        </w:rPr>
        <w:t xml:space="preserve">Registered member of the Central Environmental Authority; member of the National Chamber of Commerce.</w:t>
      </w:r>
    </w:p>
    <w:p>
      <w:pPr>
        <w:numPr>
          <w:ilvl w:val="0"/>
          <w:numId w:val="1"/>
        </w:numPr>
        <w:spacing w:before="0" w:after="60"/>
      </w:pPr>
      <w:r>
        <w:rPr>
          <w:rFonts w:ascii="Times New Roman" w:hAnsi="Times New Roman" w:cs="Times New Roman"/>
          <w:sz w:val="22"/>
          <w:szCs w:val="22"/>
        </w:rPr>
        <w:t xml:space="preserve">Role in this assignment: local project management (Deputy Project Manager — Power Systems/SCADA Engineer), electrical engineering support, stakeholder engagement with PUCSL and the utilities, workshops and capacity-building logistics, QA/QC under its ISO 9001-certified system, administration, and physical preparation/submission of the proposal.</w:t>
      </w:r>
    </w:p>
    <w:p>
      <w:pPr>
        <w:keepNext/>
        <w:spacing w:before="160" w:after="80"/>
      </w:pPr>
      <w:r>
        <w:rPr>
          <w:rFonts w:ascii="Arial" w:hAnsi="Arial" w:cs="Arial"/>
          <w:b/>
          <w:color w:val="3494BA"/>
          <w:sz w:val="22"/>
          <w:szCs w:val="22"/>
        </w:rPr>
        <w:t xml:space="preserve">2.3  Division of Responsibilities</w:t>
      </w:r>
    </w:p>
    <w:tbl>
      <w:tblPr>
        <w:tblW w:w="10158" w:type="dxa"/>
        <w:tblLayout w:type="fixed"/>
      </w:tblPr>
      <w:tblGrid>
        <w:gridCol w:w="7158"/>
        <w:gridCol w:w="3000"/>
      </w:tblGrid>
      <w:tr>
        <w:tc>
          <w:tcPr>
            <w:tcW w:w="71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Workstream</w:t>
            </w:r>
          </w:p>
        </w:tc>
        <w:tc>
          <w:tcPr>
            <w:tcW w:w="30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Lead</w:t>
            </w:r>
          </w:p>
        </w:tc>
      </w:tr>
      <w:tr>
        <w:tc>
          <w:tcPr>
            <w:tcW w:w="7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Technical methodology, risk/threat assessment, C2M2 maturity scoring, audit framework</w:t>
            </w:r>
          </w:p>
        </w:tc>
        <w:tc>
          <w:tcPr>
            <w:tcW w:w="3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Abatis (Platinum)</w:t>
            </w:r>
          </w:p>
        </w:tc>
      </w:tr>
      <w:tr>
        <w:tc>
          <w:tcPr>
            <w:tcW w:w="7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Staffing strategy, work plan, principal technical deliverables</w:t>
            </w:r>
          </w:p>
        </w:tc>
        <w:tc>
          <w:tcPr>
            <w:tcW w:w="3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Abatis (Platinum)</w:t>
            </w:r>
          </w:p>
        </w:tc>
      </w:tr>
      <w:tr>
        <w:tc>
          <w:tcPr>
            <w:tcW w:w="7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Power systems / SCADA engineering, site &amp; field assessment support</w:t>
            </w:r>
          </w:p>
        </w:tc>
        <w:tc>
          <w:tcPr>
            <w:tcW w:w="3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EML</w:t>
            </w:r>
          </w:p>
        </w:tc>
      </w:tr>
      <w:tr>
        <w:tc>
          <w:tcPr>
            <w:tcW w:w="7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Stakeholder engagement, workshops, capacity building delivery, SOP localisation</w:t>
            </w:r>
          </w:p>
        </w:tc>
        <w:tc>
          <w:tcPr>
            <w:tcW w:w="3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EML (content by Abatis)</w:t>
            </w:r>
          </w:p>
        </w:tc>
      </w:tr>
      <w:tr>
        <w:tc>
          <w:tcPr>
            <w:tcW w:w="7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QA/QC, report coordination, administration, local logistics</w:t>
            </w:r>
          </w:p>
        </w:tc>
        <w:tc>
          <w:tcPr>
            <w:tcW w:w="3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EML</w:t>
            </w:r>
          </w:p>
        </w:tc>
      </w:tr>
      <w:tr>
        <w:tc>
          <w:tcPr>
            <w:tcW w:w="7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Proposal integration and submission in Sri Lanka</w:t>
            </w:r>
          </w:p>
        </w:tc>
        <w:tc>
          <w:tcPr>
            <w:tcW w:w="3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EML (both parties approve final documents)</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3.  Approach and Methodology — Readiness Assessment</w:t>
            </w:r>
          </w:p>
        </w:tc>
      </w:tr>
    </w:tbl>
    <w:p>
      <w:pPr>
        <w:spacing w:after="80"/>
      </w:pPr>
    </w:p>
    <w:p>
      <w:pPr>
        <w:keepNext/>
        <w:spacing w:before="160" w:after="80"/>
      </w:pPr>
      <w:r>
        <w:rPr>
          <w:rFonts w:ascii="Arial" w:hAnsi="Arial" w:cs="Arial"/>
          <w:b/>
          <w:color w:val="3494BA"/>
          <w:sz w:val="22"/>
          <w:szCs w:val="22"/>
        </w:rPr>
        <w:t xml:space="preserve">3.0  Understanding of the Project and Objectives</w:t>
      </w:r>
    </w:p>
    <w:p>
      <w:pPr>
        <w:spacing w:before="0" w:after="120"/>
      </w:pPr>
      <w:r>
        <w:rPr>
          <w:rFonts w:ascii="Times New Roman" w:hAnsi="Times New Roman" w:cs="Times New Roman"/>
          <w:sz w:val="22"/>
          <w:szCs w:val="22"/>
        </w:rPr>
        <w:t xml:space="preserve">Sri Lanka's national transmission grid and power generation infrastructure depend on tightly integrated Operational Technology (OT) and Information Technology (IT) systems — SCADA, Energy Management Systems (EMS), substation automation and specialised industrial communication protocols (e.g., DNP3, IEC 61850). PUCSL, as the statutory regulator of the electricity industry, requires both an evidence-based view of the sector's current cybersecurity readiness and a durable regulatory instrument — an audit framework — to sustain oversight. Our engagement is structured around four tasks:</w:t>
      </w:r>
    </w:p>
    <w:p>
      <w:pPr>
        <w:numPr>
          <w:ilvl w:val="0"/>
          <w:numId w:val="1"/>
        </w:numPr>
        <w:spacing w:before="0" w:after="60"/>
      </w:pPr>
      <w:r>
        <w:rPr>
          <w:rFonts w:ascii="Times New Roman" w:hAnsi="Times New Roman" w:cs="Times New Roman"/>
          <w:sz w:val="22"/>
          <w:szCs w:val="22"/>
        </w:rPr>
        <w:t xml:space="preserve">Task 1 — Cybersecurity Maturity Assessment &amp; Gap Analysis: evaluate current cyber maturity across all 10 C2M2 v2.1 domains, analyse macro-level technical risks within grid operations (SCADA/EMS, network protocols), and benchmark findings against ISO/IEC 27001, IEC 62443 and NIST CSF.</w:t>
      </w:r>
    </w:p>
    <w:p>
      <w:pPr>
        <w:numPr>
          <w:ilvl w:val="0"/>
          <w:numId w:val="1"/>
        </w:numPr>
        <w:spacing w:before="0" w:after="60"/>
      </w:pPr>
      <w:r>
        <w:rPr>
          <w:rFonts w:ascii="Times New Roman" w:hAnsi="Times New Roman" w:cs="Times New Roman"/>
          <w:sz w:val="22"/>
          <w:szCs w:val="22"/>
        </w:rPr>
        <w:t xml:space="preserve">Task 2 — Maturity Baseline &amp; Remediation Roadmap: establish a quantitative 'Point Zero' maturity profile (MIL scores), compile a defensible Evidence Ledger, and formulate a prioritised, cost-aware remediation roadmap.</w:t>
      </w:r>
    </w:p>
    <w:p>
      <w:pPr>
        <w:numPr>
          <w:ilvl w:val="0"/>
          <w:numId w:val="1"/>
        </w:numPr>
        <w:spacing w:before="0" w:after="60"/>
      </w:pPr>
      <w:r>
        <w:rPr>
          <w:rFonts w:ascii="Times New Roman" w:hAnsi="Times New Roman" w:cs="Times New Roman"/>
          <w:sz w:val="22"/>
          <w:szCs w:val="22"/>
        </w:rPr>
        <w:t xml:space="preserve">Task 3 — Cybersecurity Governance &amp; Audit Framework: define target MILs across asset classes, author a tailored compliance framework and audit &amp; verification system (with RACI matrices and standardised audit checklists), and establish a benchmarking methodology with defined KPIs.</w:t>
      </w:r>
    </w:p>
    <w:p>
      <w:pPr>
        <w:numPr>
          <w:ilvl w:val="0"/>
          <w:numId w:val="1"/>
        </w:numPr>
        <w:spacing w:before="0" w:after="60"/>
      </w:pPr>
      <w:r>
        <w:rPr>
          <w:rFonts w:ascii="Times New Roman" w:hAnsi="Times New Roman" w:cs="Times New Roman"/>
          <w:sz w:val="22"/>
          <w:szCs w:val="22"/>
        </w:rPr>
        <w:t xml:space="preserve">Task 4 — Institutional Capacity Building &amp; Operational Readiness: equip the National System Operator (NSO), the Transmission Network Operator and PUCSL with practical operational toolkits (risk registers, incident-response templates, monitoring dashboards), SOPs, regulatory compliance guides and hands-on workshops for technical and executive leadership.</w:t>
      </w:r>
    </w:p>
    <w:p>
      <w:pPr>
        <w:keepNext/>
        <w:spacing w:before="160" w:after="80"/>
      </w:pPr>
      <w:r>
        <w:rPr>
          <w:rFonts w:ascii="Arial" w:hAnsi="Arial" w:cs="Arial"/>
          <w:b/>
          <w:color w:val="3494BA"/>
          <w:sz w:val="22"/>
          <w:szCs w:val="22"/>
        </w:rPr>
        <w:t xml:space="preserve">3.1  Assessment Philosophy</w:t>
      </w:r>
    </w:p>
    <w:p>
      <w:pPr>
        <w:spacing w:before="0" w:after="120"/>
      </w:pPr>
      <w:r>
        <w:rPr>
          <w:rFonts w:ascii="Times New Roman" w:hAnsi="Times New Roman" w:cs="Times New Roman"/>
          <w:sz w:val="22"/>
          <w:szCs w:val="22"/>
        </w:rPr>
        <w:t xml:space="preserve">Documented policies and procedures do not by themselves constitute security. Our methodology explicitly tests whether processes are understood, followed and effective in practice — interviewing multiple seniority levels for the same function (operator, supervisor, manager, executive), because in our experience the gaps most often sit between the document and the day-to-day operation of the control room.</w:t>
      </w:r>
    </w:p>
    <w:p>
      <w:pPr>
        <w:keepNext/>
        <w:spacing w:before="160" w:after="80"/>
      </w:pPr>
      <w:r>
        <w:rPr>
          <w:rFonts w:ascii="Arial" w:hAnsi="Arial" w:cs="Arial"/>
          <w:b/>
          <w:color w:val="3494BA"/>
          <w:sz w:val="22"/>
          <w:szCs w:val="22"/>
        </w:rPr>
        <w:t xml:space="preserve">3.2  Phased Methodology</w:t>
      </w:r>
    </w:p>
    <w:tbl>
      <w:tblPr>
        <w:tblW w:w="10158" w:type="dxa"/>
        <w:tblLayout w:type="fixed"/>
      </w:tblPr>
      <w:tblGrid>
        <w:gridCol w:w="2400"/>
        <w:gridCol w:w="6258"/>
        <w:gridCol w:w="1500"/>
      </w:tblGrid>
      <w:tr>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Phase</w:t>
            </w:r>
          </w:p>
        </w:tc>
        <w:tc>
          <w:tcPr>
            <w:tcW w:w="62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Scope &amp; Outputs</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Timing</w:t>
            </w:r>
          </w:p>
        </w:tc>
      </w:tr>
      <w:tr>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Phase 0 — Mobilisation &amp; Inception</w:t>
            </w:r>
          </w:p>
        </w:tc>
        <w:tc>
          <w:tcPr>
            <w:tcW w:w="62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Kick-off workshop; confirmation of scope (facilities, systems, sites [count TBC]); stakeholder map; data-request register; confidentiality arrangements and a secure artefact-collection portal provided by Abatis. Output: Inception Report.</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Weeks 1–2</w:t>
            </w:r>
          </w:p>
        </w:tc>
      </w:tr>
      <w:tr>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Phase 1 — Information Gathering</w:t>
            </w:r>
          </w:p>
        </w:tc>
        <w:tc>
          <w:tcPr>
            <w:tcW w:w="62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Desk review of security policies, SOPs, network and SCADA/EMS architectures, asset registers, remote-access arrangements, vendor contracts, incident history and prior audits — against C2M2, IEC 62443 and NIST CSF control expectations. Output: document review register; preliminary gap log.</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Weeks 2–4</w:t>
            </w:r>
          </w:p>
        </w:tc>
      </w:tr>
      <w:tr>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Phase 2 — Interviews &amp; Site Assessment</w:t>
            </w:r>
          </w:p>
        </w:tc>
        <w:tc>
          <w:tcPr>
            <w:tcW w:w="62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Structured multi-level interviews; site visits to system control centre(s), SCADA/EMS master stations, selected substations/RTU sites, critical generation facilities (DCS) and the IT/OT boundary; field control validation by EML power-systems and SCADA engineers with Abatis OT/ICS specialists.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Weeks 4–8</w:t>
            </w:r>
          </w:p>
        </w:tc>
      </w:tr>
      <w:tr>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Phase 3 — Maturity &amp; Risk Analysis</w:t>
            </w:r>
          </w:p>
        </w:tc>
        <w:tc>
          <w:tcPr>
            <w:tcW w:w="62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C2M2 v2.1 scoring across all ten domains (MIL0–MIL3, evidence-based, moderated scoring workshop, target-profile gap analysis); threat modelling aligned to MITRE ATT&amp;CK for ICS; risk assessment (likelihood × impact on safety, reliability, compliance); standards benchmark vs IEC 62443, NIST CSF 2.0, ISO/IEC 27001/27019 with NERC CIP as reference. Output: Cybersecurity Readiness Assessment Report with maturity profile, risk register and prioritised remediation roadmap.</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Weeks 8–11</w:t>
            </w:r>
          </w:p>
        </w:tc>
      </w:tr>
    </w:tbl>
    <w:p>
      <w:pPr>
        <w:spacing w:after="80"/>
      </w:pPr>
    </w:p>
    <w:p>
      <w:pPr>
        <w:keepNext/>
        <w:spacing w:before="160" w:after="80"/>
      </w:pPr>
      <w:r>
        <w:rPr>
          <w:rFonts w:ascii="Arial" w:hAnsi="Arial" w:cs="Arial"/>
          <w:b/>
          <w:color w:val="3494BA"/>
          <w:sz w:val="22"/>
          <w:szCs w:val="22"/>
        </w:rPr>
        <w:t xml:space="preserve">3.3  Why C2M2 as the Maturity Backbone</w:t>
      </w:r>
    </w:p>
    <w:p>
      <w:pPr>
        <w:spacing w:before="0" w:after="120"/>
      </w:pPr>
      <w:r>
        <w:rPr>
          <w:rFonts w:ascii="Times New Roman" w:hAnsi="Times New Roman" w:cs="Times New Roman"/>
          <w:sz w:val="22"/>
          <w:szCs w:val="22"/>
        </w:rPr>
        <w:t xml:space="preserve">C2M2 was developed by the U.S. Department of Energy specifically for the energy sector, covers both IT and OT, is free to adopt and re-run (supporting PUCSL's ongoing regulatory monitoring), and maps cleanly to NIST CSF and IEC 62443 — allowing one assessment effort to serve maturity measurement, gap analysis and audit-framework design simultaneously. Risk management activities are conducted in conformance with ISO 31000:2018.</w:t>
      </w:r>
    </w:p>
    <w:p>
      <w:pPr>
        <w:keepNext/>
        <w:spacing w:before="160" w:after="80"/>
      </w:pPr>
      <w:r>
        <w:rPr>
          <w:rFonts w:ascii="Arial" w:hAnsi="Arial" w:cs="Arial"/>
          <w:b/>
          <w:color w:val="3494BA"/>
          <w:sz w:val="22"/>
          <w:szCs w:val="22"/>
        </w:rPr>
        <w:t xml:space="preserve">3.4  In-Scope Infrastructure and Locations</w:t>
      </w:r>
    </w:p>
    <w:p>
      <w:pPr>
        <w:spacing w:before="0" w:after="120"/>
      </w:pPr>
      <w:r>
        <w:rPr>
          <w:rFonts w:ascii="Times New Roman" w:hAnsi="Times New Roman" w:cs="Times New Roman"/>
          <w:sz w:val="22"/>
          <w:szCs w:val="22"/>
        </w:rPr>
        <w:t xml:space="preserve">The assessment encompasses macro-level architectural, procedural and governance assessment across critical operational and generation infrastructure, including: [confirm against official TOR]</w:t>
      </w:r>
    </w:p>
    <w:p>
      <w:pPr>
        <w:numPr>
          <w:ilvl w:val="0"/>
          <w:numId w:val="1"/>
        </w:numPr>
        <w:spacing w:before="0" w:after="60"/>
      </w:pPr>
      <w:r>
        <w:rPr>
          <w:rFonts w:ascii="Times New Roman" w:hAnsi="Times New Roman" w:cs="Times New Roman"/>
          <w:sz w:val="22"/>
          <w:szCs w:val="22"/>
        </w:rPr>
        <w:t xml:space="preserve">National System Control Centre (NSCC);</w:t>
      </w:r>
    </w:p>
    <w:p>
      <w:pPr>
        <w:numPr>
          <w:ilvl w:val="0"/>
          <w:numId w:val="1"/>
        </w:numPr>
        <w:spacing w:before="0" w:after="60"/>
      </w:pPr>
      <w:r>
        <w:rPr>
          <w:rFonts w:ascii="Times New Roman" w:hAnsi="Times New Roman" w:cs="Times New Roman"/>
          <w:sz w:val="22"/>
          <w:szCs w:val="22"/>
        </w:rPr>
        <w:t xml:space="preserve">Lakvijaya Power Station (thermal generation);</w:t>
      </w:r>
    </w:p>
    <w:p>
      <w:pPr>
        <w:numPr>
          <w:ilvl w:val="0"/>
          <w:numId w:val="1"/>
        </w:numPr>
        <w:spacing w:before="0" w:after="60"/>
      </w:pPr>
      <w:r>
        <w:rPr>
          <w:rFonts w:ascii="Times New Roman" w:hAnsi="Times New Roman" w:cs="Times New Roman"/>
          <w:sz w:val="22"/>
          <w:szCs w:val="22"/>
        </w:rPr>
        <w:t xml:space="preserve">Victoria Power Station (hydro generation);</w:t>
      </w:r>
    </w:p>
    <w:p>
      <w:pPr>
        <w:numPr>
          <w:ilvl w:val="0"/>
          <w:numId w:val="1"/>
        </w:numPr>
        <w:spacing w:before="0" w:after="60"/>
      </w:pPr>
      <w:r>
        <w:rPr>
          <w:rFonts w:ascii="Times New Roman" w:hAnsi="Times New Roman" w:cs="Times New Roman"/>
          <w:sz w:val="22"/>
          <w:szCs w:val="22"/>
        </w:rPr>
        <w:t xml:space="preserve">Kotmale Power Station (hydro generation);</w:t>
      </w:r>
    </w:p>
    <w:p>
      <w:pPr>
        <w:numPr>
          <w:ilvl w:val="0"/>
          <w:numId w:val="1"/>
        </w:numPr>
        <w:spacing w:before="0" w:after="60"/>
      </w:pPr>
      <w:r>
        <w:rPr>
          <w:rFonts w:ascii="Times New Roman" w:hAnsi="Times New Roman" w:cs="Times New Roman"/>
          <w:sz w:val="22"/>
          <w:szCs w:val="22"/>
        </w:rPr>
        <w:t xml:space="preserve">Biyagama Grid Substation;</w:t>
      </w:r>
    </w:p>
    <w:p>
      <w:pPr>
        <w:numPr>
          <w:ilvl w:val="0"/>
          <w:numId w:val="1"/>
        </w:numPr>
        <w:spacing w:before="0" w:after="60"/>
      </w:pPr>
      <w:r>
        <w:rPr>
          <w:rFonts w:ascii="Times New Roman" w:hAnsi="Times New Roman" w:cs="Times New Roman"/>
          <w:sz w:val="22"/>
          <w:szCs w:val="22"/>
        </w:rPr>
        <w:t xml:space="preserve">selected telecommunication and data network hubs supporting power grid communications;</w:t>
      </w:r>
    </w:p>
    <w:p>
      <w:pPr>
        <w:numPr>
          <w:ilvl w:val="0"/>
          <w:numId w:val="1"/>
        </w:numPr>
        <w:spacing w:before="0" w:after="60"/>
      </w:pPr>
      <w:r>
        <w:rPr>
          <w:rFonts w:ascii="Times New Roman" w:hAnsi="Times New Roman" w:cs="Times New Roman"/>
          <w:sz w:val="22"/>
          <w:szCs w:val="22"/>
        </w:rPr>
        <w:t xml:space="preserve">IT/OT data interfaces and protocol flows between the National System Operator (NSO), the National Transmission Network Service Provider and grid-connected generation plants.</w:t>
      </w:r>
    </w:p>
    <w:p>
      <w:pPr>
        <w:keepNext/>
        <w:spacing w:before="160" w:after="80"/>
      </w:pPr>
      <w:r>
        <w:rPr>
          <w:rFonts w:ascii="Arial" w:hAnsi="Arial" w:cs="Arial"/>
          <w:b/>
          <w:color w:val="3494BA"/>
          <w:sz w:val="22"/>
          <w:szCs w:val="22"/>
        </w:rPr>
        <w:t xml:space="preserve">3.5  Explicit Exclusions and Non-Disruption Guarantees</w:t>
      </w:r>
    </w:p>
    <w:p>
      <w:pPr>
        <w:numPr>
          <w:ilvl w:val="0"/>
          <w:numId w:val="1"/>
        </w:numPr>
        <w:spacing w:before="0" w:after="60"/>
      </w:pPr>
      <w:r>
        <w:rPr>
          <w:rFonts w:ascii="Times New Roman" w:hAnsi="Times New Roman" w:cs="Times New Roman"/>
          <w:sz w:val="22"/>
          <w:szCs w:val="22"/>
        </w:rPr>
        <w:t xml:space="preserve">No active or intrusive Vulnerability Assessment / Penetration Testing (VAPT): to guarantee zero operational disruption to live generation and transmission systems, the assessment is strictly limited to capability-maturity evaluation (C2M2), architectural analysis, configuration reviews and policy auditing. Active exploits, invasive network scanning and live system stress testing are explicitly excluded.</w:t>
      </w:r>
    </w:p>
    <w:p>
      <w:pPr>
        <w:numPr>
          <w:ilvl w:val="0"/>
          <w:numId w:val="1"/>
        </w:numPr>
        <w:spacing w:before="0" w:after="60"/>
      </w:pPr>
      <w:r>
        <w:rPr>
          <w:rFonts w:ascii="Times New Roman" w:hAnsi="Times New Roman" w:cs="Times New Roman"/>
          <w:sz w:val="22"/>
          <w:szCs w:val="22"/>
        </w:rPr>
        <w:t xml:space="preserve">No direct deployment of security controls: implementation of physical or technical controls, live-environment reconfigurations or hardware modifications are excluded from this advisory phase.</w:t>
      </w:r>
    </w:p>
    <w:p>
      <w:pPr>
        <w:numPr>
          <w:ilvl w:val="0"/>
          <w:numId w:val="1"/>
        </w:numPr>
        <w:spacing w:before="0" w:after="60"/>
      </w:pPr>
      <w:r>
        <w:rPr>
          <w:rFonts w:ascii="Times New Roman" w:hAnsi="Times New Roman" w:cs="Times New Roman"/>
          <w:sz w:val="22"/>
          <w:szCs w:val="22"/>
        </w:rPr>
        <w:t xml:space="preserve">Safety and operational assurance: all assessment activities are conducted in strict compliance with site protocols and with prior written approval from PUCSL and the system operators.</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4.  Approach and Methodology — Cybersecurity Audit Framework</w:t>
            </w:r>
          </w:p>
        </w:tc>
      </w:tr>
    </w:tbl>
    <w:p>
      <w:pPr>
        <w:spacing w:after="80"/>
      </w:pPr>
    </w:p>
    <w:p>
      <w:pPr>
        <w:spacing w:before="0" w:after="120"/>
      </w:pPr>
      <w:r>
        <w:rPr>
          <w:rFonts w:ascii="Times New Roman" w:hAnsi="Times New Roman" w:cs="Times New Roman"/>
          <w:sz w:val="22"/>
          <w:szCs w:val="22"/>
        </w:rPr>
        <w:t xml:space="preserve">Phase 4 — Audit Framework Development (Weeks 10–13). A PUCSL-specific audit framework enabling the regulator to audit licensees' cybersecurity on a repeatable, defensible basis:</w:t>
      </w:r>
    </w:p>
    <w:p>
      <w:pPr>
        <w:numPr>
          <w:ilvl w:val="0"/>
          <w:numId w:val="1"/>
        </w:numPr>
        <w:spacing w:before="0" w:after="60"/>
      </w:pPr>
      <w:r>
        <w:rPr>
          <w:rFonts w:ascii="Times New Roman" w:hAnsi="Times New Roman" w:cs="Times New Roman"/>
          <w:sz w:val="22"/>
          <w:szCs w:val="22"/>
        </w:rPr>
        <w:t xml:space="preserve">Audit universe &amp; scoping model — which entities, systems and facilities are auditable, with criticality-based tiering (grid operations, SCADA/EMS, generation control, market systems).</w:t>
      </w:r>
    </w:p>
    <w:p>
      <w:pPr>
        <w:numPr>
          <w:ilvl w:val="0"/>
          <w:numId w:val="1"/>
        </w:numPr>
        <w:spacing w:before="0" w:after="60"/>
      </w:pPr>
      <w:r>
        <w:rPr>
          <w:rFonts w:ascii="Times New Roman" w:hAnsi="Times New Roman" w:cs="Times New Roman"/>
          <w:sz w:val="22"/>
          <w:szCs w:val="22"/>
        </w:rPr>
        <w:t xml:space="preserve">Control catalogue — mapped to C2M2 domains, IEC 62443 and NIST CSF, tailored to Sri Lankan grid operations.</w:t>
      </w:r>
    </w:p>
    <w:p>
      <w:pPr>
        <w:numPr>
          <w:ilvl w:val="0"/>
          <w:numId w:val="1"/>
        </w:numPr>
        <w:spacing w:before="0" w:after="60"/>
      </w:pPr>
      <w:r>
        <w:rPr>
          <w:rFonts w:ascii="Times New Roman" w:hAnsi="Times New Roman" w:cs="Times New Roman"/>
          <w:sz w:val="22"/>
          <w:szCs w:val="22"/>
        </w:rPr>
        <w:t xml:space="preserve">Audit procedures &amp; evidence requirements per control — what an auditor asks, observes, tests and collects.</w:t>
      </w:r>
    </w:p>
    <w:p>
      <w:pPr>
        <w:numPr>
          <w:ilvl w:val="0"/>
          <w:numId w:val="1"/>
        </w:numPr>
        <w:spacing w:before="0" w:after="60"/>
      </w:pPr>
      <w:r>
        <w:rPr>
          <w:rFonts w:ascii="Times New Roman" w:hAnsi="Times New Roman" w:cs="Times New Roman"/>
          <w:sz w:val="22"/>
          <w:szCs w:val="22"/>
        </w:rPr>
        <w:t xml:space="preserve">Maturity-based scoring &amp; reporting templates — consistent scoring, findings classification, and board/regulator-level reporting formats.</w:t>
      </w:r>
    </w:p>
    <w:p>
      <w:pPr>
        <w:numPr>
          <w:ilvl w:val="0"/>
          <w:numId w:val="1"/>
        </w:numPr>
        <w:spacing w:before="0" w:after="60"/>
      </w:pPr>
      <w:r>
        <w:rPr>
          <w:rFonts w:ascii="Times New Roman" w:hAnsi="Times New Roman" w:cs="Times New Roman"/>
          <w:sz w:val="22"/>
          <w:szCs w:val="22"/>
        </w:rPr>
        <w:t xml:space="preserve">Audit cycle &amp; escalation model — frequency by criticality tier, follow-up and remediation tracking, regulatory escalation.</w:t>
      </w:r>
    </w:p>
    <w:p>
      <w:pPr>
        <w:numPr>
          <w:ilvl w:val="0"/>
          <w:numId w:val="1"/>
        </w:numPr>
        <w:spacing w:before="0" w:after="60"/>
      </w:pPr>
      <w:r>
        <w:rPr>
          <w:rFonts w:ascii="Times New Roman" w:hAnsi="Times New Roman" w:cs="Times New Roman"/>
          <w:sz w:val="22"/>
          <w:szCs w:val="22"/>
        </w:rPr>
        <w:t xml:space="preserve">Auditor competency requirements — skills, training and certification expectations for PUCSL audit staff.</w:t>
      </w:r>
    </w:p>
    <w:p>
      <w:pPr>
        <w:numPr>
          <w:ilvl w:val="0"/>
          <w:numId w:val="1"/>
        </w:numPr>
        <w:spacing w:before="0" w:after="60"/>
      </w:pPr>
      <w:r>
        <w:rPr>
          <w:rFonts w:ascii="Times New Roman" w:hAnsi="Times New Roman" w:cs="Times New Roman"/>
          <w:sz w:val="22"/>
          <w:szCs w:val="22"/>
        </w:rPr>
        <w:t xml:space="preserve">RACI matrices and standardised audit checklists for every audit procedure, with target maturity indicator levels (MILs) defined per asset class.</w:t>
      </w:r>
    </w:p>
    <w:p>
      <w:pPr>
        <w:numPr>
          <w:ilvl w:val="0"/>
          <w:numId w:val="1"/>
        </w:numPr>
        <w:spacing w:before="0" w:after="60"/>
      </w:pPr>
      <w:r>
        <w:rPr>
          <w:rFonts w:ascii="Times New Roman" w:hAnsi="Times New Roman" w:cs="Times New Roman"/>
          <w:sz w:val="22"/>
          <w:szCs w:val="22"/>
        </w:rPr>
        <w:t xml:space="preserve">Benchmarking methodology with defined KPIs, enabling PUCSL to track sector-wide capability maturity over successive audit cycles.</w:t>
      </w:r>
    </w:p>
    <w:p>
      <w:pPr>
        <w:keepNext/>
        <w:spacing w:before="160" w:after="80"/>
      </w:pPr>
      <w:r>
        <w:rPr>
          <w:rFonts w:ascii="Arial" w:hAnsi="Arial" w:cs="Arial"/>
          <w:b/>
          <w:color w:val="3494BA"/>
          <w:sz w:val="22"/>
          <w:szCs w:val="22"/>
        </w:rPr>
        <w:t xml:space="preserve">4.3  SOPs &amp; Regulatory Guidance</w:t>
      </w:r>
    </w:p>
    <w:p>
      <w:pPr>
        <w:spacing w:before="0" w:after="120"/>
      </w:pPr>
      <w:r>
        <w:rPr>
          <w:rFonts w:ascii="Times New Roman" w:hAnsi="Times New Roman" w:cs="Times New Roman"/>
          <w:sz w:val="22"/>
          <w:szCs w:val="22"/>
        </w:rPr>
        <w:t xml:space="preserve">Local SOPs and regulatory guidance notes co-developed with EML, drafted to operate under current Sri Lankan law while remaining forward-compatible with anticipated national cyber/CNI legislation. [Existing PUCSL regulatory instruments — TBC from EML]</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5.  Capacity Building &amp; Knowledge Transfer</w:t>
            </w:r>
          </w:p>
        </w:tc>
      </w:tr>
    </w:tbl>
    <w:p>
      <w:pPr>
        <w:spacing w:after="80"/>
      </w:pPr>
    </w:p>
    <w:p>
      <w:pPr>
        <w:spacing w:before="0" w:after="120"/>
      </w:pPr>
      <w:r>
        <w:rPr>
          <w:rFonts w:ascii="Times New Roman" w:hAnsi="Times New Roman" w:cs="Times New Roman"/>
          <w:sz w:val="22"/>
          <w:szCs w:val="22"/>
        </w:rPr>
        <w:t xml:space="preserve">Four workshops (local delivery by EML, content by Abatis). All training materials are handed over for PUCSL's continued use. Alongside the workshops, we deliver practical operational toolkits to the NSO, the Transmission Network Operator and PUCSL: risk registers, incident-response templates, monitoring dashboards, SOPs and regulatory compliance guides.</w:t>
      </w:r>
    </w:p>
    <w:tbl>
      <w:tblPr>
        <w:tblW w:w="10158" w:type="dxa"/>
        <w:tblLayout w:type="fixed"/>
      </w:tblPr>
      <w:tblGrid>
        <w:gridCol w:w="4158"/>
        <w:gridCol w:w="6000"/>
      </w:tblGrid>
      <w:tr>
        <w:tc>
          <w:tcPr>
            <w:tcW w:w="41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Workshop</w:t>
            </w:r>
          </w:p>
        </w:tc>
        <w:tc>
          <w:tcPr>
            <w:tcW w:w="60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Purpose</w:t>
            </w:r>
          </w:p>
        </w:tc>
      </w:tr>
      <w:tr>
        <w:tc>
          <w:tcPr>
            <w:tcW w:w="4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Project Kick-off Workshop</w:t>
            </w:r>
          </w:p>
        </w:tc>
        <w:tc>
          <w:tcPr>
            <w:tcW w:w="6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Scope, expectations, data collection mobilisation.</w:t>
            </w:r>
          </w:p>
        </w:tc>
      </w:tr>
      <w:tr>
        <w:tc>
          <w:tcPr>
            <w:tcW w:w="4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Technical Findings &amp; Governance Framework Workshop</w:t>
            </w:r>
          </w:p>
        </w:tc>
        <w:tc>
          <w:tcPr>
            <w:tcW w:w="6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Validation of assessment findings and draft framework with stakeholders.</w:t>
            </w:r>
          </w:p>
        </w:tc>
      </w:tr>
      <w:tr>
        <w:tc>
          <w:tcPr>
            <w:tcW w:w="4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Knowledge Transfer Workshop</w:t>
            </w:r>
          </w:p>
        </w:tc>
        <w:tc>
          <w:tcPr>
            <w:tcW w:w="6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Auditor enablement: operating the audit framework, C2M2 re-assessment, continuous monitoring; train-the-trainer materials.</w:t>
            </w:r>
          </w:p>
        </w:tc>
      </w:tr>
      <w:tr>
        <w:tc>
          <w:tcPr>
            <w:tcW w:w="41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Executive Presentation &amp; Final Workshop</w:t>
            </w:r>
          </w:p>
        </w:tc>
        <w:tc>
          <w:tcPr>
            <w:tcW w:w="6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Leadership briefing on findings, roadmap and framework adoption.</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6.  Project Management, QA and Security of Information</w:t>
            </w:r>
          </w:p>
        </w:tc>
      </w:tr>
    </w:tbl>
    <w:p>
      <w:pPr>
        <w:spacing w:after="80"/>
      </w:pPr>
    </w:p>
    <w:p>
      <w:pPr>
        <w:numPr>
          <w:ilvl w:val="0"/>
          <w:numId w:val="1"/>
        </w:numPr>
        <w:spacing w:before="0" w:after="60"/>
      </w:pPr>
      <w:r>
        <w:rPr>
          <w:rFonts w:ascii="Times New Roman" w:hAnsi="Times New Roman" w:cs="Times New Roman"/>
          <w:sz w:val="22"/>
          <w:szCs w:val="22"/>
        </w:rPr>
        <w:t xml:space="preserve">Governance: Abatis Team Leader directs the technical programme; EML Deputy Project Manager (Power Systems/SCADA Engineer) manages local delivery; joint weekly progress reviews; both parties copied on all PUCSL correspondence.</w:t>
      </w:r>
    </w:p>
    <w:p>
      <w:pPr>
        <w:numPr>
          <w:ilvl w:val="0"/>
          <w:numId w:val="1"/>
        </w:numPr>
        <w:spacing w:before="0" w:after="60"/>
      </w:pPr>
      <w:r>
        <w:rPr>
          <w:rFonts w:ascii="Times New Roman" w:hAnsi="Times New Roman" w:cs="Times New Roman"/>
          <w:sz w:val="22"/>
          <w:szCs w:val="22"/>
        </w:rPr>
        <w:t xml:space="preserve">QA: dual assurance — Abatis technical peer review of every specialist deliverable; EML QA/QC Manager operating under its ISO 9001:2015-certified system; neither party amends the other's contribution without prior agreement.</w:t>
      </w:r>
    </w:p>
    <w:p>
      <w:pPr>
        <w:numPr>
          <w:ilvl w:val="0"/>
          <w:numId w:val="1"/>
        </w:numPr>
        <w:spacing w:before="0" w:after="60"/>
      </w:pPr>
      <w:r>
        <w:rPr>
          <w:rFonts w:ascii="Times New Roman" w:hAnsi="Times New Roman" w:cs="Times New Roman"/>
          <w:sz w:val="22"/>
          <w:szCs w:val="22"/>
        </w:rPr>
        <w:t xml:space="preserve">Information security: secure artefact-collection portal for all assessment evidence; strict confidentiality handling; in-country retention of sensitive material where required by PUCSL.</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7.  Added Value</w:t>
            </w:r>
          </w:p>
        </w:tc>
      </w:tr>
    </w:tbl>
    <w:p>
      <w:pPr>
        <w:spacing w:after="80"/>
      </w:pPr>
    </w:p>
    <w:p>
      <w:pPr>
        <w:numPr>
          <w:ilvl w:val="0"/>
          <w:numId w:val="1"/>
        </w:numPr>
        <w:spacing w:before="0" w:after="60"/>
      </w:pPr>
      <w:r>
        <w:rPr>
          <w:rFonts w:ascii="Times New Roman" w:hAnsi="Times New Roman" w:cs="Times New Roman"/>
          <w:sz w:val="22"/>
          <w:szCs w:val="22"/>
        </w:rPr>
        <w:t xml:space="preserve">Regulatory foresight: the JV can support PUCSL and the Government of Sri Lanka beyond this assignment in drafting/updating national cyber and CNI legislation, drawing on EU regulatory experience (including cyber-sovereignty regimes) and Gulf implementations (e.g., Saudi NCA-style regimes).</w:t>
      </w:r>
    </w:p>
    <w:p>
      <w:pPr>
        <w:numPr>
          <w:ilvl w:val="0"/>
          <w:numId w:val="1"/>
        </w:numPr>
        <w:spacing w:before="0" w:after="60"/>
      </w:pPr>
      <w:r>
        <w:rPr>
          <w:rFonts w:ascii="Times New Roman" w:hAnsi="Times New Roman" w:cs="Times New Roman"/>
          <w:sz w:val="22"/>
          <w:szCs w:val="22"/>
        </w:rPr>
        <w:t xml:space="preserve">Practical protective capability: uniquely among consultancies, the technical partner also builds protective technology with a 20-year zero-breach, zero-CVE record — assessment recommendations are grounded in what demonstrably works in live CNI environments.</w:t>
      </w:r>
    </w:p>
    <w:p>
      <w:pPr>
        <w:numPr>
          <w:ilvl w:val="0"/>
          <w:numId w:val="1"/>
        </w:numPr>
        <w:spacing w:before="0" w:after="60"/>
      </w:pPr>
      <w:r>
        <w:rPr>
          <w:rFonts w:ascii="Times New Roman" w:hAnsi="Times New Roman" w:cs="Times New Roman"/>
          <w:sz w:val="22"/>
          <w:szCs w:val="22"/>
        </w:rPr>
        <w:t xml:space="preserve">Long-term local presence: EML provides continuity for follow-up audits, re-assessments and capacity building.</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8.  Work Plan &amp; Staffing (Summary)</w:t>
            </w:r>
          </w:p>
        </w:tc>
      </w:tr>
    </w:tbl>
    <w:p>
      <w:pPr>
        <w:spacing w:after="80"/>
      </w:pPr>
    </w:p>
    <w:p>
      <w:pPr>
        <w:spacing w:before="0" w:after="120"/>
      </w:pPr>
      <w:r>
        <w:rPr>
          <w:rFonts w:ascii="Times New Roman" w:hAnsi="Times New Roman" w:cs="Times New Roman"/>
          <w:sz w:val="22"/>
          <w:szCs w:val="22"/>
        </w:rPr>
        <w:t xml:space="preserve">16-week programme (detail in the master response workbook — 'Work Plan' and 'Staffing &amp; Rates' sheets):</w:t>
      </w:r>
    </w:p>
    <w:p>
      <w:pPr>
        <w:numPr>
          <w:ilvl w:val="0"/>
          <w:numId w:val="1"/>
        </w:numPr>
        <w:spacing w:before="0" w:after="60"/>
      </w:pPr>
      <w:r>
        <w:rPr>
          <w:rFonts w:ascii="Times New Roman" w:hAnsi="Times New Roman" w:cs="Times New Roman"/>
          <w:sz w:val="22"/>
          <w:szCs w:val="22"/>
        </w:rPr>
        <w:t xml:space="preserve">Abatis: 200 man-days — Team Leader (60), Senior OT/ICS Specialist (60), Governance Specialist (40), IEC 62443/C2M2 Specialist (20), Training Specialist (20).</w:t>
      </w:r>
    </w:p>
    <w:p>
      <w:pPr>
        <w:numPr>
          <w:ilvl w:val="0"/>
          <w:numId w:val="1"/>
        </w:numPr>
        <w:spacing w:before="0" w:after="60"/>
      </w:pPr>
      <w:r>
        <w:rPr>
          <w:rFonts w:ascii="Times New Roman" w:hAnsi="Times New Roman" w:cs="Times New Roman"/>
          <w:sz w:val="22"/>
          <w:szCs w:val="22"/>
        </w:rPr>
        <w:t xml:space="preserve">EML: 220 man-days — DPM Power Systems/SCADA Engineer (100), Electrical Engineer (50), Stakeholder Engagement (15), QA/QC (10), Report Coordinator (15), Project Administrator (30).</w:t>
      </w:r>
    </w:p>
    <w:p>
      <w:pPr>
        <w:numPr>
          <w:ilvl w:val="0"/>
          <w:numId w:val="1"/>
        </w:numPr>
        <w:spacing w:before="0" w:after="60"/>
      </w:pPr>
      <w:r>
        <w:rPr>
          <w:rFonts w:ascii="Times New Roman" w:hAnsi="Times New Roman" w:cs="Times New Roman"/>
          <w:sz w:val="22"/>
          <w:szCs w:val="22"/>
        </w:rPr>
        <w:t xml:space="preserve">2 international missions; 20 site-days in Sri Lanka; 4 workshops.</w:t>
      </w:r>
    </w:p>
    <w:p>
      <w:pPr>
        <w:keepNext/>
        <w:spacing w:before="160" w:after="80"/>
      </w:pPr>
      <w:r>
        <w:rPr>
          <w:rFonts w:ascii="Arial" w:hAnsi="Arial" w:cs="Arial"/>
          <w:b/>
          <w:color w:val="3494BA"/>
          <w:sz w:val="22"/>
          <w:szCs w:val="22"/>
        </w:rPr>
        <w:t xml:space="preserve">Financial Summary (internal)</w:t>
      </w:r>
    </w:p>
    <w:tbl>
      <w:tblPr>
        <w:tblW w:w="10158" w:type="dxa"/>
        <w:tblLayout w:type="fixed"/>
      </w:tblPr>
      <w:tblGrid>
        <w:gridCol w:w="7658"/>
        <w:gridCol w:w="2500"/>
      </w:tblGrid>
      <w:tr>
        <w:tc>
          <w:tcPr>
            <w:tcW w:w="76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Item</w:t>
            </w:r>
          </w:p>
        </w:tc>
        <w:tc>
          <w:tcPr>
            <w:tcW w:w="2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Amount (USD)</w:t>
            </w:r>
          </w:p>
        </w:tc>
      </w:tr>
      <w:tr>
        <w:tc>
          <w:tcPr>
            <w:tcW w:w="76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Base cost (professional services, workshops, travel, administration, contingency)</w:t>
            </w:r>
          </w:p>
        </w:tc>
        <w:tc>
          <w:tcPr>
            <w:tcW w:w="2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267,425.00</w:t>
            </w:r>
          </w:p>
        </w:tc>
      </w:tr>
      <w:tr>
        <w:tc>
          <w:tcPr>
            <w:tcW w:w="76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Profit</w:t>
            </w:r>
          </w:p>
        </w:tc>
        <w:tc>
          <w:tcPr>
            <w:tcW w:w="2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80,227.50</w:t>
            </w:r>
          </w:p>
        </w:tc>
      </w:tr>
      <w:tr>
        <w:tc>
          <w:tcPr>
            <w:tcW w:w="76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Total (excl. taxes)</w:t>
            </w:r>
          </w:p>
        </w:tc>
        <w:tc>
          <w:tcPr>
            <w:tcW w:w="2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347,652.50</w:t>
            </w:r>
          </w:p>
        </w:tc>
      </w:tr>
      <w:tr>
        <w:tc>
          <w:tcPr>
            <w:tcW w:w="76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VAT @ 18%</w:t>
            </w:r>
          </w:p>
        </w:tc>
        <w:tc>
          <w:tcPr>
            <w:tcW w:w="2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[TBC]</w:t>
            </w:r>
          </w:p>
        </w:tc>
      </w:tr>
      <w:tr>
        <w:tc>
          <w:tcPr>
            <w:tcW w:w="76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SSCL</w:t>
            </w:r>
          </w:p>
        </w:tc>
        <w:tc>
          <w:tcPr>
            <w:tcW w:w="2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6,953.05</w:t>
            </w:r>
          </w:p>
        </w:tc>
      </w:tr>
      <w:tr>
        <w:tc>
          <w:tcPr>
            <w:tcW w:w="76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Grand Total</w:t>
            </w:r>
          </w:p>
        </w:tc>
        <w:tc>
          <w:tcPr>
            <w:tcW w:w="2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354,605.55</w:t>
            </w:r>
          </w:p>
        </w:tc>
      </w:tr>
    </w:tbl>
    <w:p>
      <w:pPr>
        <w:spacing w:after="80"/>
      </w:pPr>
    </w:p>
    <w:p>
      <w:pPr>
        <w:spacing w:before="0" w:after="120"/>
      </w:pPr>
      <w:r>
        <w:rPr>
          <w:rFonts w:ascii="Times New Roman" w:hAnsi="Times New Roman" w:cs="Times New Roman"/>
          <w:sz w:val="22"/>
          <w:szCs w:val="22"/>
        </w:rPr>
        <w:t xml:space="preserve">Figures mirror the master response workbook ('Financial Summary' sheet, 29 Jul 2026 revision). [Currency, VAT applicability and tax treatment for the financial forms — TBC]</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9.  Open Items Before Submission</w:t>
            </w:r>
          </w:p>
        </w:tc>
      </w:tr>
    </w:tbl>
    <w:p>
      <w:pPr>
        <w:spacing w:after="80"/>
      </w:pPr>
    </w:p>
    <w:p>
      <w:pPr>
        <w:spacing w:before="0" w:after="120"/>
      </w:pPr>
      <w:r>
        <w:rPr>
          <w:rFonts w:ascii="Times New Roman" w:hAnsi="Times New Roman" w:cs="Times New Roman"/>
          <w:sz w:val="22"/>
          <w:szCs w:val="22"/>
        </w:rPr>
        <w:t xml:space="preserve">See the master response workbook 'Outstanding Items' sheet — most critical:</w:t>
      </w:r>
    </w:p>
    <w:p>
      <w:pPr>
        <w:numPr>
          <w:ilvl w:val="0"/>
          <w:numId w:val="1"/>
        </w:numPr>
        <w:spacing w:before="0" w:after="60"/>
      </w:pPr>
      <w:r>
        <w:rPr>
          <w:rFonts w:ascii="Times New Roman" w:hAnsi="Times New Roman" w:cs="Times New Roman"/>
          <w:sz w:val="22"/>
          <w:szCs w:val="22"/>
        </w:rPr>
        <w:t xml:space="preserve">Official tender pack (EML purchasing) — this draft must be reconciled clause-by-clause against the actual TOR and forms.</w:t>
      </w:r>
    </w:p>
    <w:p>
      <w:pPr>
        <w:numPr>
          <w:ilvl w:val="0"/>
          <w:numId w:val="1"/>
        </w:numPr>
        <w:spacing w:before="0" w:after="60"/>
      </w:pPr>
      <w:r>
        <w:rPr>
          <w:rFonts w:ascii="Times New Roman" w:hAnsi="Times New Roman" w:cs="Times New Roman"/>
          <w:sz w:val="22"/>
          <w:szCs w:val="22"/>
        </w:rPr>
        <w:t xml:space="preserve">Additional forms/annexes (compliance spreadsheet in Excel?) — question already put to EML.</w:t>
      </w:r>
    </w:p>
    <w:p>
      <w:pPr>
        <w:numPr>
          <w:ilvl w:val="0"/>
          <w:numId w:val="1"/>
        </w:numPr>
        <w:spacing w:before="0" w:after="60"/>
      </w:pPr>
      <w:r>
        <w:rPr>
          <w:rFonts w:ascii="Times New Roman" w:hAnsi="Times New Roman" w:cs="Times New Roman"/>
          <w:sz w:val="22"/>
          <w:szCs w:val="22"/>
        </w:rPr>
        <w:t xml:space="preserve">Bid security requirement — unknown.</w:t>
      </w:r>
    </w:p>
    <w:p>
      <w:pPr>
        <w:numPr>
          <w:ilvl w:val="0"/>
          <w:numId w:val="1"/>
        </w:numPr>
        <w:spacing w:before="0" w:after="60"/>
      </w:pPr>
      <w:r>
        <w:rPr>
          <w:rFonts w:ascii="Times New Roman" w:hAnsi="Times New Roman" w:cs="Times New Roman"/>
          <w:sz w:val="22"/>
          <w:szCs w:val="22"/>
        </w:rPr>
        <w:t xml:space="preserve">Signed JV Letter of Intent naming Platinum Malta as Lead JV Partner.</w:t>
      </w:r>
    </w:p>
    <w:p>
      <w:pPr>
        <w:numPr>
          <w:ilvl w:val="0"/>
          <w:numId w:val="1"/>
        </w:numPr>
        <w:spacing w:before="0" w:after="60"/>
      </w:pPr>
      <w:r>
        <w:rPr>
          <w:rFonts w:ascii="Times New Roman" w:hAnsi="Times New Roman" w:cs="Times New Roman"/>
          <w:sz w:val="22"/>
          <w:szCs w:val="22"/>
        </w:rPr>
        <w:t xml:space="preserve">CVs (Abatis + EML) in tender format; academic-credential strategy agreed (EML fields degree-qualified engineers; Abatis fields MCIIS/IISP practitioners plus academically credentialed specialists as needed).</w:t>
      </w:r>
    </w:p>
    <w:sectPr>
      <w:headerReference w:type="default" r:id="rIdHdr"/>
      <w:footerReference w:type="default" r:id="rIdFtr"/>
      <w:pgSz w:w="12240" w:h="15840"/>
      <w:pgMar w:top="1100" w:right="1034" w:bottom="900" w:left="1048" w:header="334" w:footer="360" w:gutter="0"/>
    </w:sectPr>
  </w:body>
</w:document>
</file>

<file path=word/footer1.xml><?xml version="1.0" encoding="utf-8"?>
<w:ftr xmlns:w="http://schemas.openxmlformats.org/wordprocessingml/2006/main">
  <w:p>
    <w:pPr>
      <w:pBdr>
        <w:top w:val="single" w:sz="6" w:space="1" w:color="3494BA"/>
      </w:pBdr>
      <w:tabs>
        <w:tab w:val="right" w:pos="10158"/>
      </w:tabs>
      <w:spacing w:before="60" w:after="0"/>
    </w:pPr>
    <w:r>
      <w:rPr>
        <w:rFonts w:ascii="Arial" w:hAnsi="Arial"/>
        <w:b/>
        <w:sz w:val="18"/>
        <w:highlight w:val="yellow"/>
      </w:rPr>
      <w:t xml:space="preserve">COMMERCIAL IN CONFIDENCE</w:t>
    </w:r>
    <w:r>
      <w:tab/>
    </w:r>
    <w:r>
      <w:rPr>
        <w:rFonts w:ascii="Arial" w:hAnsi="Arial"/>
        <w:color w:val="7F7F7F"/>
        <w:sz w:val="18"/>
      </w:rPr>
      <w:t xml:space="preserve">P a g e  | </w:t>
    </w:r>
    <w:fldSimple w:instr=" PAGE ">
      <w:r>
        <w:rPr>
          <w:rFonts w:ascii="Arial" w:hAnsi="Arial"/>
          <w:color w:val="7F7F7F"/>
          <w:sz w:val="18"/>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158" w:type="dxa"/>
      <w:tblLayout w:type="fixed"/>
    </w:tblPr>
    <w:tblGrid>
      <w:gridCol w:w="7758"/>
      <w:gridCol w:w="2400"/>
    </w:tblGrid>
    <w:tr>
      <w:tc>
        <w:tcPr>
          <w:tcW w:w="7758" w:type="dxa"/>
          <w:vAlign w:val="bottom"/>
        </w:tcPr>
        <w:p>
          <w:pPr>
            <w:spacing w:after="20"/>
          </w:pPr>
          <w:r>
            <w:rPr>
              <w:rFonts w:ascii="Arial" w:hAnsi="Arial"/>
              <w:b/>
              <w:color w:val="1A495D"/>
              <w:sz w:val="20"/>
            </w:rPr>
            <w:t xml:space="preserve">Prevent | Protect | Prevail</w:t>
          </w:r>
        </w:p>
        <w:p>
          <w:pPr>
            <w:spacing w:after="20"/>
          </w:pPr>
          <w:r>
            <w:rPr>
              <w:rFonts w:ascii="Arial" w:hAnsi="Arial"/>
              <w:color w:val="1A495D"/>
              <w:sz w:val="18"/>
              <w:u w:val="single"/>
            </w:rPr>
            <w:t>Platinum-HIT</w:t>
          </w:r>
        </w:p>
      </w:tc>
      <w:tc>
        <w:tcPr>
          <w:tcW w:w="2400" w:type="dxa"/>
          <w:vAlign w:val="bottom"/>
        </w:tcPr>
        <w:p>
          <w:pPr>
            <w:jc w:val="right"/>
            <w:spacing w:after="20"/>
          </w:pPr>
          <w:r>
            <w:drawing>
              <wp:inline distT="0" distB="0" distL="0" distR="0">
                <wp:extent cx="1428750" cy="354648"/>
                <wp:docPr id="1" name="Platinum Logo"/>
                <a:graphic xmlns:a="http://schemas.openxmlformats.org/drawingml/2006/main">
                  <a:graphicData uri="http://schemas.openxmlformats.org/drawingml/2006/picture">
                    <pic:pic>
                      <pic:nvPicPr>
                        <pic:cNvPr id="1" name="platinum-logo.png"/>
                        <pic:cNvPicPr/>
                      </pic:nvPicPr>
                      <pic:blipFill>
                        <a:blip r:embed="rIdLogo"/>
                        <a:stretch>
                          <a:fillRect/>
                        </a:stretch>
                      </pic:blipFill>
                      <pic:spPr>
                        <a:xfrm>
                          <a:off x="0" y="0"/>
                          <a:ext cx="1428750" cy="354648"/>
                        </a:xfrm>
                        <a:prstGeom prst="rect">
                          <a:avLst/>
                        </a:prstGeom>
                      </pic:spPr>
                    </pic:pic>
                  </a:graphicData>
                </a:graphic>
              </wp:inline>
            </w:drawing>
          </w:r>
        </w:p>
      </w:tc>
    </w:tr>
  </w:tbl>
  <w:p>
    <w:pPr>
      <w:pBdr>
        <w:bottom w:val="single" w:sz="12" w:space="1" w:color="3494BA"/>
      </w:pBdr>
      <w:spacing w:after="120"/>
    </w:pPr>
  </w:p>
</w:hdr>
</file>

<file path=word/numbering.xml><?xml version="1.0" encoding="utf-8"?>
<w:numbering xmlns:w="http://schemas.openxmlformats.org/wordprocessingml/2006/main">
  <w:abstractNum w:abstractNumId="0">
    <w:lvl w:ilvl="0">
      <w:start w:val="1"/>
      <w:numFmt w:val="bullet"/>
      <w:lvlText w:val="•"/>
      <w:lvlJc w:val="left"/>
      <w:pPr>
        <w:ind w:left="480" w:hanging="240"/>
      </w:pPr>
      <w:rPr>
        <w:rFonts w:ascii="Symbol" w:hAnsi="Symbol" w:hint="default"/>
      </w:rPr>
    </w:lvl>
    <w:lvl w:ilvl="1">
      <w:start w:val="1"/>
      <w:numFmt w:val="bullet"/>
      <w:lvlText w:val="o"/>
      <w:lvlJc w:val="left"/>
      <w:pPr>
        <w:ind w:left="960" w:hanging="24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Logo" Type="http://schemas.openxmlformats.org/officeDocument/2006/relationships/image" Target="media/platinum-logo.png"/>
</Relationships>
</file>