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0158" w:type="dxa"/>
        <w:tblLayout w:type="fixed"/>
      </w:tblPr>
      <w:tblGrid>
        <w:gridCol w:w="10158"/>
      </w:tblGrid>
      <w:tr>
        <w:tc>
          <w:tcPr>
            <w:tcW w:w="10158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shd w:val="clear" w:color="auto" w:fill="1A495D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color w:val="FFFFFF"/>
                <w:sz w:val="36"/>
                <w:szCs w:val="36"/>
              </w:rPr>
              <w:t xml:space="preserve">Curriculum Vitae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Christian Rogan — Chief Technology Officer &amp; Founder, Platinum High Integrity Technologies</w:t>
            </w:r>
          </w:p>
        </w:tc>
      </w:tr>
    </w:tbl>
    <w:p>
      <w:pPr>
        <w:spacing w:after="60"/>
      </w:pPr>
    </w:p>
    <w:p>
      <w:pPr>
        <w:spacing w:before="0" w:after="160"/>
      </w:pPr>
      <w:r>
        <w:rPr>
          <w:rFonts w:ascii="Arial" w:hAnsi="Arial" w:cs="Arial"/>
          <w:i/>
          <w:color w:val="1A495D"/>
          <w:sz w:val="20"/>
          <w:szCs w:val="20"/>
        </w:rPr>
        <w:t xml:space="preserve">London, UK   |   Christian.Rogan@Platinum-HIT.com   |   +44 (0)7766 80292   |   linkedin.com/in/crogan</w:t>
      </w:r>
    </w:p>
    <w:tbl>
      <w:tblPr>
        <w:tblW w:w="10158" w:type="dxa"/>
        <w:tblLayout w:type="fixed"/>
      </w:tblPr>
      <w:tblGrid>
        <w:gridCol w:w="10158"/>
      </w:tblGrid>
      <w:tr>
        <w:tc>
          <w:tcPr>
            <w:tcW w:w="10158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shd w:val="clear" w:color="auto" w:fill="3494B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Professional Summary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Times New Roman" w:hAnsi="Times New Roman" w:cs="Times New Roman"/>
          <w:sz w:val="22"/>
          <w:szCs w:val="22"/>
        </w:rPr>
        <w:t xml:space="preserve">Accomplished technology leader and entrepreneur with 30+ years of experience in enterprise security, cloud solutions and business development. Proven track record of launching innovative security products, building high-value client relationships in regulated industries, and driving organisational growth across EMEA and Asia-Pacific. Current CTO and Founder of Platinum High Integrity Technologies, specialising in advanced anti-malware solutions for mission-critical environments.</w:t>
      </w:r>
    </w:p>
    <w:tbl>
      <w:tblPr>
        <w:tblW w:w="10158" w:type="dxa"/>
        <w:tblLayout w:type="fixed"/>
      </w:tblPr>
      <w:tblGrid>
        <w:gridCol w:w="10158"/>
      </w:tblGrid>
      <w:tr>
        <w:tc>
          <w:tcPr>
            <w:tcW w:w="10158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shd w:val="clear" w:color="auto" w:fill="3494B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Professional Experience</w:t>
            </w:r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rFonts w:ascii="Arial" w:hAnsi="Arial" w:cs="Arial"/>
          <w:b/>
          <w:color w:val="3494BA"/>
          <w:sz w:val="22"/>
          <w:szCs w:val="22"/>
        </w:rPr>
        <w:t xml:space="preserve">Chief Technology Officer &amp; Founder</w:t>
      </w:r>
    </w:p>
    <w:p>
      <w:pPr>
        <w:spacing w:before="0" w:after="60"/>
      </w:pPr>
      <w:r>
        <w:rPr>
          <w:rFonts w:ascii="Times New Roman" w:hAnsi="Times New Roman" w:cs="Times New Roman"/>
          <w:i/>
          <w:color w:val="7F7F7F"/>
          <w:sz w:val="21"/>
          <w:szCs w:val="21"/>
        </w:rPr>
        <w:t xml:space="preserve">Platinum High Integrity Technologies, London, UK  |  January 2018 – Present (8+ years)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Founded and leads a pioneering cybersecurity firm developing innovative anti-malware technology that operates without traditional signature-based, white-listing, behavioural or reputational analysis methods.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Extended protection across multiple operating systems: Red Hat Linux, Windows NT4 through current versions, embedded and virtualised environments.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Specialises in air-gapped, medical, military and SCADA environments; extends the lifecycle of legacy systems including Windows XP and Server 2003.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3494BA"/>
          <w:sz w:val="22"/>
          <w:szCs w:val="22"/>
        </w:rPr>
        <w:t xml:space="preserve">Vice President, Business Development</w:t>
      </w:r>
    </w:p>
    <w:p>
      <w:pPr>
        <w:spacing w:before="0" w:after="60"/>
      </w:pPr>
      <w:r>
        <w:rPr>
          <w:rFonts w:ascii="Times New Roman" w:hAnsi="Times New Roman" w:cs="Times New Roman"/>
          <w:i/>
          <w:color w:val="7F7F7F"/>
          <w:sz w:val="21"/>
          <w:szCs w:val="21"/>
        </w:rPr>
        <w:t xml:space="preserve">Abatis (UK) Ltd  |  February 2015 – December 2017 (2 years 11 months)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Drove market adoption of Abatis-HDF anti-malware technology across enterprise and government sectors.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Positioned novel HDF protection technology for deployment in highly specialised, compliance-heavy environments.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Expanded the customer base in regulated industries with complex security requirements.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3494BA"/>
          <w:sz w:val="22"/>
          <w:szCs w:val="22"/>
        </w:rPr>
        <w:t xml:space="preserve">Senior Account Executive, Northern EMEA</w:t>
      </w:r>
    </w:p>
    <w:p>
      <w:pPr>
        <w:spacing w:before="0" w:after="60"/>
      </w:pPr>
      <w:r>
        <w:rPr>
          <w:rFonts w:ascii="Times New Roman" w:hAnsi="Times New Roman" w:cs="Times New Roman"/>
          <w:i/>
          <w:color w:val="7F7F7F"/>
          <w:sz w:val="21"/>
          <w:szCs w:val="21"/>
        </w:rPr>
        <w:t xml:space="preserve">Intralinks, London  |  May 2014 – February 2015 (10 months)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Built new-logo enterprise-class customer relationships in Northern EMEA and UK Public Sector (G-Cloud 6).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Delivered SaaS-based secure collaboration, synchronisation and Information Rights Management solutions.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Targeted highly regulated verticals: Financial Services, Oil &amp; Gas, Logistics and Public Sector.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3494BA"/>
          <w:sz w:val="22"/>
          <w:szCs w:val="22"/>
        </w:rPr>
        <w:t xml:space="preserve">Membership &amp; Affiliates Relations Director</w:t>
      </w:r>
    </w:p>
    <w:p>
      <w:pPr>
        <w:spacing w:before="0" w:after="60"/>
      </w:pPr>
      <w:r>
        <w:rPr>
          <w:rFonts w:ascii="Times New Roman" w:hAnsi="Times New Roman" w:cs="Times New Roman"/>
          <w:i/>
          <w:color w:val="7F7F7F"/>
          <w:sz w:val="21"/>
          <w:szCs w:val="21"/>
        </w:rPr>
        <w:t xml:space="preserve">Cloud Security Alliance, UK  |  July 2012 – 2015 (2 years 7 months)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Served on the UK Chapter Management Board.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Managed membership development and strategic affiliate partnerships.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3494BA"/>
          <w:sz w:val="22"/>
          <w:szCs w:val="22"/>
        </w:rPr>
        <w:t xml:space="preserve">Account Executive</w:t>
      </w:r>
    </w:p>
    <w:p>
      <w:pPr>
        <w:spacing w:before="0" w:after="60"/>
      </w:pPr>
      <w:r>
        <w:rPr>
          <w:rFonts w:ascii="Times New Roman" w:hAnsi="Times New Roman" w:cs="Times New Roman"/>
          <w:i/>
          <w:color w:val="7F7F7F"/>
          <w:sz w:val="21"/>
          <w:szCs w:val="21"/>
        </w:rPr>
        <w:t xml:space="preserve">Trend Micro, UK  |  March 2012 – April 2014 (2 years 2 months)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Directed security solutions business development for network and virtualised environments (public, private, hybrid and community clouds).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Enabled lower-cost, higher-density secure and compliant multi-tenancy platforms for Fortune 500 and large-enterprise clients.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Led targeted threat-mitigation initiatives utilising big data, human intelligence and local sandboxes.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Executed high-value infrastructure projects and joint bids with strategic partners (VMware, VCE, Citrix).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3494BA"/>
          <w:sz w:val="22"/>
          <w:szCs w:val="22"/>
        </w:rPr>
        <w:t xml:space="preserve">Head of Security Engineering Group, GBS Security Practice</w:t>
      </w:r>
    </w:p>
    <w:p>
      <w:pPr>
        <w:spacing w:before="0" w:after="60"/>
      </w:pPr>
      <w:r>
        <w:rPr>
          <w:rFonts w:ascii="Times New Roman" w:hAnsi="Times New Roman" w:cs="Times New Roman"/>
          <w:i/>
          <w:color w:val="7F7F7F"/>
          <w:sz w:val="21"/>
          <w:szCs w:val="21"/>
        </w:rPr>
        <w:t xml:space="preserve">CSC, EMEA  |  May 2010 – March 2012 (1 year 11 months)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Designed innovative cloud security solutions aligned with corporate governance standards.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Delivered market-ready security solutions addressing emerging and future threats.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Bridged innovation and operations through GBS Security Operations.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3494BA"/>
          <w:sz w:val="22"/>
          <w:szCs w:val="22"/>
        </w:rPr>
        <w:t xml:space="preserve">Business Development Director, Security Sales</w:t>
      </w:r>
    </w:p>
    <w:p>
      <w:pPr>
        <w:spacing w:before="0" w:after="60"/>
      </w:pPr>
      <w:r>
        <w:rPr>
          <w:rFonts w:ascii="Times New Roman" w:hAnsi="Times New Roman" w:cs="Times New Roman"/>
          <w:i/>
          <w:color w:val="7F7F7F"/>
          <w:sz w:val="21"/>
          <w:szCs w:val="21"/>
        </w:rPr>
        <w:t xml:space="preserve">Alcatel-Lucent, North America  |  2008 – May 2010 (2 years 5 months)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Reported to the Head of Security Solutions, Enterprise Business Group; drove professional-services growth; launched Bell Labs innovation products across EMEA.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Achieved 105% of target within 14 months; advised on contracts exceeding $100 million.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Launched the Web Services Gateway to business partners and system integrators across EMEA.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Evangelised the EU/ITU X.805 security standard (precursor to the ISO 27000 series).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Led secure HD video-conferencing and VoIP security launches (deals exceeding $750K).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Represented Alcatel-Lucent to EURIM; lobbied Parliament on data-security policy; ran strategic workshops with BT, BAE Systems, EADS and HP/EDS.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3494BA"/>
          <w:sz w:val="22"/>
          <w:szCs w:val="22"/>
        </w:rPr>
        <w:t xml:space="preserve">Head of Public Sector, EMEA</w:t>
      </w:r>
    </w:p>
    <w:p>
      <w:pPr>
        <w:spacing w:before="0" w:after="60"/>
      </w:pPr>
      <w:r>
        <w:rPr>
          <w:rFonts w:ascii="Times New Roman" w:hAnsi="Times New Roman" w:cs="Times New Roman"/>
          <w:i/>
          <w:color w:val="7F7F7F"/>
          <w:sz w:val="21"/>
          <w:szCs w:val="21"/>
        </w:rPr>
        <w:t xml:space="preserve">MessageLabs (now Symantec.Cloud)  |  2002 – July 2007 (5 years 7 months)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Managed high-value EMEA government contracts; led bids on major opportunities.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Served as IT threat liaison to the Cabinet Office, FCO and Security Services.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Presidents Club Award winner.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3494BA"/>
          <w:sz w:val="22"/>
          <w:szCs w:val="22"/>
        </w:rPr>
        <w:t xml:space="preserve">Manager, Business Development &amp; Account Management</w:t>
      </w:r>
    </w:p>
    <w:p>
      <w:pPr>
        <w:spacing w:before="0" w:after="60"/>
      </w:pPr>
      <w:r>
        <w:rPr>
          <w:rFonts w:ascii="Times New Roman" w:hAnsi="Times New Roman" w:cs="Times New Roman"/>
          <w:i/>
          <w:color w:val="7F7F7F"/>
          <w:sz w:val="21"/>
          <w:szCs w:val="21"/>
        </w:rPr>
        <w:t xml:space="preserve">PricewaterhouseCoopers (beTRUSTed)  |  2000 – 2002 (2 years)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Managed services in IT security (PKI, Identrus, certification, T-Scheme).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Led Oil &amp; Gas and Government vertical business; managed the European Commission account (largest client).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Delivered data-centre security and PKI solutions alongside senior PwC partners.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3494BA"/>
          <w:sz w:val="22"/>
          <w:szCs w:val="22"/>
        </w:rPr>
        <w:t xml:space="preserve">Sales</w:t>
      </w:r>
    </w:p>
    <w:p>
      <w:pPr>
        <w:spacing w:before="0" w:after="60"/>
      </w:pPr>
      <w:r>
        <w:rPr>
          <w:rFonts w:ascii="Times New Roman" w:hAnsi="Times New Roman" w:cs="Times New Roman"/>
          <w:i/>
          <w:color w:val="7F7F7F"/>
          <w:sz w:val="21"/>
          <w:szCs w:val="21"/>
        </w:rPr>
        <w:t xml:space="preserve">Tenfour  |  2000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Drove business development for an SMIMEv3-compliant secure email appliance (first-to-market solution).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3494BA"/>
          <w:sz w:val="22"/>
          <w:szCs w:val="22"/>
        </w:rPr>
        <w:t xml:space="preserve">Managing Director</w:t>
      </w:r>
    </w:p>
    <w:p>
      <w:pPr>
        <w:spacing w:before="0" w:after="60"/>
      </w:pPr>
      <w:r>
        <w:rPr>
          <w:rFonts w:ascii="Times New Roman" w:hAnsi="Times New Roman" w:cs="Times New Roman"/>
          <w:i/>
          <w:color w:val="7F7F7F"/>
          <w:sz w:val="21"/>
          <w:szCs w:val="21"/>
        </w:rPr>
        <w:t xml:space="preserve">AJR International (HK) Ltd, Asia-Pacific  |  1994 – 1999 (5 years)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Established and operated Asia-Pacific operations for a boutique logistics company serving Financial Services and Manufacturing sectors.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Managed critical infrastructure projects including the Chek Lap Kok airport development.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Operated emergency medivac ferry services and daily passenger transport operations.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3494BA"/>
          <w:sz w:val="22"/>
          <w:szCs w:val="22"/>
        </w:rPr>
        <w:t xml:space="preserve">Sales Director</w:t>
      </w:r>
    </w:p>
    <w:p>
      <w:pPr>
        <w:spacing w:before="0" w:after="60"/>
      </w:pPr>
      <w:r>
        <w:rPr>
          <w:rFonts w:ascii="Times New Roman" w:hAnsi="Times New Roman" w:cs="Times New Roman"/>
          <w:i/>
          <w:color w:val="7F7F7F"/>
          <w:sz w:val="21"/>
          <w:szCs w:val="21"/>
        </w:rPr>
        <w:t xml:space="preserve">AJR International UK Ltd, UK  |  May 1985 – March 1994 (8 years 11 months)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Drove sales and business development for regional logistics operations.</w:t>
      </w:r>
    </w:p>
    <w:tbl>
      <w:tblPr>
        <w:tblW w:w="10158" w:type="dxa"/>
        <w:tblLayout w:type="fixed"/>
      </w:tblPr>
      <w:tblGrid>
        <w:gridCol w:w="10158"/>
      </w:tblGrid>
      <w:tr>
        <w:tc>
          <w:tcPr>
            <w:tcW w:w="10158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shd w:val="clear" w:color="auto" w:fill="3494B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Core Competencies</w:t>
            </w:r>
          </w:p>
        </w:tc>
      </w:tr>
    </w:tbl>
    <w:p>
      <w:pPr>
        <w:spacing w:after="80"/>
      </w:pPr>
    </w:p>
    <w:tbl>
      <w:tblPr>
        <w:tblW w:w="10158" w:type="dxa"/>
        <w:tblLayout w:type="fixed"/>
      </w:tblPr>
      <w:tblGrid>
        <w:gridCol w:w="2600"/>
        <w:gridCol w:w="7558"/>
      </w:tblGrid>
      <w:tr>
        <w:tc>
          <w:tcPr>
            <w:tcW w:w="2600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shd w:val="clear" w:color="auto" w:fill="A9D5E7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Domain</w:t>
            </w:r>
          </w:p>
        </w:tc>
        <w:tc>
          <w:tcPr>
            <w:tcW w:w="7558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shd w:val="clear" w:color="auto" w:fill="A9D5E7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Capabilities</w:t>
            </w:r>
          </w:p>
        </w:tc>
      </w:tr>
      <w:tr>
        <w:tc>
          <w:tcPr>
            <w:tcW w:w="2600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Security &amp; Technology</w:t>
            </w:r>
          </w:p>
        </w:tc>
        <w:tc>
          <w:tcPr>
            <w:tcW w:w="7558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Advanced anti-malware, cloud security, network security, virtualisation security, PKI, identity &amp; access management, IT threat intelligence, data protection, compliance &amp; governance</w:t>
            </w:r>
          </w:p>
        </w:tc>
      </w:tr>
      <w:tr>
        <w:tc>
          <w:tcPr>
            <w:tcW w:w="2600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Business</w:t>
            </w:r>
          </w:p>
        </w:tc>
        <w:tc>
          <w:tcPr>
            <w:tcW w:w="7558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Business development, enterprise sales, account management, strategic partnerships, product launch, channel development, P&amp;L management, government relations, policy advocacy</w:t>
            </w:r>
          </w:p>
        </w:tc>
      </w:tr>
      <w:tr>
        <w:tc>
          <w:tcPr>
            <w:tcW w:w="2600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Industry Expertise</w:t>
            </w:r>
          </w:p>
        </w:tc>
        <w:tc>
          <w:tcPr>
            <w:tcW w:w="7558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Financial Services, Oil &amp; Gas, Government &amp; Public Sector, Healthcare, Manufacturing, Logistics, Military, SCADA, regulated environments</w:t>
            </w:r>
          </w:p>
        </w:tc>
      </w:tr>
      <w:tr>
        <w:tc>
          <w:tcPr>
            <w:tcW w:w="2600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Leadership</w:t>
            </w:r>
          </w:p>
        </w:tc>
        <w:tc>
          <w:tcPr>
            <w:tcW w:w="7558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Founder/CTO, board participation, team building, vendor management, cross-functional collaboration</w:t>
            </w:r>
          </w:p>
        </w:tc>
      </w:tr>
    </w:tbl>
    <w:p>
      <w:pPr>
        <w:spacing w:after="80"/>
      </w:pPr>
    </w:p>
    <w:tbl>
      <w:tblPr>
        <w:tblW w:w="10158" w:type="dxa"/>
        <w:tblLayout w:type="fixed"/>
      </w:tblPr>
      <w:tblGrid>
        <w:gridCol w:w="10158"/>
      </w:tblGrid>
      <w:tr>
        <w:tc>
          <w:tcPr>
            <w:tcW w:w="10158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shd w:val="clear" w:color="auto" w:fill="3494B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Education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Times New Roman" w:hAnsi="Times New Roman" w:cs="Times New Roman"/>
          <w:sz w:val="22"/>
          <w:szCs w:val="22"/>
        </w:rPr>
        <w:t xml:space="preserve">[Educational background to be provided: degrees, institutions, graduation dates]</w:t>
      </w:r>
    </w:p>
    <w:tbl>
      <w:tblPr>
        <w:tblW w:w="10158" w:type="dxa"/>
        <w:tblLayout w:type="fixed"/>
      </w:tblPr>
      <w:tblGrid>
        <w:gridCol w:w="10158"/>
      </w:tblGrid>
      <w:tr>
        <w:tc>
          <w:tcPr>
            <w:tcW w:w="10158" w:type="dxa"/>
            <w:tcBorders>
              <w:top w:val="single" w:sz="4" w:color="3494BA"/>
              <w:left w:val="single" w:sz="4" w:color="3494BA"/>
              <w:bottom w:val="single" w:sz="4" w:color="3494BA"/>
              <w:right w:val="single" w:sz="4" w:color="3494BA"/>
            </w:tcBorders>
            <w:shd w:val="clear" w:color="auto" w:fill="3494B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Additional Information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Languages: English (native).</w:t>
      </w:r>
    </w:p>
    <w:p>
      <w:pPr>
        <w:numPr>
          <w:ilvl w:val="0"/>
          <w:numId w:val="1"/>
        </w:numPr>
        <w:spacing w:before="0" w:after="60"/>
      </w:pPr>
      <w:r>
        <w:rPr>
          <w:rFonts w:ascii="Times New Roman" w:hAnsi="Times New Roman" w:cs="Times New Roman"/>
          <w:sz w:val="22"/>
          <w:szCs w:val="22"/>
        </w:rPr>
        <w:t xml:space="preserve">Professional affiliations: Cloud Security Alliance; EURIM (European Information and Communications Policy Association); previously Fellow of the British Computer Society.</w:t>
      </w:r>
    </w:p>
    <w:p>
      <w:pPr>
        <w:spacing w:after="200"/>
      </w:pPr>
    </w:p>
    <w:p>
      <w:pPr>
        <w:spacing w:before="160" w:after="80"/>
      </w:pPr>
      <w:r>
        <w:rPr>
          <w:rFonts w:ascii="Arial" w:hAnsi="Arial" w:cs="Arial"/>
          <w:b/>
          <w:color w:val="3494BA"/>
          <w:sz w:val="22"/>
          <w:szCs w:val="22"/>
        </w:rPr>
        <w:t xml:space="preserve">Certification (TECH-6)</w:t>
      </w:r>
    </w:p>
    <w:p>
      <w:pPr>
        <w:spacing w:before="0" w:after="120"/>
      </w:pPr>
      <w:r>
        <w:rPr>
          <w:rFonts w:ascii="Times New Roman" w:hAnsi="Times New Roman" w:cs="Times New Roman"/>
          <w:sz w:val="22"/>
          <w:szCs w:val="22"/>
        </w:rPr>
        <w:t xml:space="preserve">I, the undersigned, certify that to the best of my knowledge and belief, this CV correctly describes myself, my qualifications and my experience, and I am available to undertake the assignment in case of an award.</w:t>
      </w:r>
    </w:p>
    <w:p>
      <w:pPr>
        <w:spacing w:after="200"/>
      </w:pPr>
    </w:p>
    <w:p>
      <w:pPr>
        <w:spacing w:before="0" w:after="120"/>
      </w:pPr>
      <w:r>
        <w:rPr>
          <w:rFonts w:ascii="Times New Roman" w:hAnsi="Times New Roman" w:cs="Times New Roman"/>
          <w:sz w:val="22"/>
          <w:szCs w:val="22"/>
        </w:rPr>
        <w:t xml:space="preserve">_______________________________          Date: ______________</w:t>
      </w:r>
    </w:p>
    <w:p>
      <w:pPr>
        <w:spacing w:before="0" w:after="120"/>
      </w:pPr>
      <w:r>
        <w:rPr>
          <w:rFonts w:ascii="Times New Roman" w:hAnsi="Times New Roman" w:cs="Times New Roman"/>
          <w:sz w:val="22"/>
          <w:szCs w:val="22"/>
        </w:rPr>
        <w:t xml:space="preserve">Signature of Expert — Christian Rogan</w:t>
      </w:r>
    </w:p>
    <w:p>
      <w:pPr>
        <w:spacing w:after="120"/>
      </w:pPr>
    </w:p>
    <w:p>
      <w:pPr>
        <w:spacing w:before="0" w:after="120"/>
      </w:pPr>
      <w:r>
        <w:rPr>
          <w:rFonts w:ascii="Times New Roman" w:hAnsi="Times New Roman" w:cs="Times New Roman"/>
          <w:sz w:val="22"/>
          <w:szCs w:val="22"/>
        </w:rPr>
        <w:t xml:space="preserve">_______________________________          Date: ______________</w:t>
      </w:r>
    </w:p>
    <w:p>
      <w:pPr>
        <w:spacing w:before="0" w:after="120"/>
      </w:pPr>
      <w:r>
        <w:rPr>
          <w:rFonts w:ascii="Times New Roman" w:hAnsi="Times New Roman" w:cs="Times New Roman"/>
          <w:sz w:val="22"/>
          <w:szCs w:val="22"/>
        </w:rPr>
        <w:t xml:space="preserve">Signature of Authorised Representative of the Joint Venture</w:t>
      </w:r>
    </w:p>
    <w:sectPr>
      <w:headerReference w:type="default" r:id="rIdHdr"/>
      <w:footerReference w:type="default" r:id="rIdFtr"/>
      <w:pgSz w:w="12240" w:h="15840"/>
      <w:pgMar w:top="1100" w:right="1034" w:bottom="900" w:left="1048" w:header="334" w:footer="36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1" w:color="3494BA"/>
      </w:pBdr>
      <w:tabs>
        <w:tab w:val="right" w:pos="10158"/>
      </w:tabs>
      <w:spacing w:before="60" w:after="0"/>
    </w:pPr>
    <w:r>
      <w:rPr>
        <w:rFonts w:ascii="Arial" w:hAnsi="Arial"/>
        <w:b/>
        <w:sz w:val="18"/>
        <w:highlight w:val="yellow"/>
      </w:rPr>
      <w:t xml:space="preserve">COMMERCIAL IN CONFIDENCE</w:t>
    </w:r>
    <w:r>
      <w:tab/>
    </w:r>
    <w:r>
      <w:rPr>
        <w:rFonts w:ascii="Arial" w:hAnsi="Arial"/>
        <w:color w:val="7F7F7F"/>
        <w:sz w:val="18"/>
      </w:rPr>
      <w:t xml:space="preserve">P a g e  | </w:t>
    </w:r>
    <w:fldSimple w:instr=" PAGE ">
      <w:r>
        <w:rPr>
          <w:rFonts w:ascii="Arial" w:hAnsi="Arial"/>
          <w:color w:val="7F7F7F"/>
          <w:sz w:val="18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10158" w:type="dxa"/>
      <w:tblLayout w:type="fixed"/>
    </w:tblPr>
    <w:tblGrid>
      <w:gridCol w:w="7758"/>
      <w:gridCol w:w="2400"/>
    </w:tblGrid>
    <w:tr>
      <w:tc>
        <w:tcPr>
          <w:tcW w:w="7758" w:type="dxa"/>
          <w:vAlign w:val="bottom"/>
        </w:tcPr>
        <w:p>
          <w:pPr>
            <w:spacing w:after="20"/>
          </w:pPr>
          <w:r>
            <w:rPr>
              <w:rFonts w:ascii="Arial" w:hAnsi="Arial"/>
              <w:b/>
              <w:color w:val="1A495D"/>
              <w:sz w:val="20"/>
            </w:rPr>
            <w:t xml:space="preserve">Prevent | Protect | Prevail</w:t>
          </w:r>
        </w:p>
        <w:p>
          <w:pPr>
            <w:spacing w:after="20"/>
          </w:pPr>
          <w:r>
            <w:rPr>
              <w:rFonts w:ascii="Arial" w:hAnsi="Arial"/>
              <w:color w:val="1A495D"/>
              <w:sz w:val="18"/>
              <w:u w:val="single"/>
            </w:rPr>
            <w:t>Platinum-HIT</w:t>
          </w:r>
        </w:p>
      </w:tc>
      <w:tc>
        <w:tcPr>
          <w:tcW w:w="2400" w:type="dxa"/>
          <w:vAlign w:val="bottom"/>
        </w:tcPr>
        <w:p>
          <w:pPr>
            <w:jc w:val="right"/>
            <w:spacing w:after="20"/>
          </w:pPr>
          <w:r>
            <w:drawing>
              <wp:inline distT="0" distB="0" distL="0" distR="0">
                <wp:extent cx="1428750" cy="354648"/>
                <wp:docPr id="1" name="Platinum Logo"/>
                <a:graphic xmlns:a="http://schemas.openxmlformats.org/drawingml/2006/main">
                  <a:graphicData uri="http://schemas.openxmlformats.org/drawingml/2006/picture">
                    <pic:pic>
                      <pic:nvPicPr>
                        <pic:cNvPr id="1" name="platinum-logo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354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12" w:space="1" w:color="3494BA"/>
      </w:pBdr>
      <w:spacing w:after="120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80" w:hanging="2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960" w:hanging="240"/>
      </w:pPr>
      <w:rPr>
        <w:rFonts w:ascii="Courier New" w:hAnsi="Courier New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ty" Type="http://schemas.openxmlformats.org/officeDocument/2006/relationships/styles" Target="styles.xml"/>
<Relationship Id="rIdNum" Type="http://schemas.openxmlformats.org/officeDocument/2006/relationships/numbering" Target="numbering.xml"/>
<Relationship Id="rIdHdr" Type="http://schemas.openxmlformats.org/officeDocument/2006/relationships/header" Target="header1.xml"/>
<Relationship Id="rIdFtr" Type="http://schemas.openxmlformats.org/officeDocument/2006/relationships/footer" Target="footer1.xml"/>
</Relationships>
</file>

<file path=word/_rels/header1.xml.rels><?xml version="1.0" encoding="UTF-8" standalone="yes"?>
<Relationships xmlns="http://schemas.openxmlformats.org/package/2006/relationships">
<Relationship Id="rIdLogo" Type="http://schemas.openxmlformats.org/officeDocument/2006/relationships/image" Target="media/platinum-logo.png"/>
</Relationships>
</file>