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1A495D"/>
            <w:tcMar>
              <w:top w:w="60" w:type="dxa"/>
              <w:left w:w="100" w:type="dxa"/>
              <w:bottom w:w="60" w:type="dxa"/>
              <w:right w:w="100" w:type="dxa"/>
            </w:tcMar>
            <w:vAlign w:val="top"/>
          </w:tcPr>
          <w:p>
            <w:pPr>
              <w:spacing w:before="0" w:after="60"/>
            </w:pPr>
            <w:r>
              <w:rPr>
                <w:rFonts w:ascii="Arial" w:hAnsi="Arial" w:cs="Arial"/>
                <w:b/>
                <w:color w:val="FFFFFF"/>
                <w:sz w:val="40"/>
                <w:szCs w:val="40"/>
              </w:rPr>
              <w:t xml:space="preserve">RFP Gap Analysis &amp; Compliance Mapping</w:t>
            </w:r>
          </w:p>
          <w:p>
            <w:pPr>
              <w:spacing w:before="0" w:after="0"/>
            </w:pPr>
            <w:r>
              <w:rPr>
                <w:rFonts w:ascii="Arial" w:hAnsi="Arial" w:cs="Arial"/>
                <w:b/>
                <w:color w:val="FFFFFF"/>
                <w:sz w:val="22"/>
                <w:szCs w:val="22"/>
              </w:rPr>
              <w:t xml:space="preserve">PUCSL — Assessment on Cybersecurity Readiness of Electricity Network &amp; Critical Generation Facilities in Sri Lanka and Development of a Cybersecurity Audit Framework</w:t>
            </w:r>
          </w:p>
        </w:tc>
      </w:tr>
    </w:tbl>
    <w:p>
      <w:pPr>
        <w:spacing w:after="80"/>
      </w:pPr>
    </w:p>
    <w:p>
      <w:pPr>
        <w:spacing w:before="0" w:after="60"/>
      </w:pPr>
      <w:r>
        <w:rPr>
          <w:rFonts w:ascii="Arial" w:hAnsi="Arial" w:cs="Arial"/>
          <w:i/>
          <w:color w:val="1A495D"/>
          <w:sz w:val="21"/>
          <w:szCs w:val="21"/>
        </w:rPr>
        <w:t xml:space="preserve">RFP reference: RFP-Cybersecurity-22-06-2025-revised-1  |  Selection method: QCBS  |  Deadline: 30 July 2026, 2:00 pm Sri Lanka Standard Time</w:t>
      </w:r>
    </w:p>
    <w:p>
      <w:pPr>
        <w:spacing w:before="0" w:after="120"/>
      </w:pPr>
      <w:r>
        <w:rPr>
          <w:rFonts w:ascii="Times New Roman" w:hAnsi="Times New Roman" w:cs="Times New Roman"/>
          <w:i/>
          <w:sz w:val="20"/>
          <w:szCs w:val="20"/>
        </w:rPr>
        <w:t xml:space="preserve">Documents assessed: Proposal V0.8; Master Response Workbook (rev. 29 Jul); submission checklist. Prepared 29 July 2026. Page references use the RFP's printed page labels (ITC-x, DATA-x, Forms-x, GC-x) shown in the page footers of the RFP document.</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1.  Executive Verdict</w:t>
            </w:r>
          </w:p>
        </w:tc>
      </w:tr>
    </w:tbl>
    <w:p>
      <w:pPr>
        <w:spacing w:after="80"/>
      </w:pPr>
    </w:p>
    <w:p>
      <w:pPr>
        <w:spacing w:before="0" w:after="120"/>
      </w:pPr>
      <w:r>
        <w:rPr>
          <w:rFonts w:ascii="Times New Roman" w:hAnsi="Times New Roman" w:cs="Times New Roman"/>
          <w:sz w:val="22"/>
          <w:szCs w:val="22"/>
        </w:rPr>
        <w:t xml:space="preserve">The technical core (TECH-4 methodology, C2M2/IEC 62443/NIST CSF approach, audit framework, team structure) is substantially in place in Proposal V0.8. The bid is NOT yet submission-compliant on four critical points: pricing still inside the technical document, missing audited turnover figures, no LKR pricing of local costs, and inconsistent fee totals. Structurally, the work plan must be rebuilt to the RFP's mandated 25-week / five-deliverable schedule, and the required pilot validation of the audit framework is absent from every draft. All items below are referenced to the RFP page and clause.</w:t>
      </w:r>
    </w:p>
    <w:p>
      <w:pPr>
        <w:keepNext/>
        <w:spacing w:before="160" w:after="80"/>
      </w:pPr>
      <w:r>
        <w:rPr>
          <w:rFonts w:ascii="Arial" w:hAnsi="Arial" w:cs="Arial"/>
          <w:b/>
          <w:color w:val="3494BA"/>
          <w:sz w:val="22"/>
          <w:szCs w:val="22"/>
        </w:rPr>
        <w:t xml:space="preserve">Submission sets</w:t>
      </w:r>
    </w:p>
    <w:p>
      <w:pPr>
        <w:spacing w:before="0" w:after="120"/>
      </w:pPr>
      <w:r>
        <w:rPr>
          <w:rFonts w:ascii="Times New Roman" w:hAnsi="Times New Roman" w:cs="Times New Roman"/>
          <w:sz w:val="22"/>
          <w:szCs w:val="22"/>
        </w:rPr>
        <w:t xml:space="preserve">Two sets are being prepared: an UNPRICED set (Technical Proposal: original + 2 copies + USB pen drive — must contain no pricing whatsoever) and a PRICED set (Financial Proposal: original + copies per Data Sheet 4.3). This is exactly what ITC 4.3–4.4 (pages DATA-2 to DATA-3, and ITC-6/ITC-7) requires — the compliance failure mode is any priced content leaking into the unpriced set.</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2.  Critical Gaps — fix before submission</w:t>
            </w:r>
          </w:p>
        </w:tc>
      </w:tr>
    </w:tbl>
    <w:p>
      <w:pPr>
        <w:spacing w:after="80"/>
      </w:pPr>
    </w:p>
    <w:tbl>
      <w:tblPr>
        <w:tblW w:w="10158" w:type="dxa"/>
        <w:tblLayout w:type="fixed"/>
      </w:tblPr>
      <w:tblGrid>
        <w:gridCol w:w="500"/>
        <w:gridCol w:w="2900"/>
        <w:gridCol w:w="1500"/>
        <w:gridCol w:w="2400"/>
        <w:gridCol w:w="2858"/>
      </w:tblGrid>
      <w:tr>
        <w:tc>
          <w:tcPr>
            <w:tcW w:w="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t>
            </w:r>
          </w:p>
        </w:tc>
        <w:tc>
          <w:tcPr>
            <w:tcW w:w="2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Gap / RFP requirement</w:t>
            </w:r>
          </w:p>
        </w:tc>
        <w:tc>
          <w:tcPr>
            <w:tcW w:w="1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RFP reference</w:t>
            </w:r>
          </w:p>
        </w:tc>
        <w:tc>
          <w:tcPr>
            <w:tcW w:w="24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Current state (V0.8 / Workbook)</w:t>
            </w:r>
          </w:p>
        </w:tc>
        <w:tc>
          <w:tcPr>
            <w:tcW w:w="28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Required action &amp; owner</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C1</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Pricing must not appear in the Technical Proposal. Technical and Financial Proposals go in separately sealed envelopes; financial content only in FIN-1 to FIN-5.</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ITC 4.3–4.4, pages DATA-2–DATA-3; envelope rules p. ITC-6–ITC-7; FIN forms pp. Forms-12–17</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V0.8 'Costs Table' section still contains the USD 346,500 fee table, day rates, payment terms, cost+20% expenses AND the internal warning note.</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Delete the entire Costs Table section (and internal notes) from the unpriced set. Move all pricing to FIN-1–FIN-5. Owner: Glyn/Alexander.</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C2</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TECH-2A requires exact audited annual turnover for each of the last 3 years; each year must exceed Rs. 60 million, in the prescribed table.</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FORM TECH-2, p. Forms-3</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V0.8 still shows placeholder '[Insert audited figures — must evidence ≥ Rs. 60 million per year]'.</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Enter EML's audited turnover figures (statements already in folders) into the TECH-2 table; confirm whether the Lead Partner must also evidence turnover. Owner: EML + Alexander.</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C3</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Local costs must be priced in Sri Lanka Rupees ONLY; foreign consultants' fees and air tickets may be in foreign currency. All FIN forms have separate LKR and foreign-currency columns.</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ITC 3.8, p. ITC-6; FIN-2 p. Forms-14; FIN-3 p. Forms-15; FIN-4 p. Forms-16; FIN-5 p. Forms-17</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All pricing (V0.8 and workbook) is in USD only, with no LKR/foreign split.</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Re-price the EML component (220 man-days, workshops, local travel, admin) in LKR; keep Abatis fees + international airfare in foreign currency; populate both columns of each FIN form. Owner: EML (LKR) + Chris (split).</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C4</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FIN-1 amount must exactly equal FIN-2 total; one consistent fee basis across all FIN forms.</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FIN-1 footnote 15, p. Forms-13; FIN-2 p. Forms-14</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Two competing totals: V0.8 USD 346,500 (5 × $1,100/day × 63 days) vs workbook USD 354,605.55. Workbook anomalies unresolved: 'Profit @ 15%' row actually computes 30%; VAT row blank; 'SSCL @ 2.5%' row computes 2.0%.</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Agree ONE fee; rebuild FIN-2/3/4/5 from it; fix profit/VAT/SSCL arithmetic. Note ITC 3.7 (p. ITC-6) + SCC 3.7(b) (p. SC-2): foreign consultant local tax is settled at negotiations — price accordingly. Owner: Alexander/Chris.</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3.  Structural Gaps — work plan &amp; scoring alignment</w:t>
            </w:r>
          </w:p>
        </w:tc>
      </w:tr>
    </w:tbl>
    <w:p>
      <w:pPr>
        <w:spacing w:after="80"/>
      </w:pPr>
    </w:p>
    <w:tbl>
      <w:tblPr>
        <w:tblW w:w="10158" w:type="dxa"/>
        <w:tblLayout w:type="fixed"/>
      </w:tblPr>
      <w:tblGrid>
        <w:gridCol w:w="500"/>
        <w:gridCol w:w="2900"/>
        <w:gridCol w:w="1500"/>
        <w:gridCol w:w="2400"/>
        <w:gridCol w:w="2858"/>
      </w:tblGrid>
      <w:tr>
        <w:tc>
          <w:tcPr>
            <w:tcW w:w="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t>
            </w:r>
          </w:p>
        </w:tc>
        <w:tc>
          <w:tcPr>
            <w:tcW w:w="2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Gap / RFP requirement</w:t>
            </w:r>
          </w:p>
        </w:tc>
        <w:tc>
          <w:tcPr>
            <w:tcW w:w="1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RFP reference</w:t>
            </w:r>
          </w:p>
        </w:tc>
        <w:tc>
          <w:tcPr>
            <w:tcW w:w="24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Current state (V0.8 / Workbook)</w:t>
            </w:r>
          </w:p>
        </w:tc>
        <w:tc>
          <w:tcPr>
            <w:tcW w:w="28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Required action &amp; owner</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S1</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Assignment duration is fixed at 25 weeks with five mandated deliverables and payment percentages: Inception 4 wks/10%; Interim Progress 8 wks/20%; Data Assessment &amp; Preliminary Findings 16 wks/20%; Draft Final 22 wks/30%; Final 25 wks/20%.</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TOR §6 Timelines, pp. GC-7–GC-8; §7 Duration, p. GC-9</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V0.8 work plan is a 63-day / 4-phase SRA plan with 'payment after each phase' — does not match the mandated deliverables or payment schedule.</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Rebuild the work plan and TECH-8 Gantt around the five RFP deliverables across 25 weeks; align payment expectations to 10/20/20/30/20.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S2</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Pilot validation of the audit framework is REQUIRED: pilot on selected transmission/grid systems, evaluate lessons learned, refine framework, and hand the TNO internal-audit guidelines, checklists, tools and matrices.</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TOR Scope §(e) Implementation Support and Validation, p. GC-5</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Absent from V0.8, the branded proposal and the workbook — in every draft to date.</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Add a pilot-validation activity to TECH-4 methodology and the work plan (between framework drafting and finalisation). TECH-4 carries 35 of 100 points.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S3</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TECH-8 activities must be the deliverables identified under subsection D of the TOR, and FIN-5 activity names must be the same as TECH-8 (footnote 20).</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TECH-8 p. Forms-11 (footnote 13); FIN-5 p. Forms-17 (footnote 20); Deliverables Schedule pp. GC-8–GC-9</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Phase names in V0.8 (Planning / Information Gathering / Risk Assessment / Final Report) do not match the RFP deliverables.</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Rename work-plan activities to the RFP's deliverables; price FIN-5 by those same activities, separating remuneration from expenses per activity. Owner: Glyn + Chris.</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S4</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The RFP names 14 sub-deliverables evaluators will look for: C2M2 Maturity Assessment Report; Technical Vulnerability &amp; Gap Analysis Report; International Standards Alignment Matrix; Maturity Profile &amp; Executive Dashboard; Verified Evidence Ledger; Remediation Roadmap; Policy &amp; Standards Manual; Audit Program &amp; RACI Matrix; Performance Metrics &amp; Re-assessment Protocol; Operational Toolkit Package; SOPs; Regulatory Compliance Sustainability Guide; Knowledge Transfer &amp; Training Report.</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Deliverables Schedule, pp. GC-8–GC-9</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Content exists across V0.8 sections but the deliverables are not named as titled outputs.</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List all 14 by their RFP titles in TECH-4/TECH-8 so evaluators can tick each one.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S5</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Only three key positions are scored, with expected man-days: Team Leader 30 MD (15 pts); Cybersecurity Specialist/Analyst 60 MD (10 pts); Power Systems/SCADA Engineer 50 MD (10 pts). Total staff criterion 35 pts.</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Sheet ITC 5.2 (iii), pp. DATA-3–DATA-4</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Current loading (TL 60 MD; 315 person-days total; USD 346.5k/354.6k) is more than double the RFP's expected key-staff effort of 140 MD — this inflates price against the lowest-price formula Sf = 100 × Fm/F (20% weight).</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Deliberate pricing decision needed: align visible key-staff man-days closer to RFP expectations; carry additional effort in supporting roles if retained. Owner: Alexander/Chris/Jeewaka.</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S6</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Team Leader scoring: relevant Bachelor's (2) + relevant Postgraduate degree (3) + PM experience (max 5) + leadership (max 3) + certifications (2); minimum 10 years managing similar projects. Specialist and SCADA engineer have their own mark schemes incl. OT/ICS, IEC 62443/C2M2 and power-sector experience.</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Sheet ITC 5.2 (iii), pp. DATA-3–DATA-4</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Nominees confirmed per user (CVs in folders) — but confirm the nominated TL holds a postgraduate degree (3 marks) and each CV evidences the exact mark-scheme items. Christian Rogan's CV has an empty Education section.</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Cross-check each nominated CV against the mark scheme line-by-line; complete missing education/certification entries before signing. Owner: Debbie/Glyn.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S7</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CVs must follow the prescribed TECH-6 form: position, firm, name, date of birth, nationality, education, professional memberships, other qualifications, languages with proficiency, employment record, and the certification signed by expert AND authorised representative. One candidate per position.</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FORM TECH-6, p. Forms-9</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CVs collected; branded CV format created — but the prescribed TECH-6 form fields (DOB, nationality, language proficiency, employment record) are mandatory.</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Present CVs in TECH-6 form structure (branded layout optional around it); obtain both signatures on each. Owner: Debbie.</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S8</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TECH-7 Staffing Schedule: bar chart per named expert showing office vs field input separately, subtotals for National and Foreign staff, and staff-month totals (footnote 11: office and field indicated separately).</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FORM TECH-7, p. Forms-10</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Not yet produced (workbook has man-days by role but no office/field or national/foreign bar chart in staff-months).</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Build TECH-7 from the Team Composition table: convert man-days to staff-months, split office/field and National (EML)/Foreign (Abatis). Owner: Chris (I can generate this).</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4.  Minor Gaps &amp; Cleanup</w:t>
            </w:r>
          </w:p>
        </w:tc>
      </w:tr>
    </w:tbl>
    <w:p>
      <w:pPr>
        <w:spacing w:after="80"/>
      </w:pPr>
    </w:p>
    <w:tbl>
      <w:tblPr>
        <w:tblW w:w="10158" w:type="dxa"/>
        <w:tblLayout w:type="fixed"/>
      </w:tblPr>
      <w:tblGrid>
        <w:gridCol w:w="500"/>
        <w:gridCol w:w="2900"/>
        <w:gridCol w:w="1500"/>
        <w:gridCol w:w="2400"/>
        <w:gridCol w:w="2858"/>
      </w:tblGrid>
      <w:tr>
        <w:tc>
          <w:tcPr>
            <w:tcW w:w="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t>
            </w:r>
          </w:p>
        </w:tc>
        <w:tc>
          <w:tcPr>
            <w:tcW w:w="2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Gap / RFP requirement</w:t>
            </w:r>
          </w:p>
        </w:tc>
        <w:tc>
          <w:tcPr>
            <w:tcW w:w="1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RFP reference</w:t>
            </w:r>
          </w:p>
        </w:tc>
        <w:tc>
          <w:tcPr>
            <w:tcW w:w="24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Current state (V0.8 / Workbook)</w:t>
            </w:r>
          </w:p>
        </w:tc>
        <w:tc>
          <w:tcPr>
            <w:tcW w:w="28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Required action &amp; owner</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M1</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TECH-3 Part B: comments on Counterpart Staff and Facilities. Data Sheet 1.2: Client provides 'access to information and documents available with the Commission, office space'.</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FORM TECH-3B, p. Forms-6; Data Sheet ITC 1.2, p. DATA-1</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V0.8 TECH-3 covers TOR comments only; no Part B response.</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Add a short Part B: acknowledge Client inputs; state required counterpart staff, document access, site permissions and review turnaround assumptions.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M2</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NDA required before commencement; no sharing/export of SCADA/EMS data without written approval; Client owns all data; certified return and destruction on completion.</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TOR §5 (i)–(vi), pp. GC-6–GC-7</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QA &amp; Information Security section covers confidentiality generally but does not state these specific commitments.</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Add explicit commitments (NDA, no-export, data ownership, certified destruction) to the QA &amp; Information Security section — one paragraph.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M3</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Copies: Data Sheet 4.3 reads 'the original Technical and Financial proposal and 2 copies of the Technical Proposal, Financial Proposal' + USB pen drive of the Technical Proposal.</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Sheet ITC 4.3, p. DATA-2</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Internal checklist assumed 1 original Financial only.</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Prepare original + 2 copies of BOTH proposals (ambiguity is cheap to insure against); USB carries Technical only. Owner: EML (printing/packaging).</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M4</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Envelope markings: consultancy name top-left on each envelope; 'original'/'copy' marked; Financial envelope warns 'DO NOT OPEN WITH THE TECHNICAL PROPOSAL'; outer envelope bears address, reference/title and 'DO NOT OPEN, EXCEPT IN PRESENCE OF THE OFFICIAL APPOINTED, BEFORE 2.00 pm (SLST) on 30th July 2026'.</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Sheet ITC 4.4, pp. DATA-2–DATA-3</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Not yet reflected in the packaging plan.</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Add exact markings to the submission-control checklist; EML executes locally. Owner: EML.</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M5</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Proposal validity is 60 days from closing date.</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Sheet ITC 1.3, p. DATA-1</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V0.8 note says 'prices will be held for 90 days' — inconsistent (60 appears elsewhere).</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Standardise on 60 days everywhere.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M6</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Residual drafting issues in V0.8.</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Liaison email still '&lt;&lt;TBA&gt;&gt;'; 'detailed schedules to be agreed upon contract award' conflicts with the mandated 25-week schedule; verify the version block (was still 0.1 in recent drafts).</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Name the Project Manager contact; replace weak schedule language; correct version block.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M7</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Training is NOT a specific component per Data Sheet 3.4(g) ('No') — no separate training methodology/staffing form element required, though TOR Task 4.4 still requires workshops and knowledge transfer.</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Sheet ITC 3.4(g), p. DATA-1; TOR Task 4.4, p. GC-4</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Capacity-building content present (fine).</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No action — keep workshops under Task 4.4; do not add a separate training staffing annex. Owner: —</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5.  Evaluation Scoring Map (how the 100 points are won)</w:t>
            </w:r>
          </w:p>
        </w:tc>
      </w:tr>
    </w:tbl>
    <w:p>
      <w:pPr>
        <w:spacing w:after="80"/>
      </w:pPr>
    </w:p>
    <w:tbl>
      <w:tblPr>
        <w:tblW w:w="10158" w:type="dxa"/>
        <w:tblLayout w:type="fixed"/>
      </w:tblPr>
      <w:tblGrid>
        <w:gridCol w:w="4300"/>
        <w:gridCol w:w="900"/>
        <w:gridCol w:w="1900"/>
        <w:gridCol w:w="3058"/>
      </w:tblGrid>
      <w:tr>
        <w:tc>
          <w:tcPr>
            <w:tcW w:w="43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Criterion</w:t>
            </w:r>
          </w:p>
        </w:tc>
        <w:tc>
          <w:tcPr>
            <w:tcW w:w="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Points</w:t>
            </w:r>
          </w:p>
        </w:tc>
        <w:tc>
          <w:tcPr>
            <w:tcW w:w="1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RFP reference</w:t>
            </w:r>
          </w:p>
        </w:tc>
        <w:tc>
          <w:tcPr>
            <w:tcW w:w="30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Where we answer it</w:t>
            </w:r>
          </w:p>
        </w:tc>
      </w:tr>
      <w:tr>
        <w:tc>
          <w:tcPr>
            <w:tcW w:w="43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 Specific experience of the consultants relevant to the assignment</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15</w:t>
            </w:r>
          </w:p>
        </w:tc>
        <w:tc>
          <w:tcPr>
            <w:tcW w:w="1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Sheet ITC 5.2, p. DATA-3</w:t>
            </w:r>
          </w:p>
        </w:tc>
        <w:tc>
          <w:tcPr>
            <w:tcW w:w="30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TECH-2B reference sheets — prioritise OT/ICS, SCADA, energy, CNI, audit-framework assignments with values, durations, staff-months</w:t>
            </w:r>
          </w:p>
        </w:tc>
      </w:tr>
      <w:tr>
        <w:tc>
          <w:tcPr>
            <w:tcW w:w="43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(ii)a Technical approach &amp; methodology</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35</w:t>
            </w:r>
          </w:p>
        </w:tc>
        <w:tc>
          <w:tcPr>
            <w:tcW w:w="1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DATA-3</w:t>
            </w:r>
          </w:p>
        </w:tc>
        <w:tc>
          <w:tcPr>
            <w:tcW w:w="30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TECH-4 — C2M2 v2.1 process, gap analysis, standards benchmark, governance &amp; audit framework, PILOT VALIDATION (currently missing), non-intrusion approach</w:t>
            </w:r>
          </w:p>
        </w:tc>
      </w:tr>
      <w:tr>
        <w:tc>
          <w:tcPr>
            <w:tcW w:w="43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(ii)b Work plan</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10</w:t>
            </w:r>
          </w:p>
        </w:tc>
        <w:tc>
          <w:tcPr>
            <w:tcW w:w="1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DATA-3</w:t>
            </w:r>
          </w:p>
        </w:tc>
        <w:tc>
          <w:tcPr>
            <w:tcW w:w="30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TECH-8 — 25-week Gantt with the 5 mandated deliverables + 14 named sub-deliverables</w:t>
            </w:r>
          </w:p>
        </w:tc>
      </w:tr>
      <w:tr>
        <w:tc>
          <w:tcPr>
            <w:tcW w:w="43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(ii)c Organisation &amp; staffing</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5</w:t>
            </w:r>
          </w:p>
        </w:tc>
        <w:tc>
          <w:tcPr>
            <w:tcW w:w="1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DATA-3</w:t>
            </w:r>
          </w:p>
        </w:tc>
        <w:tc>
          <w:tcPr>
            <w:tcW w:w="30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TECH-4 organisation + TECH-5/TECH-7</w:t>
            </w:r>
          </w:p>
        </w:tc>
      </w:tr>
      <w:tr>
        <w:tc>
          <w:tcPr>
            <w:tcW w:w="43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(iii)a Team Leader (30 MD expected; min 10 yrs)</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15</w:t>
            </w:r>
          </w:p>
        </w:tc>
        <w:tc>
          <w:tcPr>
            <w:tcW w:w="1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pp. DATA-3–DATA-4</w:t>
            </w:r>
          </w:p>
        </w:tc>
        <w:tc>
          <w:tcPr>
            <w:tcW w:w="30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TECH-6 CV — Bachelor's 2 + Postgraduate 3 + PM experience 5 + leadership 3 + certifications 2</w:t>
            </w:r>
          </w:p>
        </w:tc>
      </w:tr>
      <w:tr>
        <w:tc>
          <w:tcPr>
            <w:tcW w:w="43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(iii)b Cybersecurity Specialist/Analyst (60 MD; min 5 yrs)</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10</w:t>
            </w:r>
          </w:p>
        </w:tc>
        <w:tc>
          <w:tcPr>
            <w:tcW w:w="1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DATA-4</w:t>
            </w:r>
          </w:p>
        </w:tc>
        <w:tc>
          <w:tcPr>
            <w:tcW w:w="30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TECH-6 CV — degree 2 + OT/ICS 2 + IEC 62443/C2M2 2 + power-sector CNI 2 + certifications 2</w:t>
            </w:r>
          </w:p>
        </w:tc>
      </w:tr>
      <w:tr>
        <w:tc>
          <w:tcPr>
            <w:tcW w:w="43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(iii)c Power Systems/SCADA Engineer (50 MD)</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10</w:t>
            </w:r>
          </w:p>
        </w:tc>
        <w:tc>
          <w:tcPr>
            <w:tcW w:w="1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DATA-4</w:t>
            </w:r>
          </w:p>
        </w:tc>
        <w:tc>
          <w:tcPr>
            <w:tcW w:w="30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TECH-6 CV (EML nominee) — degree 2 + power/grid ops 3 + SCADA/EMS integration 5</w:t>
            </w:r>
          </w:p>
        </w:tc>
      </w:tr>
      <w:tr>
        <w:tc>
          <w:tcPr>
            <w:tcW w:w="43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Minimum technical score to qualify</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70</w:t>
            </w:r>
          </w:p>
        </w:tc>
        <w:tc>
          <w:tcPr>
            <w:tcW w:w="1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DATA-4</w:t>
            </w:r>
          </w:p>
        </w:tc>
        <w:tc>
          <w:tcPr>
            <w:tcW w:w="30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t>
            </w:r>
          </w:p>
        </w:tc>
      </w:tr>
      <w:tr>
        <w:tc>
          <w:tcPr>
            <w:tcW w:w="43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Weighting: Technical 80% / Financial 20%; Sf = 100 × Fm/F (lowest price scores 100)</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t>
            </w:r>
          </w:p>
        </w:tc>
        <w:tc>
          <w:tcPr>
            <w:tcW w:w="1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ITC 5.7, p. DATA-4</w:t>
            </w:r>
          </w:p>
        </w:tc>
        <w:tc>
          <w:tcPr>
            <w:tcW w:w="30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Financial proposal — price competitiveness matters despite 80/20</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6.  RFP-Mandated Deliverables &amp; Payment Schedule (rebuild TECH-8 / FIN-5 on this)</w:t>
            </w:r>
          </w:p>
        </w:tc>
      </w:tr>
    </w:tbl>
    <w:p>
      <w:pPr>
        <w:spacing w:after="80"/>
      </w:pPr>
    </w:p>
    <w:tbl>
      <w:tblPr>
        <w:tblW w:w="10158" w:type="dxa"/>
        <w:tblLayout w:type="fixed"/>
      </w:tblPr>
      <w:tblGrid>
        <w:gridCol w:w="600"/>
        <w:gridCol w:w="5758"/>
        <w:gridCol w:w="2000"/>
        <w:gridCol w:w="1800"/>
      </w:tblGrid>
      <w:tr>
        <w:tc>
          <w:tcPr>
            <w:tcW w:w="6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t>
            </w:r>
          </w:p>
        </w:tc>
        <w:tc>
          <w:tcPr>
            <w:tcW w:w="57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Deliverable</w:t>
            </w:r>
          </w:p>
        </w:tc>
        <w:tc>
          <w:tcPr>
            <w:tcW w:w="20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Due</w:t>
            </w:r>
          </w:p>
        </w:tc>
        <w:tc>
          <w:tcPr>
            <w:tcW w:w="18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Payment</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Inception Report (methodology, work plan, data requirements)</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4 weeks from contract</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10%</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Interim Progress Report</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8 weeks</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20%</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3</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Assessment and Preliminary Findings Report</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16 weeks</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20%</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4</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Draft Final Report</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22 weeks</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30%</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5</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Final Report</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25 weeks</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20%</w:t>
            </w:r>
          </w:p>
        </w:tc>
      </w:tr>
    </w:tbl>
    <w:p>
      <w:pPr>
        <w:spacing w:after="80"/>
      </w:pPr>
    </w:p>
    <w:p>
      <w:pPr>
        <w:spacing w:before="0" w:after="120"/>
      </w:pPr>
      <w:r>
        <w:rPr>
          <w:rFonts w:ascii="Times New Roman" w:hAnsi="Times New Roman" w:cs="Times New Roman"/>
          <w:sz w:val="22"/>
          <w:szCs w:val="22"/>
        </w:rPr>
        <w:t xml:space="preserve">Source: TOR §6, pp. GC-7–GC-8; duration 25 weeks, TOR §7, p. GC-9. The 14 titled sub-deliverables (Deliverables Schedule, pp. GC-8–GC-9) sit beneath these five milestones: Task 1 — C2M2 Maturity Assessment Report; Technical Vulnerability &amp; Gap Analysis Report; International Standards Alignment Matrix. Task 2 — Maturity Profile &amp; Executive Dashboard; Verified Evidence Ledger; Cybersecurity Remediation Roadmap. Task 3 — Cybersecurity Policy &amp; Standards Manual; Audit Program &amp; RACI Matrix; Performance Metrics &amp; Re-assessment Protocol. Task 4 — Operational Toolkit Package; SOPs; Regulatory Compliance Sustainability Guide; Knowledge Transfer &amp; Training Report.</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7.  Items Resolved by the RFP (close these in the tracker)</w:t>
            </w:r>
          </w:p>
        </w:tc>
      </w:tr>
    </w:tbl>
    <w:p>
      <w:pPr>
        <w:spacing w:after="80"/>
      </w:pPr>
    </w:p>
    <w:p>
      <w:pPr>
        <w:numPr>
          <w:ilvl w:val="0"/>
          <w:numId w:val="1"/>
        </w:numPr>
        <w:spacing w:before="0" w:after="60"/>
      </w:pPr>
      <w:r>
        <w:rPr>
          <w:rFonts w:ascii="Times New Roman" w:hAnsi="Times New Roman" w:cs="Times New Roman"/>
          <w:sz w:val="22"/>
          <w:szCs w:val="22"/>
        </w:rPr>
        <w:t xml:space="preserve">Bid security: NO bid security or bid declaration requirement appears anywhere in the Data Sheet or ITC — close checklist item 13 as 'Not required'. (An Advance Payment Bank Guarantee form exists at p. SC-6 but applies only after contract award.)</w:t>
      </w:r>
    </w:p>
    <w:p>
      <w:pPr>
        <w:numPr>
          <w:ilvl w:val="0"/>
          <w:numId w:val="1"/>
        </w:numPr>
        <w:spacing w:before="0" w:after="60"/>
      </w:pPr>
      <w:r>
        <w:rPr>
          <w:rFonts w:ascii="Times New Roman" w:hAnsi="Times New Roman" w:cs="Times New Roman"/>
          <w:sz w:val="22"/>
          <w:szCs w:val="22"/>
        </w:rPr>
        <w:t xml:space="preserve">Proposal validity: confirmed 60 days from closing date (Data Sheet ITC 1.3, p. DATA-1).</w:t>
      </w:r>
    </w:p>
    <w:p>
      <w:pPr>
        <w:numPr>
          <w:ilvl w:val="0"/>
          <w:numId w:val="1"/>
        </w:numPr>
        <w:spacing w:before="0" w:after="60"/>
      </w:pPr>
      <w:r>
        <w:rPr>
          <w:rFonts w:ascii="Times New Roman" w:hAnsi="Times New Roman" w:cs="Times New Roman"/>
          <w:sz w:val="22"/>
          <w:szCs w:val="22"/>
        </w:rPr>
        <w:t xml:space="preserve">Deadline, address and opening: 30 July 2026, 2:00 pm SLST at PUCSL, 6th Floor, BOC Merchant Tower, No. 28, St. Michael's Road, Colombo 3; technical opening same day/time (ITC 4.5/4.6, p. DATA-3).</w:t>
      </w:r>
    </w:p>
    <w:p>
      <w:pPr>
        <w:numPr>
          <w:ilvl w:val="0"/>
          <w:numId w:val="1"/>
        </w:numPr>
        <w:spacing w:before="0" w:after="60"/>
      </w:pPr>
      <w:r>
        <w:rPr>
          <w:rFonts w:ascii="Times New Roman" w:hAnsi="Times New Roman" w:cs="Times New Roman"/>
          <w:sz w:val="22"/>
          <w:szCs w:val="22"/>
        </w:rPr>
        <w:t xml:space="preserve">In-scope facilities list matches V0.8: NSCC, Lakvijaya, Victoria, Kotmale, Biyagama, selected telecom/data hubs, NSO/TNSP/generation interfaces (TOR §a, p. GC-4).</w:t>
      </w:r>
    </w:p>
    <w:p>
      <w:pPr>
        <w:numPr>
          <w:ilvl w:val="0"/>
          <w:numId w:val="1"/>
        </w:numPr>
        <w:spacing w:before="0" w:after="60"/>
      </w:pPr>
      <w:r>
        <w:rPr>
          <w:rFonts w:ascii="Times New Roman" w:hAnsi="Times New Roman" w:cs="Times New Roman"/>
          <w:sz w:val="22"/>
          <w:szCs w:val="22"/>
        </w:rPr>
        <w:t xml:space="preserve">Non-intrusive scope confirmed: strictly C2M2 maturity assessment, no VAPT/scanning/exploits (TOR Technical Scope, p. GC-4) — V0.8 exclusions section aligns.</w:t>
      </w:r>
    </w:p>
    <w:p>
      <w:pPr>
        <w:numPr>
          <w:ilvl w:val="0"/>
          <w:numId w:val="1"/>
        </w:numPr>
        <w:spacing w:before="0" w:after="60"/>
      </w:pPr>
      <w:r>
        <w:rPr>
          <w:rFonts w:ascii="Times New Roman" w:hAnsi="Times New Roman" w:cs="Times New Roman"/>
          <w:sz w:val="22"/>
          <w:szCs w:val="22"/>
        </w:rPr>
        <w:t xml:space="preserve">Clarification window is closed (2:00 pm, 15 July 2026 — Data Sheet ITC 2.1, p. DATA-1): any remaining ambiguity (e.g. copy counts) must be resolved conservatively, not by asking PUCSL.</w:t>
      </w:r>
    </w:p>
    <w:sectPr>
      <w:headerReference w:type="default" r:id="rIdHdr"/>
      <w:footerReference w:type="default" r:id="rIdFtr"/>
      <w:pgSz w:w="12240" w:h="15840"/>
      <w:pgMar w:top="1100" w:right="1034" w:bottom="900" w:left="1048" w:header="334" w:footer="360" w:gutter="0"/>
    </w:sectPr>
  </w:body>
</w:document>
</file>

<file path=word/footer1.xml><?xml version="1.0" encoding="utf-8"?>
<w:ftr xmlns:w="http://schemas.openxmlformats.org/wordprocessingml/2006/main">
  <w:p>
    <w:pPr>
      <w:pBdr>
        <w:top w:val="single" w:sz="6" w:space="1" w:color="3494BA"/>
      </w:pBdr>
      <w:tabs>
        <w:tab w:val="right" w:pos="10158"/>
      </w:tabs>
      <w:spacing w:before="60" w:after="0"/>
    </w:pPr>
    <w:r>
      <w:rPr>
        <w:rFonts w:ascii="Arial" w:hAnsi="Arial"/>
        <w:b/>
        <w:sz w:val="18"/>
        <w:highlight w:val="yellow"/>
      </w:rPr>
      <w:t xml:space="preserve">COMMERCIAL IN CONFIDENCE</w:t>
    </w:r>
    <w:r>
      <w:tab/>
    </w:r>
    <w:r>
      <w:rPr>
        <w:rFonts w:ascii="Arial" w:hAnsi="Arial"/>
        <w:color w:val="7F7F7F"/>
        <w:sz w:val="18"/>
      </w:rPr>
      <w:t xml:space="preserve">P a g e  | </w:t>
    </w:r>
    <w:fldSimple w:instr=" PAGE ">
      <w:r>
        <w:rPr>
          <w:rFonts w:ascii="Arial" w:hAnsi="Arial"/>
          <w:color w:val="7F7F7F"/>
          <w:sz w:val="18"/>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158" w:type="dxa"/>
      <w:tblLayout w:type="fixed"/>
    </w:tblPr>
    <w:tblGrid>
      <w:gridCol w:w="7758"/>
      <w:gridCol w:w="2400"/>
    </w:tblGrid>
    <w:tr>
      <w:tc>
        <w:tcPr>
          <w:tcW w:w="7758" w:type="dxa"/>
          <w:vAlign w:val="bottom"/>
        </w:tcPr>
        <w:p>
          <w:pPr>
            <w:spacing w:after="20"/>
          </w:pPr>
          <w:r>
            <w:rPr>
              <w:rFonts w:ascii="Arial" w:hAnsi="Arial"/>
              <w:b/>
              <w:color w:val="1A495D"/>
              <w:sz w:val="20"/>
            </w:rPr>
            <w:t xml:space="preserve">Prevent | Protect | Prevail</w:t>
          </w:r>
        </w:p>
        <w:p>
          <w:pPr>
            <w:spacing w:after="20"/>
          </w:pPr>
          <w:r>
            <w:rPr>
              <w:rFonts w:ascii="Arial" w:hAnsi="Arial"/>
              <w:color w:val="1A495D"/>
              <w:sz w:val="18"/>
              <w:u w:val="single"/>
            </w:rPr>
            <w:t>Platinum-HIT</w:t>
          </w:r>
        </w:p>
      </w:tc>
      <w:tc>
        <w:tcPr>
          <w:tcW w:w="2400" w:type="dxa"/>
          <w:vAlign w:val="bottom"/>
        </w:tcPr>
        <w:p>
          <w:pPr>
            <w:jc w:val="right"/>
            <w:spacing w:after="20"/>
          </w:pPr>
          <w:r>
            <w:drawing>
              <wp:inline distT="0" distB="0" distL="0" distR="0">
                <wp:extent cx="1428750" cy="354648"/>
                <wp:docPr id="1" name="Platinum Logo"/>
                <a:graphic xmlns:a="http://schemas.openxmlformats.org/drawingml/2006/main">
                  <a:graphicData uri="http://schemas.openxmlformats.org/drawingml/2006/picture">
                    <pic:pic>
                      <pic:nvPicPr>
                        <pic:cNvPr id="1" name="platinum-logo.png"/>
                        <pic:cNvPicPr/>
                      </pic:nvPicPr>
                      <pic:blipFill>
                        <a:blip r:embed="rIdLogo"/>
                        <a:stretch>
                          <a:fillRect/>
                        </a:stretch>
                      </pic:blipFill>
                      <pic:spPr>
                        <a:xfrm>
                          <a:off x="0" y="0"/>
                          <a:ext cx="1428750" cy="354648"/>
                        </a:xfrm>
                        <a:prstGeom prst="rect">
                          <a:avLst/>
                        </a:prstGeom>
                      </pic:spPr>
                    </pic:pic>
                  </a:graphicData>
                </a:graphic>
              </wp:inline>
            </w:drawing>
          </w:r>
        </w:p>
      </w:tc>
    </w:tr>
  </w:tbl>
  <w:p>
    <w:pPr>
      <w:pBdr>
        <w:bottom w:val="single" w:sz="12" w:space="1" w:color="3494BA"/>
      </w:pBdr>
      <w:spacing w:after="120"/>
    </w:pPr>
  </w:p>
</w:hdr>
</file>

<file path=word/numbering.xml><?xml version="1.0" encoding="utf-8"?>
<w:numbering xmlns:w="http://schemas.openxmlformats.org/wordprocessingml/2006/main">
  <w:abstractNum w:abstractNumId="0">
    <w:lvl w:ilvl="0">
      <w:start w:val="1"/>
      <w:numFmt w:val="bullet"/>
      <w:lvlText w:val="•"/>
      <w:lvlJc w:val="left"/>
      <w:pPr>
        <w:ind w:left="480" w:hanging="240"/>
      </w:pPr>
      <w:rPr>
        <w:rFonts w:ascii="Symbol" w:hAnsi="Symbol" w:hint="default"/>
      </w:rPr>
    </w:lvl>
    <w:lvl w:ilvl="1">
      <w:start w:val="1"/>
      <w:numFmt w:val="bullet"/>
      <w:lvlText w:val="o"/>
      <w:lvlJc w:val="left"/>
      <w:pPr>
        <w:ind w:left="960" w:hanging="240"/>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2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Hdr" Type="http://schemas.openxmlformats.org/officeDocument/2006/relationships/header" Target="header1.xml"/>
<Relationship Id="rIdFtr" Type="http://schemas.openxmlformats.org/officeDocument/2006/relationships/footer" Target="footer1.xml"/>
</Relationships>
</file>

<file path=word/_rels/header1.xml.rels><?xml version="1.0" encoding="UTF-8" standalone="yes"?>
<Relationships xmlns="http://schemas.openxmlformats.org/package/2006/relationships">
<Relationship Id="rIdLogo" Type="http://schemas.openxmlformats.org/officeDocument/2006/relationships/image" Target="media/platinum-logo.png"/>
</Relationships>
</file>