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2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1A495D"/>
            <w:tcMar>
              <w:top w:w="60" w:type="dxa"/>
              <w:left w:w="100" w:type="dxa"/>
              <w:bottom w:w="60" w:type="dxa"/>
              <w:right w:w="100" w:type="dxa"/>
            </w:tcMar>
            <w:vAlign w:val="top"/>
          </w:tcPr>
          <w:p>
            <w:pPr>
              <w:spacing w:before="0" w:after="60"/>
            </w:pPr>
            <w:r>
              <w:rPr>
                <w:rFonts w:ascii="Arial" w:hAnsi="Arial" w:cs="Arial"/>
                <w:b/>
                <w:color w:val="FFFFFF"/>
                <w:sz w:val="40"/>
                <w:szCs w:val="40"/>
              </w:rPr>
              <w:t xml:space="preserve">JOINT VENTURE POWER OF ATTORNEY</w:t>
            </w:r>
          </w:p>
          <w:p>
            <w:pPr>
              <w:spacing w:before="0" w:after="60"/>
            </w:pPr>
            <w:r>
              <w:rPr>
                <w:rFonts w:ascii="Arial" w:hAnsi="Arial" w:cs="Arial"/>
                <w:b/>
                <w:color w:val="FFFFFF"/>
                <w:sz w:val="26"/>
                <w:szCs w:val="26"/>
              </w:rPr>
              <w:t xml:space="preserve">Bid Submission and Project Execution</w:t>
            </w:r>
          </w:p>
          <w:p>
            <w:pPr>
              <w:spacing w:before="0" w:after="0"/>
            </w:pPr>
            <w:r>
              <w:rPr>
                <w:rFonts w:ascii="Arial" w:hAnsi="Arial" w:cs="Arial"/>
                <w:b/>
                <w:color w:val="FFFFFF"/>
                <w:sz w:val="21"/>
                <w:szCs w:val="21"/>
              </w:rPr>
              <w:t xml:space="preserve">Assessment on Cybersecurity Readiness of Electricity Network and Critical Generation Facilities in Sri Lanka and Development of a Cybersecurity Audit Framework Specific to Grid Operations, SCADA and Critical Infrastructure Protection</w:t>
            </w:r>
          </w:p>
        </w:tc>
      </w:tr>
    </w:tbl>
    <w:p>
      <w:pPr>
        <w:spacing w:after="100"/>
      </w:pPr>
    </w:p>
    <w:p>
      <w:pPr>
        <w:spacing w:before="0" w:after="120"/>
      </w:pPr>
      <w:r>
        <w:rPr>
          <w:rFonts w:ascii="Times New Roman" w:hAnsi="Times New Roman" w:cs="Times New Roman"/>
          <w:sz w:val="22"/>
          <w:szCs w:val="22"/>
        </w:rPr>
        <w:t xml:space="preserve">This Power of Attorney is made on 30 July 2026 between:</w:t>
      </w:r>
    </w:p>
    <w:p>
      <w:pPr>
        <w:numPr>
          <w:ilvl w:val="0"/>
          <w:numId w:val="1"/>
        </w:numPr>
        <w:spacing w:before="0" w:after="60"/>
      </w:pPr>
      <w:r>
        <w:rPr>
          <w:rFonts w:ascii="Times New Roman" w:hAnsi="Times New Roman" w:cs="Times New Roman"/>
          <w:sz w:val="22"/>
          <w:szCs w:val="22"/>
        </w:rPr>
        <w:t xml:space="preserve">Platinum High Integrity Technologies Limited, a company incorporated in Malta (“Platinum”); and</w:t>
      </w:r>
    </w:p>
    <w:p>
      <w:pPr>
        <w:numPr>
          <w:ilvl w:val="0"/>
          <w:numId w:val="1"/>
        </w:numPr>
        <w:spacing w:before="0" w:after="60"/>
      </w:pPr>
      <w:r>
        <w:rPr>
          <w:rFonts w:ascii="Times New Roman" w:hAnsi="Times New Roman" w:cs="Times New Roman"/>
          <w:sz w:val="22"/>
          <w:szCs w:val="22"/>
        </w:rPr>
        <w:t xml:space="preserve">EML Consultants PLC, a company incorporated in Sri Lanka (“EML”),</w:t>
      </w:r>
    </w:p>
    <w:p>
      <w:pPr>
        <w:spacing w:before="0" w:after="120"/>
      </w:pPr>
      <w:r>
        <w:rPr>
          <w:rFonts w:ascii="Times New Roman" w:hAnsi="Times New Roman" w:cs="Times New Roman"/>
          <w:sz w:val="22"/>
          <w:szCs w:val="22"/>
        </w:rPr>
        <w:t xml:space="preserve">together “the Joint Venture”, in connection with the above procurement issued by the Public Utilities Commission of Sri Lanka (“PUCSL”) and any contract awarded pursuant to it (“the Contract”).</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1.  Joint Venture Declaration</w:t>
            </w:r>
          </w:p>
        </w:tc>
      </w:tr>
    </w:tbl>
    <w:p>
      <w:pPr>
        <w:spacing w:after="80"/>
      </w:pPr>
    </w:p>
    <w:p>
      <w:pPr>
        <w:spacing w:before="0" w:after="120"/>
      </w:pPr>
      <w:r>
        <w:rPr>
          <w:rFonts w:ascii="Times New Roman" w:hAnsi="Times New Roman" w:cs="Times New Roman"/>
          <w:sz w:val="22"/>
          <w:szCs w:val="22"/>
        </w:rPr>
        <w:t xml:space="preserve">Platinum High Integrity Technologies Limited (Malta) and EML Consultants PLC (Sri Lanka) have associated in a Joint Venture in order to jointly present the bid submission, and if awarded the Contract, jointly execute the project.</w:t>
      </w:r>
    </w:p>
    <w:p>
      <w:pPr>
        <w:spacing w:before="0" w:after="120"/>
      </w:pPr>
      <w:r>
        <w:rPr>
          <w:rFonts w:ascii="Times New Roman" w:hAnsi="Times New Roman" w:cs="Times New Roman"/>
          <w:sz w:val="22"/>
          <w:szCs w:val="22"/>
        </w:rPr>
        <w:t xml:space="preserve">The JV Leader is Platinum High Integrity Technologies Limited (Malta).</w:t>
      </w:r>
    </w:p>
    <w:p>
      <w:pPr>
        <w:spacing w:before="0" w:after="120"/>
      </w:pPr>
      <w:r>
        <w:rPr>
          <w:rFonts w:ascii="Times New Roman" w:hAnsi="Times New Roman" w:cs="Times New Roman"/>
          <w:sz w:val="22"/>
          <w:szCs w:val="22"/>
        </w:rPr>
        <w:t xml:space="preserve">All partners in the Joint Venture are jointly and severally liable with reference to the Contract.</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2.  Scope of Authority</w:t>
            </w:r>
          </w:p>
        </w:tc>
      </w:tr>
    </w:tbl>
    <w:p>
      <w:pPr>
        <w:spacing w:after="80"/>
      </w:pPr>
    </w:p>
    <w:p>
      <w:pPr>
        <w:spacing w:before="0" w:after="120"/>
      </w:pPr>
      <w:r>
        <w:rPr>
          <w:rFonts w:ascii="Times New Roman" w:hAnsi="Times New Roman" w:cs="Times New Roman"/>
          <w:sz w:val="22"/>
          <w:szCs w:val="22"/>
        </w:rPr>
        <w:t xml:space="preserve">Platinum hereby authorises EML, on behalf of the Joint Venture, to:</w:t>
      </w:r>
    </w:p>
    <w:p>
      <w:pPr>
        <w:spacing w:before="0" w:after="120"/>
      </w:pPr>
      <w:r>
        <w:rPr>
          <w:rFonts w:ascii="Times New Roman" w:hAnsi="Times New Roman" w:cs="Times New Roman"/>
          <w:sz w:val="22"/>
          <w:szCs w:val="22"/>
        </w:rPr>
        <w:t xml:space="preserve">1.  jointly present the bid submission: that is, to submit to PUCSL, without amendment or modification, the Joint Venture proposal and supporting documentation previously approved in writing by Platinum, to physically deliver the proposal before the submission deadline, and to obtain acknowledgement of receipt; and</w:t>
      </w:r>
    </w:p>
    <w:p>
      <w:pPr>
        <w:spacing w:before="0" w:after="120"/>
      </w:pPr>
      <w:r>
        <w:rPr>
          <w:rFonts w:ascii="Times New Roman" w:hAnsi="Times New Roman" w:cs="Times New Roman"/>
          <w:sz w:val="22"/>
          <w:szCs w:val="22"/>
        </w:rPr>
        <w:t xml:space="preserve">2.  if the Contract is awarded to the Joint Venture, jointly execute the project: that is, to perform the project activities allocated to EML under the division of responsibilities approved in writing by both parties, comprising local project management, stakeholder engagement, power systems and SCADA engineering support, workshops, logistics, administration and local implementation coordination.</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3.  Limitations of Authority</w:t>
            </w:r>
          </w:p>
        </w:tc>
      </w:tr>
    </w:tbl>
    <w:p>
      <w:pPr>
        <w:spacing w:after="80"/>
      </w:pPr>
    </w:p>
    <w:p>
      <w:pPr>
        <w:spacing w:before="0" w:after="120"/>
      </w:pPr>
      <w:r>
        <w:rPr>
          <w:rFonts w:ascii="Times New Roman" w:hAnsi="Times New Roman" w:cs="Times New Roman"/>
          <w:sz w:val="22"/>
          <w:szCs w:val="22"/>
        </w:rPr>
        <w:t xml:space="preserve">The authority granted under this Power of Attorney is strictly limited to the presentation of the approved bid submission and, if the Contract is awarded, the delivery of the project activities allocated to EML. It confers no authority of any other kind.</w:t>
      </w:r>
    </w:p>
    <w:p>
      <w:pPr>
        <w:spacing w:before="0" w:after="120"/>
      </w:pPr>
      <w:r>
        <w:rPr>
          <w:rFonts w:ascii="Times New Roman" w:hAnsi="Times New Roman" w:cs="Times New Roman"/>
          <w:sz w:val="22"/>
          <w:szCs w:val="22"/>
        </w:rPr>
        <w:t xml:space="preserve">EML shall not, without Platinum's prior written consent:</w:t>
      </w:r>
    </w:p>
    <w:p>
      <w:pPr>
        <w:numPr>
          <w:ilvl w:val="0"/>
          <w:numId w:val="1"/>
        </w:numPr>
        <w:spacing w:before="0" w:after="60"/>
      </w:pPr>
      <w:r>
        <w:rPr>
          <w:rFonts w:ascii="Times New Roman" w:hAnsi="Times New Roman" w:cs="Times New Roman"/>
          <w:sz w:val="22"/>
          <w:szCs w:val="22"/>
        </w:rPr>
        <w:t xml:space="preserve">amend, modify, supplement, replace or remove any part of the proposal, the Contract or any supporting documentation;</w:t>
      </w:r>
    </w:p>
    <w:p>
      <w:pPr>
        <w:numPr>
          <w:ilvl w:val="0"/>
          <w:numId w:val="1"/>
        </w:numPr>
        <w:spacing w:before="0" w:after="60"/>
      </w:pPr>
      <w:r>
        <w:rPr>
          <w:rFonts w:ascii="Times New Roman" w:hAnsi="Times New Roman" w:cs="Times New Roman"/>
          <w:sz w:val="22"/>
          <w:szCs w:val="22"/>
        </w:rPr>
        <w:t xml:space="preserve">amend pricing, fees, rates, payment terms or the commercial allocation between the parties;</w:t>
      </w:r>
    </w:p>
    <w:p>
      <w:pPr>
        <w:numPr>
          <w:ilvl w:val="0"/>
          <w:numId w:val="1"/>
        </w:numPr>
        <w:spacing w:before="0" w:after="60"/>
      </w:pPr>
      <w:r>
        <w:rPr>
          <w:rFonts w:ascii="Times New Roman" w:hAnsi="Times New Roman" w:cs="Times New Roman"/>
          <w:sz w:val="22"/>
          <w:szCs w:val="22"/>
        </w:rPr>
        <w:t xml:space="preserve">amend the scope of work, methodology, work plan, programme, staffing or deliverables;</w:t>
      </w:r>
    </w:p>
    <w:p>
      <w:pPr>
        <w:numPr>
          <w:ilvl w:val="0"/>
          <w:numId w:val="1"/>
        </w:numPr>
        <w:spacing w:before="0" w:after="60"/>
      </w:pPr>
      <w:r>
        <w:rPr>
          <w:rFonts w:ascii="Times New Roman" w:hAnsi="Times New Roman" w:cs="Times New Roman"/>
          <w:sz w:val="22"/>
          <w:szCs w:val="22"/>
        </w:rPr>
        <w:t xml:space="preserve">negotiate or renegotiate any technical, commercial or contractual matter;</w:t>
      </w:r>
    </w:p>
    <w:p>
      <w:pPr>
        <w:numPr>
          <w:ilvl w:val="0"/>
          <w:numId w:val="1"/>
        </w:numPr>
        <w:spacing w:before="0" w:after="60"/>
      </w:pPr>
      <w:r>
        <w:rPr>
          <w:rFonts w:ascii="Times New Roman" w:hAnsi="Times New Roman" w:cs="Times New Roman"/>
          <w:sz w:val="22"/>
          <w:szCs w:val="22"/>
        </w:rPr>
        <w:t xml:space="preserve">provide clarification, explanation or additional information to PUCSL;</w:t>
      </w:r>
    </w:p>
    <w:p>
      <w:pPr>
        <w:numPr>
          <w:ilvl w:val="0"/>
          <w:numId w:val="1"/>
        </w:numPr>
        <w:spacing w:before="0" w:after="60"/>
      </w:pPr>
      <w:r>
        <w:rPr>
          <w:rFonts w:ascii="Times New Roman" w:hAnsi="Times New Roman" w:cs="Times New Roman"/>
          <w:sz w:val="22"/>
          <w:szCs w:val="22"/>
        </w:rPr>
        <w:t xml:space="preserve">accept, vary or waive any term of any contract award;</w:t>
      </w:r>
    </w:p>
    <w:p>
      <w:pPr>
        <w:numPr>
          <w:ilvl w:val="0"/>
          <w:numId w:val="1"/>
        </w:numPr>
        <w:spacing w:before="0" w:after="60"/>
      </w:pPr>
      <w:r>
        <w:rPr>
          <w:rFonts w:ascii="Times New Roman" w:hAnsi="Times New Roman" w:cs="Times New Roman"/>
          <w:sz w:val="22"/>
          <w:szCs w:val="22"/>
        </w:rPr>
        <w:t xml:space="preserve">execute any agreement, contract, variation or legally binding document;</w:t>
      </w:r>
    </w:p>
    <w:p>
      <w:pPr>
        <w:numPr>
          <w:ilvl w:val="0"/>
          <w:numId w:val="1"/>
        </w:numPr>
        <w:spacing w:before="0" w:after="60"/>
      </w:pPr>
      <w:r>
        <w:rPr>
          <w:rFonts w:ascii="Times New Roman" w:hAnsi="Times New Roman" w:cs="Times New Roman"/>
          <w:sz w:val="22"/>
          <w:szCs w:val="22"/>
        </w:rPr>
        <w:t xml:space="preserve">engage or replace any personnel, sub-consultant or third party in respect of the scope allocated to Platinum;</w:t>
      </w:r>
    </w:p>
    <w:p>
      <w:pPr>
        <w:numPr>
          <w:ilvl w:val="0"/>
          <w:numId w:val="1"/>
        </w:numPr>
        <w:spacing w:before="0" w:after="60"/>
      </w:pPr>
      <w:r>
        <w:rPr>
          <w:rFonts w:ascii="Times New Roman" w:hAnsi="Times New Roman" w:cs="Times New Roman"/>
          <w:sz w:val="22"/>
          <w:szCs w:val="22"/>
        </w:rPr>
        <w:t xml:space="preserve">make any representation or commitment on behalf of Platinum; or</w:t>
      </w:r>
    </w:p>
    <w:p>
      <w:pPr>
        <w:numPr>
          <w:ilvl w:val="0"/>
          <w:numId w:val="1"/>
        </w:numPr>
        <w:spacing w:before="0" w:after="60"/>
      </w:pPr>
      <w:r>
        <w:rPr>
          <w:rFonts w:ascii="Times New Roman" w:hAnsi="Times New Roman" w:cs="Times New Roman"/>
          <w:sz w:val="22"/>
          <w:szCs w:val="22"/>
        </w:rPr>
        <w:t xml:space="preserve">otherwise bind Platinum High Integrity Technologies Limited in any manner whatsoever.</w:t>
      </w:r>
    </w:p>
    <w:p>
      <w:pPr>
        <w:spacing w:before="0" w:after="120"/>
      </w:pPr>
      <w:r>
        <w:rPr>
          <w:rFonts w:ascii="Times New Roman" w:hAnsi="Times New Roman" w:cs="Times New Roman"/>
          <w:sz w:val="22"/>
          <w:szCs w:val="22"/>
        </w:rPr>
        <w:t xml:space="preserve">Nothing contained in this Power of Attorney authorises EML to create any legal, financial or contractual obligation on behalf of Platinum beyond the matters expressly set out in Section 2.</w:t>
      </w:r>
    </w:p>
    <w:p>
      <w:pPr>
        <w:spacing w:before="0" w:after="120"/>
      </w:pPr>
      <w:r>
        <w:rPr>
          <w:rFonts w:ascii="Times New Roman" w:hAnsi="Times New Roman" w:cs="Times New Roman"/>
          <w:sz w:val="22"/>
          <w:szCs w:val="22"/>
        </w:rPr>
        <w:t xml:space="preserve">In the event of any inconsistency between this Power of Attorney and any other agreement, correspondence or instruction, the provisions of this Power of Attorney shall prevail in relation to the authority granted to EML.</w:t>
      </w:r>
    </w:p>
    <w:p>
      <w:pPr>
        <w:spacing w:before="0" w:after="120"/>
      </w:pPr>
      <w:r>
        <w:rPr>
          <w:rFonts w:ascii="Times New Roman" w:hAnsi="Times New Roman" w:cs="Times New Roman"/>
          <w:sz w:val="22"/>
          <w:szCs w:val="22"/>
        </w:rPr>
        <w:t xml:space="preserve">For the avoidance of doubt, this Power of Attorney grants only the authority expressly stated in Section 2. No other authority is granted or implied.</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4.  Duration and Expiry</w:t>
            </w:r>
          </w:p>
        </w:tc>
      </w:tr>
    </w:tbl>
    <w:p>
      <w:pPr>
        <w:spacing w:after="80"/>
      </w:pPr>
    </w:p>
    <w:p>
      <w:pPr>
        <w:spacing w:before="0" w:after="120"/>
      </w:pPr>
      <w:r>
        <w:rPr>
          <w:rFonts w:ascii="Times New Roman" w:hAnsi="Times New Roman" w:cs="Times New Roman"/>
          <w:sz w:val="22"/>
          <w:szCs w:val="22"/>
        </w:rPr>
        <w:t xml:space="preserve">The authority in Section 2(1) expires automatically upon the successful submission of the Joint Venture proposal to PUCSL, without the need for further notice or revocation.</w:t>
      </w:r>
    </w:p>
    <w:p>
      <w:pPr>
        <w:spacing w:before="0" w:after="120"/>
      </w:pPr>
      <w:r>
        <w:rPr>
          <w:rFonts w:ascii="Times New Roman" w:hAnsi="Times New Roman" w:cs="Times New Roman"/>
          <w:sz w:val="22"/>
          <w:szCs w:val="22"/>
        </w:rPr>
        <w:t xml:space="preserve">The authority in Section 2(2) takes effect only upon award of the Contract to the Joint Venture and remains in force until completion or earlier termination of the Contract, or termination of the Joint Venture agreement between the parties, whichever occurs first.</w:t>
      </w:r>
    </w:p>
    <w:p>
      <w:pPr>
        <w:spacing w:before="0" w:after="120"/>
      </w:pPr>
      <w:r>
        <w:rPr>
          <w:rFonts w:ascii="Times New Roman" w:hAnsi="Times New Roman" w:cs="Times New Roman"/>
          <w:sz w:val="22"/>
          <w:szCs w:val="22"/>
        </w:rPr>
        <w:t xml:space="preserve">If the Contract is not awarded to the Joint Venture, this Power of Attorney expires in its entirety upon PUCSL's award decision.</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5.  Governing Law</w:t>
            </w:r>
          </w:p>
        </w:tc>
      </w:tr>
    </w:tbl>
    <w:p>
      <w:pPr>
        <w:spacing w:after="80"/>
      </w:pPr>
    </w:p>
    <w:p>
      <w:pPr>
        <w:spacing w:before="0" w:after="120"/>
      </w:pPr>
      <w:r>
        <w:rPr>
          <w:rFonts w:ascii="Times New Roman" w:hAnsi="Times New Roman" w:cs="Times New Roman"/>
          <w:sz w:val="22"/>
          <w:szCs w:val="22"/>
        </w:rPr>
        <w:t xml:space="preserve">This Power of Attorney shall be governed by and construed in accordance with the laws of Malta.</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6.  Executed By</w:t>
            </w:r>
          </w:p>
        </w:tc>
      </w:tr>
    </w:tbl>
    <w:p>
      <w:pPr>
        <w:spacing w:after="80"/>
      </w:pPr>
    </w:p>
    <w:p>
      <w:pPr>
        <w:spacing w:after="120"/>
      </w:pPr>
    </w:p>
    <w:tbl>
      <w:tblPr>
        <w:tblW w:w="10058" w:type="dxa"/>
        <w:tblLayout w:type="fixed"/>
      </w:tblPr>
      <w:tblGrid>
        <w:gridCol w:w="5029"/>
        <w:gridCol w:w="5029"/>
      </w:tblGrid>
      <w:tr>
        <w:tc>
          <w:tcPr>
            <w:tcW w:w="5029"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200"/>
            </w:pPr>
            <w:r>
              <w:rPr>
                <w:rFonts w:ascii="Arial" w:hAnsi="Arial" w:cs="Arial"/>
                <w:b/>
                <w:sz w:val="22"/>
                <w:szCs w:val="22"/>
              </w:rPr>
              <w:t xml:space="preserve">Platinum High Integrity Technologies Limited</w:t>
            </w:r>
          </w:p>
          <w:p>
            <w:pPr>
              <w:spacing w:before="0" w:after="200"/>
            </w:pPr>
            <w:r>
              <w:rPr>
                <w:rFonts w:ascii="Times New Roman" w:hAnsi="Times New Roman" w:cs="Times New Roman"/>
                <w:sz w:val="22"/>
                <w:szCs w:val="22"/>
              </w:rPr>
              <w:t xml:space="preserve">Name / Title:  ______________________________</w:t>
            </w:r>
          </w:p>
          <w:p>
            <w:pPr>
              <w:spacing w:before="0" w:after="200"/>
            </w:pPr>
            <w:r>
              <w:rPr>
                <w:rFonts w:ascii="Times New Roman" w:hAnsi="Times New Roman" w:cs="Times New Roman"/>
                <w:sz w:val="22"/>
                <w:szCs w:val="22"/>
              </w:rPr>
              <w:t xml:space="preserve">Signature:      ______________________________</w:t>
            </w:r>
          </w:p>
          <w:p>
            <w:pPr>
              <w:spacing w:before="0" w:after="60"/>
            </w:pPr>
            <w:r>
              <w:rPr>
                <w:rFonts w:ascii="Times New Roman" w:hAnsi="Times New Roman" w:cs="Times New Roman"/>
                <w:sz w:val="22"/>
                <w:szCs w:val="22"/>
              </w:rPr>
              <w:t xml:space="preserve">Date:             ______________________________</w:t>
            </w:r>
          </w:p>
        </w:tc>
        <w:tc>
          <w:tcPr>
            <w:tcW w:w="5029"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200"/>
            </w:pPr>
            <w:r>
              <w:rPr>
                <w:rFonts w:ascii="Arial" w:hAnsi="Arial" w:cs="Arial"/>
                <w:b/>
                <w:sz w:val="22"/>
                <w:szCs w:val="22"/>
              </w:rPr>
              <w:t xml:space="preserve">EML Consultants PLC</w:t>
            </w:r>
          </w:p>
          <w:p>
            <w:pPr>
              <w:spacing w:before="0" w:after="200"/>
            </w:pPr>
            <w:r>
              <w:rPr>
                <w:rFonts w:ascii="Times New Roman" w:hAnsi="Times New Roman" w:cs="Times New Roman"/>
                <w:sz w:val="22"/>
                <w:szCs w:val="22"/>
              </w:rPr>
              <w:t xml:space="preserve">Name / Title:  ______________________________</w:t>
            </w:r>
          </w:p>
          <w:p>
            <w:pPr>
              <w:spacing w:before="0" w:after="200"/>
            </w:pPr>
            <w:r>
              <w:rPr>
                <w:rFonts w:ascii="Times New Roman" w:hAnsi="Times New Roman" w:cs="Times New Roman"/>
                <w:sz w:val="22"/>
                <w:szCs w:val="22"/>
              </w:rPr>
              <w:t xml:space="preserve">Signature:      ______________________________</w:t>
            </w:r>
          </w:p>
          <w:p>
            <w:pPr>
              <w:spacing w:before="0" w:after="60"/>
            </w:pPr>
            <w:r>
              <w:rPr>
                <w:rFonts w:ascii="Times New Roman" w:hAnsi="Times New Roman" w:cs="Times New Roman"/>
                <w:sz w:val="22"/>
                <w:szCs w:val="22"/>
              </w:rPr>
              <w:t xml:space="preserve">Date:             ______________________________</w:t>
            </w:r>
          </w:p>
        </w:tc>
      </w:tr>
    </w:tbl>
    <w:sectPr>
      <w:headerReference w:type="default" r:id="rIdHdr"/>
      <w:footerReference w:type="default" r:id="rIdFtr"/>
      <w:pgSz w:w="12240" w:h="15840"/>
      <w:pgMar w:top="1100" w:right="1034" w:bottom="900" w:left="1048" w:header="334" w:footer="360" w:gutter="0"/>
    </w:sectPr>
  </w:body>
</w:document>
</file>

<file path=word/footer1.xml><?xml version="1.0" encoding="utf-8"?>
<w:ftr xmlns:w="http://schemas.openxmlformats.org/wordprocessingml/2006/main">
  <w:p>
    <w:pPr>
      <w:pBdr>
        <w:top w:val="single" w:sz="6" w:space="1" w:color="3494BA"/>
      </w:pBdr>
      <w:tabs>
        <w:tab w:val="right" w:pos="10158"/>
      </w:tabs>
      <w:spacing w:before="60" w:after="0"/>
    </w:pPr>
    <w:r>
      <w:rPr>
        <w:rFonts w:ascii="Arial" w:hAnsi="Arial"/>
        <w:b/>
        <w:sz w:val="18"/>
        <w:highlight w:val="yellow"/>
      </w:rPr>
      <w:t xml:space="preserve">COMMERCIAL IN CONFIDENCE</w:t>
    </w:r>
    <w:r>
      <w:tab/>
    </w:r>
    <w:r>
      <w:rPr>
        <w:rFonts w:ascii="Arial" w:hAnsi="Arial"/>
        <w:color w:val="7F7F7F"/>
        <w:sz w:val="18"/>
      </w:rPr>
      <w:t xml:space="preserve">P a g e  | </w:t>
    </w:r>
    <w:fldSimple w:instr=" PAGE ">
      <w:r>
        <w:rPr>
          <w:rFonts w:ascii="Arial" w:hAnsi="Arial"/>
          <w:color w:val="7F7F7F"/>
          <w:sz w:val="18"/>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10158" w:type="dxa"/>
      <w:tblLayout w:type="fixed"/>
    </w:tblPr>
    <w:tblGrid>
      <w:gridCol w:w="7758"/>
      <w:gridCol w:w="2400"/>
    </w:tblGrid>
    <w:tr>
      <w:tc>
        <w:tcPr>
          <w:tcW w:w="7758" w:type="dxa"/>
          <w:vAlign w:val="bottom"/>
        </w:tcPr>
        <w:p>
          <w:pPr>
            <w:spacing w:after="20"/>
          </w:pPr>
          <w:r>
            <w:rPr>
              <w:rFonts w:ascii="Arial" w:hAnsi="Arial"/>
              <w:b/>
              <w:color w:val="1A495D"/>
              <w:sz w:val="20"/>
            </w:rPr>
            <w:t xml:space="preserve">Prevent | Protect | Prevail</w:t>
          </w:r>
        </w:p>
        <w:p>
          <w:pPr>
            <w:spacing w:after="20"/>
          </w:pPr>
          <w:r>
            <w:rPr>
              <w:rFonts w:ascii="Arial" w:hAnsi="Arial"/>
              <w:color w:val="1A495D"/>
              <w:sz w:val="18"/>
              <w:u w:val="single"/>
            </w:rPr>
            <w:t>Platinum-HIT</w:t>
          </w:r>
        </w:p>
      </w:tc>
      <w:tc>
        <w:tcPr>
          <w:tcW w:w="2400" w:type="dxa"/>
          <w:vAlign w:val="bottom"/>
        </w:tcPr>
        <w:p>
          <w:pPr>
            <w:jc w:val="right"/>
            <w:spacing w:after="20"/>
          </w:pPr>
          <w:r>
            <w:drawing>
              <wp:inline distT="0" distB="0" distL="0" distR="0">
                <wp:extent cx="1428750" cy="354648"/>
                <wp:docPr id="1" name="Platinum Logo"/>
                <a:graphic xmlns:a="http://schemas.openxmlformats.org/drawingml/2006/main">
                  <a:graphicData uri="http://schemas.openxmlformats.org/drawingml/2006/picture">
                    <pic:pic>
                      <pic:nvPicPr>
                        <pic:cNvPr id="1" name="platinum-logo.png"/>
                        <pic:cNvPicPr/>
                      </pic:nvPicPr>
                      <pic:blipFill>
                        <a:blip r:embed="rIdLogo"/>
                        <a:stretch>
                          <a:fillRect/>
                        </a:stretch>
                      </pic:blipFill>
                      <pic:spPr>
                        <a:xfrm>
                          <a:off x="0" y="0"/>
                          <a:ext cx="1428750" cy="354648"/>
                        </a:xfrm>
                        <a:prstGeom prst="rect">
                          <a:avLst/>
                        </a:prstGeom>
                      </pic:spPr>
                    </pic:pic>
                  </a:graphicData>
                </a:graphic>
              </wp:inline>
            </w:drawing>
          </w:r>
        </w:p>
      </w:tc>
    </w:tr>
  </w:tbl>
  <w:p>
    <w:pPr>
      <w:pBdr>
        <w:bottom w:val="single" w:sz="12" w:space="1" w:color="3494BA"/>
      </w:pBdr>
      <w:spacing w:after="120"/>
    </w:pPr>
  </w:p>
</w:hdr>
</file>

<file path=word/numbering.xml><?xml version="1.0" encoding="utf-8"?>
<w:numbering xmlns:w="http://schemas.openxmlformats.org/wordprocessingml/2006/main">
  <w:abstractNum w:abstractNumId="0">
    <w:lvl w:ilvl="0">
      <w:start w:val="1"/>
      <w:numFmt w:val="bullet"/>
      <w:lvlText w:val="•"/>
      <w:lvlJc w:val="left"/>
      <w:pPr>
        <w:ind w:left="480" w:hanging="240"/>
      </w:pPr>
      <w:rPr>
        <w:rFonts w:ascii="Symbol" w:hAnsi="Symbol" w:hint="default"/>
      </w:rPr>
    </w:lvl>
    <w:lvl w:ilvl="1">
      <w:start w:val="1"/>
      <w:numFmt w:val="bullet"/>
      <w:lvlText w:val="o"/>
      <w:lvlJc w:val="left"/>
      <w:pPr>
        <w:ind w:left="960" w:hanging="240"/>
      </w:pPr>
      <w:rPr>
        <w:rFonts w:ascii="Courier New" w:hAnsi="Courier New" w:hint="default"/>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after="12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Sty" Type="http://schemas.openxmlformats.org/officeDocument/2006/relationships/styles" Target="styles.xml"/>
<Relationship Id="rIdNum" Type="http://schemas.openxmlformats.org/officeDocument/2006/relationships/numbering" Target="numbering.xml"/>
<Relationship Id="rIdHdr" Type="http://schemas.openxmlformats.org/officeDocument/2006/relationships/header" Target="header1.xml"/>
<Relationship Id="rIdFtr" Type="http://schemas.openxmlformats.org/officeDocument/2006/relationships/footer" Target="footer1.xml"/>
</Relationships>
</file>

<file path=word/_rels/header1.xml.rels><?xml version="1.0" encoding="UTF-8" standalone="yes"?>
<Relationships xmlns="http://schemas.openxmlformats.org/package/2006/relationships">
<Relationship Id="rIdLogo" Type="http://schemas.openxmlformats.org/officeDocument/2006/relationships/image" Target="media/platinum-logo.png"/>
</Relationships>
</file>