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48CC" w14:textId="0B4F9E0A" w:rsidR="00216812" w:rsidRPr="000045A1" w:rsidRDefault="00D5348B" w:rsidP="00D5348B">
      <w:pPr>
        <w:pStyle w:val="CoverTitle"/>
        <w:jc w:val="right"/>
      </w:pPr>
      <w:r>
        <w:rPr>
          <w:noProof/>
        </w:rPr>
        <w:drawing>
          <wp:inline distT="0" distB="0" distL="0" distR="0" wp14:anchorId="086EAB2C" wp14:editId="18A959AE">
            <wp:extent cx="2556000" cy="436916"/>
            <wp:effectExtent l="19050" t="19050" r="15875" b="20320"/>
            <wp:docPr id="17332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8756" name="Picture 173328756"/>
                    <pic:cNvPicPr/>
                  </pic:nvPicPr>
                  <pic:blipFill>
                    <a:blip r:embed="rId8">
                      <a:extLst>
                        <a:ext uri="{28A0092B-C50C-407E-A947-70E740481C1C}">
                          <a14:useLocalDpi xmlns:a14="http://schemas.microsoft.com/office/drawing/2010/main" val="0"/>
                        </a:ext>
                      </a:extLst>
                    </a:blip>
                    <a:stretch>
                      <a:fillRect/>
                    </a:stretch>
                  </pic:blipFill>
                  <pic:spPr>
                    <a:xfrm>
                      <a:off x="0" y="0"/>
                      <a:ext cx="2556000" cy="436916"/>
                    </a:xfrm>
                    <a:prstGeom prst="rect">
                      <a:avLst/>
                    </a:prstGeom>
                    <a:ln w="3175">
                      <a:solidFill>
                        <a:schemeClr val="tx1"/>
                      </a:solidFill>
                    </a:ln>
                  </pic:spPr>
                </pic:pic>
              </a:graphicData>
            </a:graphic>
          </wp:inline>
        </w:drawing>
      </w:r>
    </w:p>
    <w:p w14:paraId="76C47107" w14:textId="77777777" w:rsidR="00216812" w:rsidRPr="000045A1" w:rsidRDefault="00216812" w:rsidP="004A62AC">
      <w:pPr>
        <w:pStyle w:val="CoverSubhead2"/>
      </w:pPr>
    </w:p>
    <w:p w14:paraId="69311F36" w14:textId="77777777" w:rsidR="00216812" w:rsidRPr="000045A1" w:rsidRDefault="00216812" w:rsidP="004A62AC">
      <w:pPr>
        <w:pStyle w:val="CoverSubhead2"/>
      </w:pPr>
    </w:p>
    <w:p w14:paraId="576978C6" w14:textId="77777777" w:rsidR="00C155D4" w:rsidRDefault="00C155D4" w:rsidP="004A62AC">
      <w:pPr>
        <w:pStyle w:val="CoverSubhead2"/>
      </w:pPr>
    </w:p>
    <w:p w14:paraId="4FA54D0A" w14:textId="0AFA6525" w:rsidR="00C155D4" w:rsidRDefault="008770FC" w:rsidP="004A62AC">
      <w:pPr>
        <w:pStyle w:val="CoverSubhead2"/>
      </w:pPr>
      <w:r>
        <w:rPr>
          <w:noProof/>
          <w:sz w:val="44"/>
        </w:rPr>
        <mc:AlternateContent>
          <mc:Choice Requires="wps">
            <w:drawing>
              <wp:anchor distT="45720" distB="45720" distL="114300" distR="114300" simplePos="0" relativeHeight="251667456" behindDoc="0" locked="0" layoutInCell="1" allowOverlap="1" wp14:anchorId="54B22930" wp14:editId="44D144F0">
                <wp:simplePos x="0" y="0"/>
                <wp:positionH relativeFrom="margin">
                  <wp:posOffset>238125</wp:posOffset>
                </wp:positionH>
                <wp:positionV relativeFrom="paragraph">
                  <wp:posOffset>66040</wp:posOffset>
                </wp:positionV>
                <wp:extent cx="5962650" cy="1810385"/>
                <wp:effectExtent l="0" t="0" r="0" b="0"/>
                <wp:wrapSquare wrapText="bothSides"/>
                <wp:docPr id="2033241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181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21BC3" w14:textId="019D8BA8" w:rsidR="00A474F6" w:rsidRPr="00A474F6" w:rsidRDefault="008770FC" w:rsidP="00A474F6">
                            <w:pPr>
                              <w:rPr>
                                <w:sz w:val="44"/>
                                <w:szCs w:val="44"/>
                                <w:lang w:val="en-US"/>
                              </w:rPr>
                            </w:pPr>
                            <w:r w:rsidRPr="008770FC">
                              <w:rPr>
                                <w:rFonts w:asciiTheme="majorHAnsi" w:eastAsiaTheme="majorEastAsia" w:hAnsiTheme="majorHAnsi" w:cstheme="majorBidi"/>
                                <w:spacing w:val="-10"/>
                                <w:kern w:val="28"/>
                                <w:sz w:val="48"/>
                                <w:szCs w:val="48"/>
                              </w:rPr>
                              <w:t>Proposal: Assessment on Cybersecurity Readiness &amp; Audit Framework Development for Sri Lanka’s Electricity Network</w:t>
                            </w:r>
                          </w:p>
                          <w:p w14:paraId="6AC80AD2" w14:textId="77777777" w:rsidR="00A474F6" w:rsidRPr="00A474F6" w:rsidRDefault="00A474F6" w:rsidP="00A474F6">
                            <w:pPr>
                              <w:pStyle w:val="Title"/>
                              <w:rPr>
                                <w:sz w:val="44"/>
                                <w:szCs w:val="44"/>
                              </w:rPr>
                            </w:pPr>
                          </w:p>
                          <w:p w14:paraId="17540D15" w14:textId="77777777" w:rsidR="00A474F6" w:rsidRPr="00A474F6" w:rsidRDefault="00A474F6" w:rsidP="00A474F6">
                            <w:pPr>
                              <w:pStyle w:val="Title"/>
                              <w:rPr>
                                <w:sz w:val="44"/>
                                <w:szCs w:val="44"/>
                              </w:rPr>
                            </w:pPr>
                          </w:p>
                          <w:p w14:paraId="5AB387E8" w14:textId="0E869C99" w:rsidR="00216812" w:rsidRPr="00A474F6" w:rsidRDefault="00A474F6" w:rsidP="00A474F6">
                            <w:pPr>
                              <w:pStyle w:val="Title"/>
                              <w:rPr>
                                <w:sz w:val="44"/>
                                <w:szCs w:val="44"/>
                              </w:rPr>
                            </w:pPr>
                            <w:r w:rsidRPr="00A474F6">
                              <w:rPr>
                                <w:sz w:val="44"/>
                                <w:szCs w:val="44"/>
                              </w:rPr>
                              <w:t>Security Risk Assessment (SRA)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B22930" id="_x0000_t202" coordsize="21600,21600" o:spt="202" path="m,l,21600r21600,l21600,xe">
                <v:stroke joinstyle="miter"/>
                <v:path gradientshapeok="t" o:connecttype="rect"/>
              </v:shapetype>
              <v:shape id="Text Box 2" o:spid="_x0000_s1026" type="#_x0000_t202" style="position:absolute;left:0;text-align:left;margin-left:18.75pt;margin-top:5.2pt;width:469.5pt;height:142.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" filled="f" stroked="f">
                <v:textbox>
                  <w:txbxContent>
                    <w:p w14:paraId="6F021BC3" w14:textId="019D8BA8" w:rsidR="00A474F6" w:rsidRPr="00A474F6" w:rsidRDefault="008770FC" w:rsidP="00A474F6">
                      <w:pPr>
                        <w:rPr>
                          <w:sz w:val="44"/>
                          <w:szCs w:val="44"/>
                          <w:lang w:val="en-US"/>
                        </w:rPr>
                      </w:pPr>
                      <w:r w:rsidRPr="008770FC">
                        <w:rPr>
                          <w:rFonts w:asciiTheme="majorHAnsi" w:eastAsiaTheme="majorEastAsia" w:hAnsiTheme="majorHAnsi" w:cstheme="majorBidi"/>
                          <w:spacing w:val="-10"/>
                          <w:kern w:val="28"/>
                          <w:sz w:val="48"/>
                          <w:szCs w:val="48"/>
                        </w:rPr>
                        <w:t>Proposal: Assessment on Cybersecurity Readiness &amp; Audit Framework Development for Sri Lanka’s Electricity Network</w:t>
                      </w:r>
                    </w:p>
                    <w:p w14:paraId="6AC80AD2" w14:textId="77777777" w:rsidR="00A474F6" w:rsidRPr="00A474F6" w:rsidRDefault="00A474F6" w:rsidP="00A474F6">
                      <w:pPr>
                        <w:pStyle w:val="Title"/>
                        <w:rPr>
                          <w:sz w:val="44"/>
                          <w:szCs w:val="44"/>
                        </w:rPr>
                      </w:pPr>
                    </w:p>
                    <w:p w14:paraId="17540D15" w14:textId="77777777" w:rsidR="00A474F6" w:rsidRPr="00A474F6" w:rsidRDefault="00A474F6" w:rsidP="00A474F6">
                      <w:pPr>
                        <w:pStyle w:val="Title"/>
                        <w:rPr>
                          <w:sz w:val="44"/>
                          <w:szCs w:val="44"/>
                        </w:rPr>
                      </w:pPr>
                    </w:p>
                    <w:p w14:paraId="5AB387E8" w14:textId="0E869C99" w:rsidR="00216812" w:rsidRPr="00A474F6" w:rsidRDefault="00A474F6" w:rsidP="00A474F6">
                      <w:pPr>
                        <w:pStyle w:val="Title"/>
                        <w:rPr>
                          <w:sz w:val="44"/>
                          <w:szCs w:val="44"/>
                        </w:rPr>
                      </w:pPr>
                      <w:r w:rsidRPr="00A474F6">
                        <w:rPr>
                          <w:sz w:val="44"/>
                          <w:szCs w:val="44"/>
                        </w:rPr>
                        <w:t>Security Risk Assessment (SRA)</w:t>
                      </w:r>
                    </w:p>
                  </w:txbxContent>
                </v:textbox>
                <w10:wrap type="square" anchorx="margin"/>
              </v:shape>
            </w:pict>
          </mc:Fallback>
        </mc:AlternateContent>
      </w:r>
    </w:p>
    <w:p w14:paraId="1C875C9F" w14:textId="0C96A9BD" w:rsidR="00216812" w:rsidRPr="000045A1" w:rsidRDefault="00216812" w:rsidP="004A62AC">
      <w:pPr>
        <w:pStyle w:val="CoverSubhead2"/>
      </w:pPr>
    </w:p>
    <w:p w14:paraId="40B76735" w14:textId="0A938AD2" w:rsidR="00216812" w:rsidRDefault="00216812" w:rsidP="004A62AC">
      <w:pPr>
        <w:pStyle w:val="CoverSubhead"/>
      </w:pPr>
    </w:p>
    <w:p w14:paraId="25CA8B59" w14:textId="7D48DA85" w:rsidR="00C155D4" w:rsidRDefault="00C155D4" w:rsidP="004A62AC">
      <w:pPr>
        <w:pStyle w:val="CoverSubhead"/>
      </w:pPr>
    </w:p>
    <w:p w14:paraId="49BBFEA6" w14:textId="77777777" w:rsidR="00C155D4" w:rsidRDefault="00C155D4" w:rsidP="004A62AC">
      <w:pPr>
        <w:pStyle w:val="CoverSubhead"/>
      </w:pPr>
    </w:p>
    <w:p w14:paraId="41AEA6AF" w14:textId="77777777" w:rsidR="00C155D4" w:rsidRDefault="00C155D4" w:rsidP="004A62AC">
      <w:pPr>
        <w:pStyle w:val="CoverSubhead"/>
      </w:pPr>
    </w:p>
    <w:tbl>
      <w:tblPr>
        <w:tblStyle w:val="TableGrid"/>
        <w:tblpPr w:leftFromText="180" w:rightFromText="180" w:vertAnchor="text" w:horzAnchor="page" w:tblpX="5761" w:tblpY="121"/>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7"/>
        <w:gridCol w:w="3582"/>
      </w:tblGrid>
      <w:tr w:rsidR="00A474F6" w:rsidRPr="00A474F6" w14:paraId="53F14F68" w14:textId="77777777" w:rsidTr="00A474F6">
        <w:tc>
          <w:tcPr>
            <w:tcW w:w="1173" w:type="dxa"/>
          </w:tcPr>
          <w:p w14:paraId="5C2EF35F" w14:textId="14DD6DBB" w:rsidR="00A474F6" w:rsidRPr="00A474F6" w:rsidRDefault="00A474F6" w:rsidP="00A474F6">
            <w:pPr>
              <w:jc w:val="right"/>
              <w:rPr>
                <w:rStyle w:val="SubtleReference"/>
                <w:smallCaps w:val="0"/>
                <w:color w:val="808080" w:themeColor="background1" w:themeShade="80"/>
                <w:sz w:val="28"/>
                <w:szCs w:val="28"/>
              </w:rPr>
            </w:pPr>
            <w:r w:rsidRPr="00A474F6">
              <w:rPr>
                <w:rStyle w:val="SubtleReference"/>
                <w:smallCaps w:val="0"/>
                <w:color w:val="808080" w:themeColor="background1" w:themeShade="80"/>
                <w:sz w:val="28"/>
                <w:szCs w:val="28"/>
              </w:rPr>
              <w:t>Version</w:t>
            </w:r>
            <w:r>
              <w:rPr>
                <w:rStyle w:val="SubtleReference"/>
                <w:smallCaps w:val="0"/>
                <w:color w:val="808080" w:themeColor="background1" w:themeShade="80"/>
                <w:sz w:val="28"/>
                <w:szCs w:val="28"/>
              </w:rPr>
              <w:t>:</w:t>
            </w:r>
          </w:p>
        </w:tc>
        <w:tc>
          <w:tcPr>
            <w:tcW w:w="3646" w:type="dxa"/>
          </w:tcPr>
          <w:p w14:paraId="103B7482" w14:textId="2D7FC1F3" w:rsidR="00A474F6" w:rsidRPr="00A474F6" w:rsidRDefault="00A474F6" w:rsidP="00A474F6">
            <w:pPr>
              <w:jc w:val="right"/>
              <w:rPr>
                <w:rStyle w:val="SubtleReference"/>
                <w:smallCaps w:val="0"/>
                <w:color w:val="808080" w:themeColor="background1" w:themeShade="80"/>
                <w:sz w:val="28"/>
                <w:szCs w:val="28"/>
              </w:rPr>
            </w:pPr>
            <w:r w:rsidRPr="00A474F6">
              <w:rPr>
                <w:rStyle w:val="SubtleReference"/>
                <w:smallCaps w:val="0"/>
                <w:color w:val="808080" w:themeColor="background1" w:themeShade="80"/>
                <w:sz w:val="28"/>
                <w:szCs w:val="28"/>
              </w:rPr>
              <w:t>0.5</w:t>
            </w:r>
          </w:p>
        </w:tc>
      </w:tr>
      <w:tr w:rsidR="00A474F6" w:rsidRPr="00A474F6" w14:paraId="0BBEB046" w14:textId="77777777" w:rsidTr="00A474F6">
        <w:tc>
          <w:tcPr>
            <w:tcW w:w="1173" w:type="dxa"/>
          </w:tcPr>
          <w:p w14:paraId="6B801AC0" w14:textId="293E9456" w:rsidR="00A474F6" w:rsidRPr="00A474F6" w:rsidRDefault="00A474F6" w:rsidP="00A474F6">
            <w:pPr>
              <w:jc w:val="right"/>
              <w:rPr>
                <w:rStyle w:val="SubtleReference"/>
                <w:smallCaps w:val="0"/>
                <w:color w:val="808080" w:themeColor="background1" w:themeShade="80"/>
                <w:sz w:val="28"/>
                <w:szCs w:val="28"/>
              </w:rPr>
            </w:pPr>
            <w:r w:rsidRPr="00A474F6">
              <w:rPr>
                <w:rStyle w:val="SubtleReference"/>
                <w:smallCaps w:val="0"/>
                <w:color w:val="808080" w:themeColor="background1" w:themeShade="80"/>
                <w:sz w:val="28"/>
                <w:szCs w:val="28"/>
              </w:rPr>
              <w:t>Date</w:t>
            </w:r>
            <w:r>
              <w:rPr>
                <w:rStyle w:val="SubtleReference"/>
                <w:smallCaps w:val="0"/>
                <w:color w:val="808080" w:themeColor="background1" w:themeShade="80"/>
                <w:sz w:val="28"/>
                <w:szCs w:val="28"/>
              </w:rPr>
              <w:t>:</w:t>
            </w:r>
          </w:p>
        </w:tc>
        <w:tc>
          <w:tcPr>
            <w:tcW w:w="3646" w:type="dxa"/>
          </w:tcPr>
          <w:p w14:paraId="2C8F2D04" w14:textId="028261DF" w:rsidR="00A474F6" w:rsidRPr="00A474F6" w:rsidRDefault="008770FC" w:rsidP="00A474F6">
            <w:pPr>
              <w:jc w:val="right"/>
              <w:rPr>
                <w:rStyle w:val="SubtleReference"/>
                <w:smallCaps w:val="0"/>
                <w:color w:val="808080" w:themeColor="background1" w:themeShade="80"/>
                <w:sz w:val="28"/>
                <w:szCs w:val="28"/>
              </w:rPr>
            </w:pPr>
            <w:r>
              <w:rPr>
                <w:rStyle w:val="SubtleReference"/>
                <w:smallCaps w:val="0"/>
                <w:color w:val="808080" w:themeColor="background1" w:themeShade="80"/>
                <w:sz w:val="28"/>
                <w:szCs w:val="28"/>
              </w:rPr>
              <w:t>2</w:t>
            </w:r>
            <w:r w:rsidR="00BE0EB0">
              <w:rPr>
                <w:rStyle w:val="SubtleReference"/>
                <w:smallCaps w:val="0"/>
                <w:color w:val="808080" w:themeColor="background1" w:themeShade="80"/>
                <w:sz w:val="28"/>
                <w:szCs w:val="28"/>
              </w:rPr>
              <w:t>9</w:t>
            </w:r>
            <w:r w:rsidRPr="008770FC">
              <w:rPr>
                <w:rStyle w:val="SubtleReference"/>
                <w:color w:val="808080" w:themeColor="background1" w:themeShade="80"/>
                <w:sz w:val="28"/>
                <w:szCs w:val="28"/>
                <w:vertAlign w:val="superscript"/>
              </w:rPr>
              <w:t>th</w:t>
            </w:r>
            <w:r>
              <w:rPr>
                <w:rStyle w:val="SubtleReference"/>
                <w:color w:val="808080" w:themeColor="background1" w:themeShade="80"/>
                <w:sz w:val="28"/>
                <w:szCs w:val="28"/>
              </w:rPr>
              <w:t xml:space="preserve"> July 2026</w:t>
            </w:r>
          </w:p>
        </w:tc>
      </w:tr>
      <w:tr w:rsidR="00A474F6" w:rsidRPr="00A474F6" w14:paraId="34D5A53B" w14:textId="77777777" w:rsidTr="00A474F6">
        <w:tc>
          <w:tcPr>
            <w:tcW w:w="1173" w:type="dxa"/>
          </w:tcPr>
          <w:p w14:paraId="2D7D1B4A" w14:textId="60CD746B" w:rsidR="00A474F6" w:rsidRPr="00A474F6" w:rsidRDefault="00A474F6" w:rsidP="00A474F6">
            <w:pPr>
              <w:jc w:val="right"/>
              <w:rPr>
                <w:rStyle w:val="SubtleReference"/>
                <w:smallCaps w:val="0"/>
                <w:color w:val="808080" w:themeColor="background1" w:themeShade="80"/>
                <w:sz w:val="28"/>
                <w:szCs w:val="28"/>
              </w:rPr>
            </w:pPr>
            <w:r w:rsidRPr="00A474F6">
              <w:rPr>
                <w:rStyle w:val="SubtleReference"/>
                <w:smallCaps w:val="0"/>
                <w:color w:val="808080" w:themeColor="background1" w:themeShade="80"/>
                <w:sz w:val="28"/>
                <w:szCs w:val="28"/>
              </w:rPr>
              <w:t>Author</w:t>
            </w:r>
            <w:r>
              <w:rPr>
                <w:rStyle w:val="SubtleReference"/>
                <w:smallCaps w:val="0"/>
                <w:color w:val="808080" w:themeColor="background1" w:themeShade="80"/>
                <w:sz w:val="28"/>
                <w:szCs w:val="28"/>
              </w:rPr>
              <w:t>:</w:t>
            </w:r>
          </w:p>
        </w:tc>
        <w:tc>
          <w:tcPr>
            <w:tcW w:w="3646" w:type="dxa"/>
          </w:tcPr>
          <w:p w14:paraId="338C9FA7" w14:textId="5CD90047" w:rsidR="00A474F6" w:rsidRPr="00A474F6" w:rsidRDefault="00D5348B" w:rsidP="00A474F6">
            <w:pPr>
              <w:jc w:val="right"/>
              <w:rPr>
                <w:rStyle w:val="SubtleReference"/>
                <w:smallCaps w:val="0"/>
                <w:color w:val="808080" w:themeColor="background1" w:themeShade="80"/>
                <w:sz w:val="28"/>
                <w:szCs w:val="28"/>
              </w:rPr>
            </w:pPr>
            <w:r>
              <w:rPr>
                <w:rStyle w:val="SubtleReference"/>
                <w:smallCaps w:val="0"/>
                <w:color w:val="808080" w:themeColor="background1" w:themeShade="80"/>
                <w:sz w:val="28"/>
                <w:szCs w:val="28"/>
              </w:rPr>
              <w:t xml:space="preserve">Glyn </w:t>
            </w:r>
            <w:r w:rsidR="00A474F6" w:rsidRPr="00A474F6">
              <w:rPr>
                <w:rStyle w:val="SubtleReference"/>
                <w:smallCaps w:val="0"/>
                <w:color w:val="808080" w:themeColor="background1" w:themeShade="80"/>
                <w:sz w:val="28"/>
                <w:szCs w:val="28"/>
              </w:rPr>
              <w:t>Richards</w:t>
            </w:r>
          </w:p>
        </w:tc>
      </w:tr>
    </w:tbl>
    <w:p w14:paraId="017272A8" w14:textId="41E65CB4" w:rsidR="00A474F6" w:rsidRPr="00A474F6" w:rsidRDefault="00A474F6" w:rsidP="00A474F6">
      <w:pPr>
        <w:pStyle w:val="CoverSubhead"/>
        <w:jc w:val="right"/>
        <w:rPr>
          <w:rStyle w:val="SubtleReference"/>
          <w:sz w:val="28"/>
          <w:szCs w:val="22"/>
        </w:rPr>
      </w:pPr>
    </w:p>
    <w:p w14:paraId="2FA7F425" w14:textId="6EF428D5" w:rsidR="008770FC" w:rsidRPr="008770FC" w:rsidRDefault="00D5348B" w:rsidP="008770FC">
      <w:pPr>
        <w:spacing w:after="240"/>
        <w:rPr>
          <w:b/>
          <w:bCs/>
          <w:sz w:val="24"/>
          <w:szCs w:val="22"/>
        </w:rPr>
      </w:pPr>
      <w:r>
        <w:rPr>
          <w:noProof/>
        </w:rPr>
        <w:drawing>
          <wp:anchor distT="0" distB="0" distL="114300" distR="114300" simplePos="0" relativeHeight="251658752" behindDoc="0" locked="0" layoutInCell="1" allowOverlap="1" wp14:anchorId="6C89556D" wp14:editId="3B592F3F">
            <wp:simplePos x="0" y="0"/>
            <wp:positionH relativeFrom="margin">
              <wp:posOffset>-180975</wp:posOffset>
            </wp:positionH>
            <wp:positionV relativeFrom="margin">
              <wp:posOffset>4857115</wp:posOffset>
            </wp:positionV>
            <wp:extent cx="6854025" cy="3399790"/>
            <wp:effectExtent l="0" t="0" r="0" b="0"/>
            <wp:wrapSquare wrapText="bothSides"/>
            <wp:docPr id="111429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94069" name="Picture 1114294069"/>
                    <pic:cNvPicPr/>
                  </pic:nvPicPr>
                  <pic:blipFill>
                    <a:blip r:embed="rId9">
                      <a:extLst>
                        <a:ext uri="{28A0092B-C50C-407E-A947-70E740481C1C}">
                          <a14:useLocalDpi xmlns:a14="http://schemas.microsoft.com/office/drawing/2010/main" val="0"/>
                        </a:ext>
                      </a:extLst>
                    </a:blip>
                    <a:stretch>
                      <a:fillRect/>
                    </a:stretch>
                  </pic:blipFill>
                  <pic:spPr>
                    <a:xfrm>
                      <a:off x="0" y="0"/>
                      <a:ext cx="6854025" cy="3399790"/>
                    </a:xfrm>
                    <a:prstGeom prst="rect">
                      <a:avLst/>
                    </a:prstGeom>
                  </pic:spPr>
                </pic:pic>
              </a:graphicData>
            </a:graphic>
          </wp:anchor>
        </w:drawing>
      </w:r>
      <w:r w:rsidR="00EA1458">
        <w:br w:type="page"/>
      </w:r>
      <w:r w:rsidR="00EA1458" w:rsidRPr="00692111">
        <w:rPr>
          <w:rStyle w:val="Strong"/>
          <w:sz w:val="24"/>
          <w:szCs w:val="22"/>
        </w:rPr>
        <w:lastRenderedPageBreak/>
        <w:t>Important Confidentiality Notice</w:t>
      </w:r>
    </w:p>
    <w:p w14:paraId="594DF4C0" w14:textId="1C13AD5B" w:rsidR="008770FC" w:rsidRPr="008770FC" w:rsidRDefault="008770FC" w:rsidP="008770FC">
      <w:pPr>
        <w:spacing w:line="240" w:lineRule="auto"/>
      </w:pPr>
      <w:r>
        <w:rPr>
          <w:b/>
          <w:bCs/>
        </w:rPr>
        <w:t xml:space="preserve">The information and data in this document constitute confidential information of Platinum High Integrity Technologies Limited (Malta) and EML Consultants PLC are provided for evaluation purposes only to the Public Utilities Commission of Sri Lanka (PUCSL). In consideration of receipt of this document, the recipient agrees to maintain such information in confidence and not to reproduce or otherwise disclose it to anyone outside the individual(s) or entity directly responsible for evaluating its contents. These confidentiality restrictions shall not apply to any such information known to the recipient without restriction before receipt of this document as evidenced by written business records, which become publicly known through no fault of the recipient or rightfully received by the recipient from a third party without restriction. </w:t>
      </w:r>
    </w:p>
    <w:p w14:paraId="1460FF94" w14:textId="77777777" w:rsidR="008770FC" w:rsidRDefault="008770FC" w:rsidP="008770FC">
      <w:pPr>
        <w:spacing w:line="240" w:lineRule="auto"/>
      </w:pPr>
    </w:p>
    <w:p w14:paraId="1EB34444" w14:textId="1CA564F4" w:rsidR="008770FC" w:rsidRPr="008770FC" w:rsidRDefault="008770FC" w:rsidP="008770FC">
      <w:pPr>
        <w:spacing w:line="240" w:lineRule="auto"/>
      </w:pPr>
      <w:r w:rsidRPr="008770FC">
        <w:t xml:space="preserve">This document includes information about current </w:t>
      </w:r>
      <w:r w:rsidR="00D35CAF">
        <w:t xml:space="preserve">Platinum High Integrity Technologies Limited (Malta) and EML </w:t>
      </w:r>
      <w:r w:rsidR="00BE0EB0">
        <w:t xml:space="preserve">Consultants </w:t>
      </w:r>
      <w:proofErr w:type="gramStart"/>
      <w:r w:rsidR="00BE0EB0">
        <w:t xml:space="preserve">PLC </w:t>
      </w:r>
      <w:r w:rsidRPr="008770FC">
        <w:t xml:space="preserve"> products</w:t>
      </w:r>
      <w:proofErr w:type="gramEnd"/>
      <w:r w:rsidRPr="008770FC">
        <w:t xml:space="preserve">, sales, and service programs that may be enhanced or discontinued at </w:t>
      </w:r>
      <w:r w:rsidR="00D35CAF">
        <w:t xml:space="preserve">Platinum High Integrity Technologies Limited (Malta) and EML </w:t>
      </w:r>
      <w:r w:rsidR="00BE0EB0">
        <w:t xml:space="preserve">Consultants PLC </w:t>
      </w:r>
      <w:r w:rsidRPr="008770FC">
        <w:t xml:space="preserve">'s sole discretion. </w:t>
      </w:r>
      <w:r w:rsidR="00D35CAF">
        <w:t xml:space="preserve">Platinum High Integrity Technologies Limited (Malta) and EML </w:t>
      </w:r>
      <w:r w:rsidR="00BE0EB0">
        <w:t xml:space="preserve">Consultants </w:t>
      </w:r>
      <w:proofErr w:type="gramStart"/>
      <w:r w:rsidR="00BE0EB0">
        <w:t xml:space="preserve">PLC </w:t>
      </w:r>
      <w:r w:rsidRPr="008770FC">
        <w:t xml:space="preserve"> has</w:t>
      </w:r>
      <w:proofErr w:type="gramEnd"/>
      <w:r w:rsidRPr="008770FC">
        <w:t xml:space="preserve"> endeavoured to include in this document the materials that are believed to be reliable and relevant for the recipient's evaluation. Neither </w:t>
      </w:r>
      <w:r w:rsidR="00D35CAF">
        <w:t xml:space="preserve">Platinum High Integrity Technologies Limited (Malta) and EML </w:t>
      </w:r>
      <w:r w:rsidR="00BE0EB0">
        <w:t xml:space="preserve">Consultants </w:t>
      </w:r>
      <w:proofErr w:type="gramStart"/>
      <w:r w:rsidR="00BE0EB0">
        <w:t xml:space="preserve">PLC </w:t>
      </w:r>
      <w:r w:rsidRPr="008770FC">
        <w:t xml:space="preserve"> nor</w:t>
      </w:r>
      <w:proofErr w:type="gramEnd"/>
      <w:r w:rsidRPr="008770FC">
        <w:t xml:space="preserve"> its representatives make any warranties as to the accuracy or completeness of the information. Accordingly, this document is provided for information purposes only and for you to assess as appropriate to your business needs. Neither </w:t>
      </w:r>
      <w:r w:rsidR="00D35CAF">
        <w:t xml:space="preserve">Platinum High Integrity Technologies Limited (Malta) and EML </w:t>
      </w:r>
      <w:r w:rsidR="00BE0EB0">
        <w:t xml:space="preserve">Consultants </w:t>
      </w:r>
      <w:proofErr w:type="gramStart"/>
      <w:r w:rsidR="00BE0EB0">
        <w:t xml:space="preserve">PLC </w:t>
      </w:r>
      <w:r w:rsidRPr="008770FC">
        <w:t xml:space="preserve"> nor</w:t>
      </w:r>
      <w:proofErr w:type="gramEnd"/>
      <w:r w:rsidRPr="008770FC">
        <w:t xml:space="preserve"> its representatives shall have any liability to the recipient or any of its representatives due to the use of the information provided. </w:t>
      </w:r>
    </w:p>
    <w:p w14:paraId="05C33FF6" w14:textId="77777777" w:rsidR="008770FC" w:rsidRDefault="008770FC" w:rsidP="008770FC">
      <w:pPr>
        <w:spacing w:line="240" w:lineRule="auto"/>
      </w:pPr>
    </w:p>
    <w:p w14:paraId="5E4EA85D" w14:textId="02F4CF19" w:rsidR="008770FC" w:rsidRPr="008770FC" w:rsidRDefault="008770FC" w:rsidP="008770FC">
      <w:pPr>
        <w:spacing w:line="240" w:lineRule="auto"/>
      </w:pPr>
      <w:r w:rsidRPr="008770FC">
        <w:t xml:space="preserve">This report does not constitute an offer capable of your acceptance and is subject to the agreement of a formal contract specifying terms and conditions. No contractual relationship shall arise until both parties have signed a formal contract. </w:t>
      </w:r>
      <w:r w:rsidR="00D35CAF">
        <w:t xml:space="preserve">Platinum High Integrity Technologies Limited (Malta) and EML </w:t>
      </w:r>
      <w:r w:rsidR="00BE0EB0">
        <w:t xml:space="preserve">Consultants </w:t>
      </w:r>
      <w:proofErr w:type="gramStart"/>
      <w:r w:rsidR="00BE0EB0">
        <w:t xml:space="preserve">PLC </w:t>
      </w:r>
      <w:r w:rsidRPr="008770FC">
        <w:t xml:space="preserve"> consultants</w:t>
      </w:r>
      <w:proofErr w:type="gramEnd"/>
      <w:r w:rsidRPr="008770FC">
        <w:t xml:space="preserve"> will not commence work under this proposal without a formal written agreement signed by both parties. </w:t>
      </w:r>
    </w:p>
    <w:p w14:paraId="03E81C72" w14:textId="77777777" w:rsidR="008770FC" w:rsidRDefault="008770FC" w:rsidP="008770FC">
      <w:pPr>
        <w:spacing w:line="240" w:lineRule="auto"/>
      </w:pPr>
    </w:p>
    <w:p w14:paraId="0A9DD274" w14:textId="2E7970C6" w:rsidR="008770FC" w:rsidRPr="008770FC" w:rsidRDefault="008770FC" w:rsidP="008770FC">
      <w:pPr>
        <w:spacing w:line="240" w:lineRule="auto"/>
      </w:pPr>
      <w:r w:rsidRPr="008770FC">
        <w:t xml:space="preserve">The term “solution” in the context of this document is defined as the products and services proposed herein. Since additional information may be required from the Public Utilities Commission of Sri Lanka to develop the appropriate configuration for a specific project, the term “solution” does not imply that those products or services as proposed are guaranteed to, or will, meet any mandated or implied requirements or integrate or inter-operate with any other products, processes or systems. </w:t>
      </w:r>
    </w:p>
    <w:p w14:paraId="34DC6682" w14:textId="77777777" w:rsidR="008770FC" w:rsidRDefault="008770FC" w:rsidP="008770FC">
      <w:pPr>
        <w:spacing w:line="240" w:lineRule="auto"/>
      </w:pPr>
    </w:p>
    <w:p w14:paraId="72E7D04B" w14:textId="77777777" w:rsidR="008770FC" w:rsidRPr="008770FC" w:rsidRDefault="008770FC" w:rsidP="008770FC">
      <w:pPr>
        <w:spacing w:line="240" w:lineRule="auto"/>
      </w:pPr>
      <w:r w:rsidRPr="008770FC">
        <w:t>Unless otherwise agreed in writing, pricing estimates and proposal terms are valid for 60 calendar days from the closing date of the proposal submission as per RFP stipulations.</w:t>
      </w:r>
    </w:p>
    <w:p w14:paraId="78343297" w14:textId="77777777" w:rsidR="00EA1458" w:rsidRDefault="00EA1458" w:rsidP="00056449">
      <w:pPr>
        <w:spacing w:line="240" w:lineRule="auto"/>
      </w:pPr>
    </w:p>
    <w:p w14:paraId="6515319D" w14:textId="77777777" w:rsidR="00E625C4" w:rsidRDefault="00E625C4" w:rsidP="00056449">
      <w:pPr>
        <w:spacing w:line="240" w:lineRule="auto"/>
      </w:pPr>
    </w:p>
    <w:p w14:paraId="02B168D5" w14:textId="3DA6DE1B" w:rsidR="00733A69" w:rsidRPr="00733A69" w:rsidRDefault="00733A69" w:rsidP="00733A69">
      <w:pPr>
        <w:spacing w:line="240" w:lineRule="auto"/>
        <w:rPr>
          <w:b/>
          <w:bCs/>
          <w:sz w:val="24"/>
          <w:szCs w:val="22"/>
        </w:rPr>
      </w:pPr>
      <w:r w:rsidRPr="00733A69">
        <w:rPr>
          <w:b/>
          <w:bCs/>
          <w:sz w:val="24"/>
          <w:szCs w:val="22"/>
        </w:rPr>
        <w:t>Sri Lanka Right to Information Act 2016 Statement of Confidential Commercial Information</w:t>
      </w:r>
    </w:p>
    <w:p w14:paraId="5A7DA6A4" w14:textId="77777777" w:rsidR="00733A69" w:rsidRPr="00733A69" w:rsidRDefault="00733A69" w:rsidP="00733A69">
      <w:pPr>
        <w:spacing w:line="240" w:lineRule="auto"/>
        <w:rPr>
          <w:sz w:val="24"/>
          <w:szCs w:val="22"/>
        </w:rPr>
      </w:pPr>
    </w:p>
    <w:p w14:paraId="6B0F72B1" w14:textId="3834384F" w:rsidR="00733A69" w:rsidRDefault="00733A69" w:rsidP="00733A69">
      <w:pPr>
        <w:spacing w:line="240" w:lineRule="auto"/>
        <w:rPr>
          <w:sz w:val="24"/>
          <w:szCs w:val="22"/>
        </w:rPr>
      </w:pPr>
      <w:r w:rsidRPr="00733A69">
        <w:rPr>
          <w:sz w:val="24"/>
          <w:szCs w:val="22"/>
        </w:rPr>
        <w:t xml:space="preserve">All information in this proposal is provided in confidence. In addition to the confidentiality of the information, the content of this proposal is commercially sensitive. Any disclosure of this proposal would significantly harm the competitive position of Platinum High Integrity Technologies Limited (Malta) and EML </w:t>
      </w:r>
      <w:r w:rsidR="00BE0EB0">
        <w:rPr>
          <w:sz w:val="24"/>
          <w:szCs w:val="22"/>
        </w:rPr>
        <w:t xml:space="preserve">Consultants </w:t>
      </w:r>
      <w:proofErr w:type="gramStart"/>
      <w:r w:rsidR="00BE0EB0">
        <w:rPr>
          <w:sz w:val="24"/>
          <w:szCs w:val="22"/>
        </w:rPr>
        <w:t xml:space="preserve">PLC </w:t>
      </w:r>
      <w:r w:rsidRPr="00733A69">
        <w:rPr>
          <w:sz w:val="24"/>
          <w:szCs w:val="22"/>
        </w:rPr>
        <w:t xml:space="preserve"> because</w:t>
      </w:r>
      <w:proofErr w:type="gramEnd"/>
      <w:r w:rsidRPr="00733A69">
        <w:rPr>
          <w:sz w:val="24"/>
          <w:szCs w:val="22"/>
        </w:rPr>
        <w:t xml:space="preserve"> the company has invested considerable time, effort and know-how into the project, aiming to differentiate itself from its competitors. The solution put forward to you contains many aspects unique to Platinum High Integrity Technologies Limited </w:t>
      </w:r>
      <w:r w:rsidRPr="00733A69">
        <w:rPr>
          <w:sz w:val="24"/>
          <w:szCs w:val="22"/>
        </w:rPr>
        <w:lastRenderedPageBreak/>
        <w:t xml:space="preserve">(Malta) and EML </w:t>
      </w:r>
      <w:r w:rsidR="00BE0EB0">
        <w:rPr>
          <w:sz w:val="24"/>
          <w:szCs w:val="22"/>
        </w:rPr>
        <w:t xml:space="preserve">Consultants PLC </w:t>
      </w:r>
      <w:r w:rsidRPr="00733A69">
        <w:rPr>
          <w:sz w:val="24"/>
          <w:szCs w:val="22"/>
        </w:rPr>
        <w:t xml:space="preserve"> (including, but not limited to, end-user information, Platinum High Integrity Technologies Limited (Malta) and EML </w:t>
      </w:r>
      <w:r w:rsidR="00BE0EB0">
        <w:rPr>
          <w:sz w:val="24"/>
          <w:szCs w:val="22"/>
        </w:rPr>
        <w:t xml:space="preserve">Consultants PLC </w:t>
      </w:r>
      <w:r w:rsidRPr="00733A69">
        <w:rPr>
          <w:sz w:val="24"/>
          <w:szCs w:val="22"/>
        </w:rPr>
        <w:t xml:space="preserve"> proprietary trade secrets, pricing and discount data) and consequently is exempt from disclosure under the Right to Information Act, No. 12 of 2016 (under Section 5(d)).</w:t>
      </w:r>
    </w:p>
    <w:p w14:paraId="2FB70DF1" w14:textId="77777777" w:rsidR="00733A69" w:rsidRPr="00733A69" w:rsidRDefault="00733A69" w:rsidP="00733A69">
      <w:pPr>
        <w:spacing w:line="240" w:lineRule="auto"/>
        <w:rPr>
          <w:sz w:val="24"/>
          <w:szCs w:val="22"/>
        </w:rPr>
      </w:pPr>
    </w:p>
    <w:p w14:paraId="4AAFDCCD" w14:textId="77777777" w:rsidR="00733A69" w:rsidRDefault="00733A69" w:rsidP="00733A69">
      <w:pPr>
        <w:spacing w:line="240" w:lineRule="auto"/>
        <w:rPr>
          <w:sz w:val="24"/>
          <w:szCs w:val="22"/>
        </w:rPr>
      </w:pPr>
      <w:r>
        <w:rPr>
          <w:sz w:val="24"/>
          <w:szCs w:val="22"/>
        </w:rPr>
        <w:t xml:space="preserve">© Copyright 2026 Platinum High Integrity Technologies Limited (Malta) and EML Consultants PLC.</w:t>
      </w:r>
    </w:p>
    <w:p w14:paraId="53E18C16" w14:textId="6A2EEFDF" w:rsidR="004E38D7" w:rsidRDefault="004E38D7">
      <w:pPr>
        <w:widowControl w:val="0"/>
        <w:autoSpaceDE w:val="0"/>
        <w:autoSpaceDN w:val="0"/>
        <w:spacing w:line="240" w:lineRule="auto"/>
        <w:jc w:val="left"/>
        <w:rPr>
          <w:sz w:val="24"/>
          <w:szCs w:val="22"/>
        </w:rPr>
      </w:pPr>
      <w:r>
        <w:rPr>
          <w:sz w:val="24"/>
          <w:szCs w:val="22"/>
        </w:rPr>
        <w:br w:type="page"/>
      </w:r>
    </w:p>
    <w:p w14:paraId="25B525CA" w14:textId="77777777" w:rsidR="004E38D7" w:rsidRPr="00733A69" w:rsidRDefault="004E38D7" w:rsidP="00733A69">
      <w:pPr>
        <w:spacing w:line="240" w:lineRule="auto"/>
        <w:rPr>
          <w:sz w:val="24"/>
          <w:szCs w:val="22"/>
        </w:rPr>
      </w:pPr>
    </w:p>
    <w:sdt>
      <w:sdtPr>
        <w:rPr>
          <w:rFonts w:asciiTheme="minorHAnsi" w:eastAsia="Times New Roman" w:hAnsiTheme="minorHAnsi" w:cs="Arial"/>
          <w:color w:val="auto"/>
          <w:sz w:val="22"/>
          <w:szCs w:val="20"/>
        </w:rPr>
        <w:id w:val="416832539"/>
        <w:docPartObj>
          <w:docPartGallery w:val="Table of Contents"/>
          <w:docPartUnique/>
        </w:docPartObj>
      </w:sdtPr>
      <w:sdtEndPr>
        <w:rPr>
          <w:b/>
          <w:bCs/>
        </w:rPr>
      </w:sdtEndPr>
      <w:sdtContent>
        <w:p w14:paraId="4FE1B8E9" w14:textId="24131DD5" w:rsidR="008E3288" w:rsidRDefault="008E3288">
          <w:pPr>
            <w:pStyle w:val="TOCHeading"/>
          </w:pPr>
          <w:r>
            <w:t>Contents</w:t>
          </w:r>
        </w:p>
        <w:p w14:paraId="71A6B3EB" w14:textId="7B9EDC23" w:rsidR="00BE0EB0" w:rsidRDefault="008E3288">
          <w:pPr>
            <w:pStyle w:val="TOC1"/>
            <w:tabs>
              <w:tab w:val="left" w:pos="440"/>
              <w:tab w:val="right" w:leader="dot" w:pos="10460"/>
            </w:tabs>
            <w:rPr>
              <w:rFonts w:eastAsiaTheme="minorEastAsia"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236212071" w:history="1">
            <w:r w:rsidR="00BE0EB0" w:rsidRPr="009B54DD">
              <w:rPr>
                <w:rStyle w:val="Hyperlink"/>
                <w:noProof/>
              </w:rPr>
              <w:t>1</w:t>
            </w:r>
            <w:r w:rsidR="00BE0EB0">
              <w:rPr>
                <w:rFonts w:eastAsiaTheme="minorEastAsia" w:cstheme="minorBidi"/>
                <w:noProof/>
                <w:kern w:val="2"/>
                <w:sz w:val="24"/>
                <w:szCs w:val="24"/>
                <w:lang w:eastAsia="en-GB"/>
                <w14:ligatures w14:val="standardContextual"/>
              </w:rPr>
              <w:tab/>
            </w:r>
            <w:r w:rsidR="00BE0EB0" w:rsidRPr="009B54DD">
              <w:rPr>
                <w:rStyle w:val="Hyperlink"/>
                <w:noProof/>
              </w:rPr>
              <w:t>Overview</w:t>
            </w:r>
            <w:r w:rsidR="00BE0EB0">
              <w:rPr>
                <w:noProof/>
                <w:webHidden/>
              </w:rPr>
              <w:tab/>
            </w:r>
            <w:r w:rsidR="00BE0EB0">
              <w:rPr>
                <w:noProof/>
                <w:webHidden/>
              </w:rPr>
              <w:fldChar w:fldCharType="begin"/>
            </w:r>
            <w:r w:rsidR="00BE0EB0">
              <w:rPr>
                <w:noProof/>
                <w:webHidden/>
              </w:rPr>
              <w:instrText xml:space="preserve"> PAGEREF _Toc236212071 \h </w:instrText>
            </w:r>
            <w:r w:rsidR="00BE0EB0">
              <w:rPr>
                <w:noProof/>
                <w:webHidden/>
              </w:rPr>
            </w:r>
            <w:r w:rsidR="00BE0EB0">
              <w:rPr>
                <w:noProof/>
                <w:webHidden/>
              </w:rPr>
              <w:fldChar w:fldCharType="separate"/>
            </w:r>
            <w:r w:rsidR="00BE0EB0">
              <w:rPr>
                <w:noProof/>
                <w:webHidden/>
              </w:rPr>
              <w:t>5</w:t>
            </w:r>
            <w:r w:rsidR="00BE0EB0">
              <w:rPr>
                <w:noProof/>
                <w:webHidden/>
              </w:rPr>
              <w:fldChar w:fldCharType="end"/>
            </w:r>
          </w:hyperlink>
        </w:p>
        <w:p w14:paraId="23512F97" w14:textId="23EBB6F2" w:rsidR="00BE0EB0" w:rsidRDefault="00BE0EB0">
          <w:pPr>
            <w:pStyle w:val="TOC1"/>
            <w:tabs>
              <w:tab w:val="left" w:pos="440"/>
              <w:tab w:val="right" w:leader="dot" w:pos="10460"/>
            </w:tabs>
            <w:rPr>
              <w:rFonts w:eastAsiaTheme="minorEastAsia" w:cstheme="minorBidi"/>
              <w:noProof/>
              <w:kern w:val="2"/>
              <w:sz w:val="24"/>
              <w:szCs w:val="24"/>
              <w:lang w:eastAsia="en-GB"/>
              <w14:ligatures w14:val="standardContextual"/>
            </w:rPr>
          </w:pPr>
          <w:hyperlink w:anchor="_Toc236212072" w:history="1">
            <w:r w:rsidRPr="009B54DD">
              <w:rPr>
                <w:rStyle w:val="Hyperlink"/>
                <w:noProof/>
              </w:rPr>
              <w:t>2</w:t>
            </w:r>
            <w:r>
              <w:rPr>
                <w:rFonts w:eastAsiaTheme="minorEastAsia" w:cstheme="minorBidi"/>
                <w:noProof/>
                <w:kern w:val="2"/>
                <w:sz w:val="24"/>
                <w:szCs w:val="24"/>
                <w:lang w:eastAsia="en-GB"/>
                <w14:ligatures w14:val="standardContextual"/>
              </w:rPr>
              <w:tab/>
            </w:r>
            <w:r w:rsidRPr="009B54DD">
              <w:rPr>
                <w:rStyle w:val="Hyperlink"/>
                <w:noProof/>
              </w:rPr>
              <w:t>Objectives</w:t>
            </w:r>
            <w:r>
              <w:rPr>
                <w:noProof/>
                <w:webHidden/>
              </w:rPr>
              <w:tab/>
            </w:r>
            <w:r>
              <w:rPr>
                <w:noProof/>
                <w:webHidden/>
              </w:rPr>
              <w:fldChar w:fldCharType="begin"/>
            </w:r>
            <w:r>
              <w:rPr>
                <w:noProof/>
                <w:webHidden/>
              </w:rPr>
              <w:instrText xml:space="preserve"> PAGEREF _Toc236212072 \h </w:instrText>
            </w:r>
            <w:r>
              <w:rPr>
                <w:noProof/>
                <w:webHidden/>
              </w:rPr>
            </w:r>
            <w:r>
              <w:rPr>
                <w:noProof/>
                <w:webHidden/>
              </w:rPr>
              <w:fldChar w:fldCharType="separate"/>
            </w:r>
            <w:r>
              <w:rPr>
                <w:noProof/>
                <w:webHidden/>
              </w:rPr>
              <w:t>5</w:t>
            </w:r>
            <w:r>
              <w:rPr>
                <w:noProof/>
                <w:webHidden/>
              </w:rPr>
              <w:fldChar w:fldCharType="end"/>
            </w:r>
          </w:hyperlink>
        </w:p>
        <w:p w14:paraId="7C9B7903" w14:textId="465DF3B6" w:rsidR="00BE0EB0" w:rsidRDefault="00BE0EB0">
          <w:pPr>
            <w:pStyle w:val="TOC1"/>
            <w:tabs>
              <w:tab w:val="left" w:pos="440"/>
              <w:tab w:val="right" w:leader="dot" w:pos="10460"/>
            </w:tabs>
            <w:rPr>
              <w:rFonts w:eastAsiaTheme="minorEastAsia" w:cstheme="minorBidi"/>
              <w:noProof/>
              <w:kern w:val="2"/>
              <w:sz w:val="24"/>
              <w:szCs w:val="24"/>
              <w:lang w:eastAsia="en-GB"/>
              <w14:ligatures w14:val="standardContextual"/>
            </w:rPr>
          </w:pPr>
          <w:hyperlink w:anchor="_Toc236212073" w:history="1">
            <w:r w:rsidRPr="009B54DD">
              <w:rPr>
                <w:rStyle w:val="Hyperlink"/>
                <w:noProof/>
              </w:rPr>
              <w:t>3</w:t>
            </w:r>
            <w:r>
              <w:rPr>
                <w:rFonts w:eastAsiaTheme="minorEastAsia" w:cstheme="minorBidi"/>
                <w:noProof/>
                <w:kern w:val="2"/>
                <w:sz w:val="24"/>
                <w:szCs w:val="24"/>
                <w:lang w:eastAsia="en-GB"/>
                <w14:ligatures w14:val="standardContextual"/>
              </w:rPr>
              <w:tab/>
            </w:r>
            <w:r w:rsidRPr="009B54DD">
              <w:rPr>
                <w:rStyle w:val="Hyperlink"/>
                <w:noProof/>
              </w:rPr>
              <w:t>JV and Contracting Structure</w:t>
            </w:r>
            <w:r>
              <w:rPr>
                <w:noProof/>
                <w:webHidden/>
              </w:rPr>
              <w:tab/>
            </w:r>
            <w:r>
              <w:rPr>
                <w:noProof/>
                <w:webHidden/>
              </w:rPr>
              <w:fldChar w:fldCharType="begin"/>
            </w:r>
            <w:r>
              <w:rPr>
                <w:noProof/>
                <w:webHidden/>
              </w:rPr>
              <w:instrText xml:space="preserve"> PAGEREF _Toc236212073 \h </w:instrText>
            </w:r>
            <w:r>
              <w:rPr>
                <w:noProof/>
                <w:webHidden/>
              </w:rPr>
            </w:r>
            <w:r>
              <w:rPr>
                <w:noProof/>
                <w:webHidden/>
              </w:rPr>
              <w:fldChar w:fldCharType="separate"/>
            </w:r>
            <w:r>
              <w:rPr>
                <w:noProof/>
                <w:webHidden/>
              </w:rPr>
              <w:t>6</w:t>
            </w:r>
            <w:r>
              <w:rPr>
                <w:noProof/>
                <w:webHidden/>
              </w:rPr>
              <w:fldChar w:fldCharType="end"/>
            </w:r>
          </w:hyperlink>
        </w:p>
        <w:p w14:paraId="737E5B07" w14:textId="5863E156" w:rsidR="00BE0EB0" w:rsidRDefault="00BE0EB0">
          <w:pPr>
            <w:pStyle w:val="TOC1"/>
            <w:tabs>
              <w:tab w:val="left" w:pos="440"/>
              <w:tab w:val="right" w:leader="dot" w:pos="10460"/>
            </w:tabs>
            <w:rPr>
              <w:rFonts w:eastAsiaTheme="minorEastAsia" w:cstheme="minorBidi"/>
              <w:noProof/>
              <w:kern w:val="2"/>
              <w:sz w:val="24"/>
              <w:szCs w:val="24"/>
              <w:lang w:eastAsia="en-GB"/>
              <w14:ligatures w14:val="standardContextual"/>
            </w:rPr>
          </w:pPr>
          <w:hyperlink w:anchor="_Toc236212074" w:history="1">
            <w:r w:rsidRPr="009B54DD">
              <w:rPr>
                <w:rStyle w:val="Hyperlink"/>
                <w:noProof/>
              </w:rPr>
              <w:t>4</w:t>
            </w:r>
            <w:r>
              <w:rPr>
                <w:rFonts w:eastAsiaTheme="minorEastAsia" w:cstheme="minorBidi"/>
                <w:noProof/>
                <w:kern w:val="2"/>
                <w:sz w:val="24"/>
                <w:szCs w:val="24"/>
                <w:lang w:eastAsia="en-GB"/>
                <w14:ligatures w14:val="standardContextual"/>
              </w:rPr>
              <w:tab/>
            </w:r>
            <w:r w:rsidRPr="009B54DD">
              <w:rPr>
                <w:rStyle w:val="Hyperlink"/>
                <w:noProof/>
              </w:rPr>
              <w:t>Business &amp; Organisational Overview</w:t>
            </w:r>
            <w:r>
              <w:rPr>
                <w:noProof/>
                <w:webHidden/>
              </w:rPr>
              <w:tab/>
            </w:r>
            <w:r>
              <w:rPr>
                <w:noProof/>
                <w:webHidden/>
              </w:rPr>
              <w:fldChar w:fldCharType="begin"/>
            </w:r>
            <w:r>
              <w:rPr>
                <w:noProof/>
                <w:webHidden/>
              </w:rPr>
              <w:instrText xml:space="preserve"> PAGEREF _Toc236212074 \h </w:instrText>
            </w:r>
            <w:r>
              <w:rPr>
                <w:noProof/>
                <w:webHidden/>
              </w:rPr>
            </w:r>
            <w:r>
              <w:rPr>
                <w:noProof/>
                <w:webHidden/>
              </w:rPr>
              <w:fldChar w:fldCharType="separate"/>
            </w:r>
            <w:r>
              <w:rPr>
                <w:noProof/>
                <w:webHidden/>
              </w:rPr>
              <w:t>6</w:t>
            </w:r>
            <w:r>
              <w:rPr>
                <w:noProof/>
                <w:webHidden/>
              </w:rPr>
              <w:fldChar w:fldCharType="end"/>
            </w:r>
          </w:hyperlink>
        </w:p>
        <w:p w14:paraId="51770DF5" w14:textId="498457D7" w:rsidR="00BE0EB0" w:rsidRDefault="00BE0EB0">
          <w:pPr>
            <w:pStyle w:val="TOC1"/>
            <w:tabs>
              <w:tab w:val="left" w:pos="440"/>
              <w:tab w:val="right" w:leader="dot" w:pos="10460"/>
            </w:tabs>
            <w:rPr>
              <w:rFonts w:eastAsiaTheme="minorEastAsia" w:cstheme="minorBidi"/>
              <w:noProof/>
              <w:kern w:val="2"/>
              <w:sz w:val="24"/>
              <w:szCs w:val="24"/>
              <w:lang w:eastAsia="en-GB"/>
              <w14:ligatures w14:val="standardContextual"/>
            </w:rPr>
          </w:pPr>
          <w:hyperlink w:anchor="_Toc236212075" w:history="1">
            <w:r w:rsidRPr="009B54DD">
              <w:rPr>
                <w:rStyle w:val="Hyperlink"/>
                <w:noProof/>
              </w:rPr>
              <w:t>5</w:t>
            </w:r>
            <w:r>
              <w:rPr>
                <w:rFonts w:eastAsiaTheme="minorEastAsia" w:cstheme="minorBidi"/>
                <w:noProof/>
                <w:kern w:val="2"/>
                <w:sz w:val="24"/>
                <w:szCs w:val="24"/>
                <w:lang w:eastAsia="en-GB"/>
                <w14:ligatures w14:val="standardContextual"/>
              </w:rPr>
              <w:tab/>
            </w:r>
            <w:r w:rsidRPr="009B54DD">
              <w:rPr>
                <w:rStyle w:val="Hyperlink"/>
                <w:noProof/>
              </w:rPr>
              <w:t>In-Scope</w:t>
            </w:r>
            <w:r>
              <w:rPr>
                <w:noProof/>
                <w:webHidden/>
              </w:rPr>
              <w:tab/>
            </w:r>
            <w:r>
              <w:rPr>
                <w:noProof/>
                <w:webHidden/>
              </w:rPr>
              <w:fldChar w:fldCharType="begin"/>
            </w:r>
            <w:r>
              <w:rPr>
                <w:noProof/>
                <w:webHidden/>
              </w:rPr>
              <w:instrText xml:space="preserve"> PAGEREF _Toc236212075 \h </w:instrText>
            </w:r>
            <w:r>
              <w:rPr>
                <w:noProof/>
                <w:webHidden/>
              </w:rPr>
            </w:r>
            <w:r>
              <w:rPr>
                <w:noProof/>
                <w:webHidden/>
              </w:rPr>
              <w:fldChar w:fldCharType="separate"/>
            </w:r>
            <w:r>
              <w:rPr>
                <w:noProof/>
                <w:webHidden/>
              </w:rPr>
              <w:t>6</w:t>
            </w:r>
            <w:r>
              <w:rPr>
                <w:noProof/>
                <w:webHidden/>
              </w:rPr>
              <w:fldChar w:fldCharType="end"/>
            </w:r>
          </w:hyperlink>
        </w:p>
        <w:p w14:paraId="5F5F57EE" w14:textId="04055163" w:rsidR="00BE0EB0" w:rsidRDefault="00BE0EB0">
          <w:pPr>
            <w:pStyle w:val="TOC1"/>
            <w:tabs>
              <w:tab w:val="left" w:pos="440"/>
              <w:tab w:val="right" w:leader="dot" w:pos="10460"/>
            </w:tabs>
            <w:rPr>
              <w:rFonts w:eastAsiaTheme="minorEastAsia" w:cstheme="minorBidi"/>
              <w:noProof/>
              <w:kern w:val="2"/>
              <w:sz w:val="24"/>
              <w:szCs w:val="24"/>
              <w:lang w:eastAsia="en-GB"/>
              <w14:ligatures w14:val="standardContextual"/>
            </w:rPr>
          </w:pPr>
          <w:hyperlink w:anchor="_Toc236212076" w:history="1">
            <w:r w:rsidRPr="009B54DD">
              <w:rPr>
                <w:rStyle w:val="Hyperlink"/>
                <w:noProof/>
              </w:rPr>
              <w:t>6</w:t>
            </w:r>
            <w:r>
              <w:rPr>
                <w:rFonts w:eastAsiaTheme="minorEastAsia" w:cstheme="minorBidi"/>
                <w:noProof/>
                <w:kern w:val="2"/>
                <w:sz w:val="24"/>
                <w:szCs w:val="24"/>
                <w:lang w:eastAsia="en-GB"/>
                <w14:ligatures w14:val="standardContextual"/>
              </w:rPr>
              <w:tab/>
            </w:r>
            <w:r w:rsidRPr="009B54DD">
              <w:rPr>
                <w:rStyle w:val="Hyperlink"/>
                <w:noProof/>
              </w:rPr>
              <w:t>Exclusions</w:t>
            </w:r>
            <w:r>
              <w:rPr>
                <w:noProof/>
                <w:webHidden/>
              </w:rPr>
              <w:tab/>
            </w:r>
            <w:r>
              <w:rPr>
                <w:noProof/>
                <w:webHidden/>
              </w:rPr>
              <w:fldChar w:fldCharType="begin"/>
            </w:r>
            <w:r>
              <w:rPr>
                <w:noProof/>
                <w:webHidden/>
              </w:rPr>
              <w:instrText xml:space="preserve"> PAGEREF _Toc236212076 \h </w:instrText>
            </w:r>
            <w:r>
              <w:rPr>
                <w:noProof/>
                <w:webHidden/>
              </w:rPr>
            </w:r>
            <w:r>
              <w:rPr>
                <w:noProof/>
                <w:webHidden/>
              </w:rPr>
              <w:fldChar w:fldCharType="separate"/>
            </w:r>
            <w:r>
              <w:rPr>
                <w:noProof/>
                <w:webHidden/>
              </w:rPr>
              <w:t>7</w:t>
            </w:r>
            <w:r>
              <w:rPr>
                <w:noProof/>
                <w:webHidden/>
              </w:rPr>
              <w:fldChar w:fldCharType="end"/>
            </w:r>
          </w:hyperlink>
        </w:p>
        <w:p w14:paraId="67BD1CD3" w14:textId="0FD28EB1" w:rsidR="00BE0EB0" w:rsidRDefault="00BE0EB0">
          <w:pPr>
            <w:pStyle w:val="TOC1"/>
            <w:tabs>
              <w:tab w:val="left" w:pos="440"/>
              <w:tab w:val="right" w:leader="dot" w:pos="10460"/>
            </w:tabs>
            <w:rPr>
              <w:rFonts w:eastAsiaTheme="minorEastAsia" w:cstheme="minorBidi"/>
              <w:noProof/>
              <w:kern w:val="2"/>
              <w:sz w:val="24"/>
              <w:szCs w:val="24"/>
              <w:lang w:eastAsia="en-GB"/>
              <w14:ligatures w14:val="standardContextual"/>
            </w:rPr>
          </w:pPr>
          <w:hyperlink w:anchor="_Toc236212077" w:history="1">
            <w:r w:rsidRPr="009B54DD">
              <w:rPr>
                <w:rStyle w:val="Hyperlink"/>
                <w:noProof/>
              </w:rPr>
              <w:t>7</w:t>
            </w:r>
            <w:r>
              <w:rPr>
                <w:rFonts w:eastAsiaTheme="minorEastAsia" w:cstheme="minorBidi"/>
                <w:noProof/>
                <w:kern w:val="2"/>
                <w:sz w:val="24"/>
                <w:szCs w:val="24"/>
                <w:lang w:eastAsia="en-GB"/>
                <w14:ligatures w14:val="standardContextual"/>
              </w:rPr>
              <w:tab/>
            </w:r>
            <w:r w:rsidRPr="009B54DD">
              <w:rPr>
                <w:rStyle w:val="Hyperlink"/>
                <w:noProof/>
              </w:rPr>
              <w:t>SRA Project</w:t>
            </w:r>
            <w:r>
              <w:rPr>
                <w:noProof/>
                <w:webHidden/>
              </w:rPr>
              <w:tab/>
            </w:r>
            <w:r>
              <w:rPr>
                <w:noProof/>
                <w:webHidden/>
              </w:rPr>
              <w:fldChar w:fldCharType="begin"/>
            </w:r>
            <w:r>
              <w:rPr>
                <w:noProof/>
                <w:webHidden/>
              </w:rPr>
              <w:instrText xml:space="preserve"> PAGEREF _Toc236212077 \h </w:instrText>
            </w:r>
            <w:r>
              <w:rPr>
                <w:noProof/>
                <w:webHidden/>
              </w:rPr>
            </w:r>
            <w:r>
              <w:rPr>
                <w:noProof/>
                <w:webHidden/>
              </w:rPr>
              <w:fldChar w:fldCharType="separate"/>
            </w:r>
            <w:r>
              <w:rPr>
                <w:noProof/>
                <w:webHidden/>
              </w:rPr>
              <w:t>8</w:t>
            </w:r>
            <w:r>
              <w:rPr>
                <w:noProof/>
                <w:webHidden/>
              </w:rPr>
              <w:fldChar w:fldCharType="end"/>
            </w:r>
          </w:hyperlink>
        </w:p>
        <w:p w14:paraId="5D07C2E9" w14:textId="1A1F2CF4" w:rsidR="00BE0EB0" w:rsidRDefault="00BE0EB0">
          <w:pPr>
            <w:pStyle w:val="TOC1"/>
            <w:tabs>
              <w:tab w:val="left" w:pos="440"/>
              <w:tab w:val="right" w:leader="dot" w:pos="10460"/>
            </w:tabs>
            <w:rPr>
              <w:rFonts w:eastAsiaTheme="minorEastAsia" w:cstheme="minorBidi"/>
              <w:noProof/>
              <w:kern w:val="2"/>
              <w:sz w:val="24"/>
              <w:szCs w:val="24"/>
              <w:lang w:eastAsia="en-GB"/>
              <w14:ligatures w14:val="standardContextual"/>
            </w:rPr>
          </w:pPr>
          <w:hyperlink w:anchor="_Toc236212078" w:history="1">
            <w:r w:rsidRPr="009B54DD">
              <w:rPr>
                <w:rStyle w:val="Hyperlink"/>
                <w:noProof/>
              </w:rPr>
              <w:t>8</w:t>
            </w:r>
            <w:r>
              <w:rPr>
                <w:rFonts w:eastAsiaTheme="minorEastAsia" w:cstheme="minorBidi"/>
                <w:noProof/>
                <w:kern w:val="2"/>
                <w:sz w:val="24"/>
                <w:szCs w:val="24"/>
                <w:lang w:eastAsia="en-GB"/>
                <w14:ligatures w14:val="standardContextual"/>
              </w:rPr>
              <w:tab/>
            </w:r>
            <w:r w:rsidRPr="009B54DD">
              <w:rPr>
                <w:rStyle w:val="Hyperlink"/>
                <w:noProof/>
              </w:rPr>
              <w:t>Phase Action Items &amp; Key Tasks</w:t>
            </w:r>
            <w:r>
              <w:rPr>
                <w:noProof/>
                <w:webHidden/>
              </w:rPr>
              <w:tab/>
            </w:r>
            <w:r>
              <w:rPr>
                <w:noProof/>
                <w:webHidden/>
              </w:rPr>
              <w:fldChar w:fldCharType="begin"/>
            </w:r>
            <w:r>
              <w:rPr>
                <w:noProof/>
                <w:webHidden/>
              </w:rPr>
              <w:instrText xml:space="preserve"> PAGEREF _Toc236212078 \h </w:instrText>
            </w:r>
            <w:r>
              <w:rPr>
                <w:noProof/>
                <w:webHidden/>
              </w:rPr>
            </w:r>
            <w:r>
              <w:rPr>
                <w:noProof/>
                <w:webHidden/>
              </w:rPr>
              <w:fldChar w:fldCharType="separate"/>
            </w:r>
            <w:r>
              <w:rPr>
                <w:noProof/>
                <w:webHidden/>
              </w:rPr>
              <w:t>9</w:t>
            </w:r>
            <w:r>
              <w:rPr>
                <w:noProof/>
                <w:webHidden/>
              </w:rPr>
              <w:fldChar w:fldCharType="end"/>
            </w:r>
          </w:hyperlink>
        </w:p>
        <w:p w14:paraId="0DCD52F1" w14:textId="27748005" w:rsidR="00BE0EB0" w:rsidRDefault="00BE0EB0">
          <w:pPr>
            <w:pStyle w:val="TOC1"/>
            <w:tabs>
              <w:tab w:val="left" w:pos="440"/>
              <w:tab w:val="right" w:leader="dot" w:pos="10460"/>
            </w:tabs>
            <w:rPr>
              <w:rFonts w:eastAsiaTheme="minorEastAsia" w:cstheme="minorBidi"/>
              <w:noProof/>
              <w:kern w:val="2"/>
              <w:sz w:val="24"/>
              <w:szCs w:val="24"/>
              <w:lang w:eastAsia="en-GB"/>
              <w14:ligatures w14:val="standardContextual"/>
            </w:rPr>
          </w:pPr>
          <w:hyperlink w:anchor="_Toc236212079" w:history="1">
            <w:r w:rsidRPr="009B54DD">
              <w:rPr>
                <w:rStyle w:val="Hyperlink"/>
                <w:rFonts w:ascii="Nunito Sans Light" w:eastAsiaTheme="majorEastAsia" w:hAnsi="Nunito Sans Light" w:cstheme="majorBidi"/>
                <w:noProof/>
              </w:rPr>
              <w:t>9</w:t>
            </w:r>
            <w:r>
              <w:rPr>
                <w:rFonts w:eastAsiaTheme="minorEastAsia" w:cstheme="minorBidi"/>
                <w:noProof/>
                <w:kern w:val="2"/>
                <w:sz w:val="24"/>
                <w:szCs w:val="24"/>
                <w:lang w:eastAsia="en-GB"/>
                <w14:ligatures w14:val="standardContextual"/>
              </w:rPr>
              <w:tab/>
            </w:r>
            <w:r w:rsidRPr="009B54DD">
              <w:rPr>
                <w:rStyle w:val="Hyperlink"/>
                <w:noProof/>
              </w:rPr>
              <w:t>Costs Table</w:t>
            </w:r>
            <w:r>
              <w:rPr>
                <w:noProof/>
                <w:webHidden/>
              </w:rPr>
              <w:tab/>
            </w:r>
            <w:r>
              <w:rPr>
                <w:noProof/>
                <w:webHidden/>
              </w:rPr>
              <w:fldChar w:fldCharType="begin"/>
            </w:r>
            <w:r>
              <w:rPr>
                <w:noProof/>
                <w:webHidden/>
              </w:rPr>
              <w:instrText xml:space="preserve"> PAGEREF _Toc236212079 \h </w:instrText>
            </w:r>
            <w:r>
              <w:rPr>
                <w:noProof/>
                <w:webHidden/>
              </w:rPr>
            </w:r>
            <w:r>
              <w:rPr>
                <w:noProof/>
                <w:webHidden/>
              </w:rPr>
              <w:fldChar w:fldCharType="separate"/>
            </w:r>
            <w:r>
              <w:rPr>
                <w:noProof/>
                <w:webHidden/>
              </w:rPr>
              <w:t>10</w:t>
            </w:r>
            <w:r>
              <w:rPr>
                <w:noProof/>
                <w:webHidden/>
              </w:rPr>
              <w:fldChar w:fldCharType="end"/>
            </w:r>
          </w:hyperlink>
        </w:p>
        <w:p w14:paraId="18F3A96A" w14:textId="6C640623" w:rsidR="00BE0EB0" w:rsidRDefault="00BE0EB0">
          <w:pPr>
            <w:pStyle w:val="TOC1"/>
            <w:tabs>
              <w:tab w:val="left" w:pos="720"/>
              <w:tab w:val="right" w:leader="dot" w:pos="10460"/>
            </w:tabs>
            <w:rPr>
              <w:rFonts w:eastAsiaTheme="minorEastAsia" w:cstheme="minorBidi"/>
              <w:noProof/>
              <w:kern w:val="2"/>
              <w:sz w:val="24"/>
              <w:szCs w:val="24"/>
              <w:lang w:eastAsia="en-GB"/>
              <w14:ligatures w14:val="standardContextual"/>
            </w:rPr>
          </w:pPr>
          <w:hyperlink w:anchor="_Toc236212080" w:history="1">
            <w:r w:rsidRPr="009B54DD">
              <w:rPr>
                <w:rStyle w:val="Hyperlink"/>
                <w:noProof/>
              </w:rPr>
              <w:t>10</w:t>
            </w:r>
            <w:r>
              <w:rPr>
                <w:rFonts w:eastAsiaTheme="minorEastAsia" w:cstheme="minorBidi"/>
                <w:noProof/>
                <w:kern w:val="2"/>
                <w:sz w:val="24"/>
                <w:szCs w:val="24"/>
                <w:lang w:eastAsia="en-GB"/>
                <w14:ligatures w14:val="standardContextual"/>
              </w:rPr>
              <w:tab/>
            </w:r>
            <w:r w:rsidRPr="009B54DD">
              <w:rPr>
                <w:rStyle w:val="Hyperlink"/>
                <w:noProof/>
              </w:rPr>
              <w:t>The Security Risk Assessment</w:t>
            </w:r>
            <w:r>
              <w:rPr>
                <w:noProof/>
                <w:webHidden/>
              </w:rPr>
              <w:tab/>
            </w:r>
            <w:r>
              <w:rPr>
                <w:noProof/>
                <w:webHidden/>
              </w:rPr>
              <w:fldChar w:fldCharType="begin"/>
            </w:r>
            <w:r>
              <w:rPr>
                <w:noProof/>
                <w:webHidden/>
              </w:rPr>
              <w:instrText xml:space="preserve"> PAGEREF _Toc236212080 \h </w:instrText>
            </w:r>
            <w:r>
              <w:rPr>
                <w:noProof/>
                <w:webHidden/>
              </w:rPr>
            </w:r>
            <w:r>
              <w:rPr>
                <w:noProof/>
                <w:webHidden/>
              </w:rPr>
              <w:fldChar w:fldCharType="separate"/>
            </w:r>
            <w:r>
              <w:rPr>
                <w:noProof/>
                <w:webHidden/>
              </w:rPr>
              <w:t>11</w:t>
            </w:r>
            <w:r>
              <w:rPr>
                <w:noProof/>
                <w:webHidden/>
              </w:rPr>
              <w:fldChar w:fldCharType="end"/>
            </w:r>
          </w:hyperlink>
        </w:p>
        <w:p w14:paraId="56B71462" w14:textId="124ECCE1" w:rsidR="00BE0EB0" w:rsidRDefault="00BE0EB0">
          <w:pPr>
            <w:pStyle w:val="TOC1"/>
            <w:tabs>
              <w:tab w:val="left" w:pos="720"/>
              <w:tab w:val="right" w:leader="dot" w:pos="10460"/>
            </w:tabs>
            <w:rPr>
              <w:rFonts w:eastAsiaTheme="minorEastAsia" w:cstheme="minorBidi"/>
              <w:noProof/>
              <w:kern w:val="2"/>
              <w:sz w:val="24"/>
              <w:szCs w:val="24"/>
              <w:lang w:eastAsia="en-GB"/>
              <w14:ligatures w14:val="standardContextual"/>
            </w:rPr>
          </w:pPr>
          <w:hyperlink w:anchor="_Toc236212081" w:history="1">
            <w:r w:rsidRPr="009B54DD">
              <w:rPr>
                <w:rStyle w:val="Hyperlink"/>
                <w:noProof/>
              </w:rPr>
              <w:t>11</w:t>
            </w:r>
            <w:r>
              <w:rPr>
                <w:rFonts w:eastAsiaTheme="minorEastAsia" w:cstheme="minorBidi"/>
                <w:noProof/>
                <w:kern w:val="2"/>
                <w:sz w:val="24"/>
                <w:szCs w:val="24"/>
                <w:lang w:eastAsia="en-GB"/>
                <w14:ligatures w14:val="standardContextual"/>
              </w:rPr>
              <w:tab/>
            </w:r>
            <w:r w:rsidRPr="009B54DD">
              <w:rPr>
                <w:rStyle w:val="Hyperlink"/>
                <w:noProof/>
              </w:rPr>
              <w:t>Reference Documents</w:t>
            </w:r>
            <w:r>
              <w:rPr>
                <w:noProof/>
                <w:webHidden/>
              </w:rPr>
              <w:tab/>
            </w:r>
            <w:r>
              <w:rPr>
                <w:noProof/>
                <w:webHidden/>
              </w:rPr>
              <w:fldChar w:fldCharType="begin"/>
            </w:r>
            <w:r>
              <w:rPr>
                <w:noProof/>
                <w:webHidden/>
              </w:rPr>
              <w:instrText xml:space="preserve"> PAGEREF _Toc236212081 \h </w:instrText>
            </w:r>
            <w:r>
              <w:rPr>
                <w:noProof/>
                <w:webHidden/>
              </w:rPr>
            </w:r>
            <w:r>
              <w:rPr>
                <w:noProof/>
                <w:webHidden/>
              </w:rPr>
              <w:fldChar w:fldCharType="separate"/>
            </w:r>
            <w:r>
              <w:rPr>
                <w:noProof/>
                <w:webHidden/>
              </w:rPr>
              <w:t>11</w:t>
            </w:r>
            <w:r>
              <w:rPr>
                <w:noProof/>
                <w:webHidden/>
              </w:rPr>
              <w:fldChar w:fldCharType="end"/>
            </w:r>
          </w:hyperlink>
        </w:p>
        <w:p w14:paraId="4895DB61" w14:textId="22D791EB" w:rsidR="00BE0EB0" w:rsidRDefault="00BE0EB0">
          <w:pPr>
            <w:pStyle w:val="TOC1"/>
            <w:tabs>
              <w:tab w:val="left" w:pos="720"/>
              <w:tab w:val="right" w:leader="dot" w:pos="10460"/>
            </w:tabs>
            <w:rPr>
              <w:rFonts w:eastAsiaTheme="minorEastAsia" w:cstheme="minorBidi"/>
              <w:noProof/>
              <w:kern w:val="2"/>
              <w:sz w:val="24"/>
              <w:szCs w:val="24"/>
              <w:lang w:eastAsia="en-GB"/>
              <w14:ligatures w14:val="standardContextual"/>
            </w:rPr>
          </w:pPr>
          <w:hyperlink w:anchor="_Toc236212082" w:history="1">
            <w:r w:rsidRPr="009B54DD">
              <w:rPr>
                <w:rStyle w:val="Hyperlink"/>
                <w:noProof/>
              </w:rPr>
              <w:t>12</w:t>
            </w:r>
            <w:r>
              <w:rPr>
                <w:rFonts w:eastAsiaTheme="minorEastAsia" w:cstheme="minorBidi"/>
                <w:noProof/>
                <w:kern w:val="2"/>
                <w:sz w:val="24"/>
                <w:szCs w:val="24"/>
                <w:lang w:eastAsia="en-GB"/>
                <w14:ligatures w14:val="standardContextual"/>
              </w:rPr>
              <w:tab/>
            </w:r>
            <w:r w:rsidRPr="009B54DD">
              <w:rPr>
                <w:rStyle w:val="Hyperlink"/>
                <w:noProof/>
              </w:rPr>
              <w:t>Key Project Outputs &amp; Expected Outcomes</w:t>
            </w:r>
            <w:r>
              <w:rPr>
                <w:noProof/>
                <w:webHidden/>
              </w:rPr>
              <w:tab/>
            </w:r>
            <w:r>
              <w:rPr>
                <w:noProof/>
                <w:webHidden/>
              </w:rPr>
              <w:fldChar w:fldCharType="begin"/>
            </w:r>
            <w:r>
              <w:rPr>
                <w:noProof/>
                <w:webHidden/>
              </w:rPr>
              <w:instrText xml:space="preserve"> PAGEREF _Toc236212082 \h </w:instrText>
            </w:r>
            <w:r>
              <w:rPr>
                <w:noProof/>
                <w:webHidden/>
              </w:rPr>
            </w:r>
            <w:r>
              <w:rPr>
                <w:noProof/>
                <w:webHidden/>
              </w:rPr>
              <w:fldChar w:fldCharType="separate"/>
            </w:r>
            <w:r>
              <w:rPr>
                <w:noProof/>
                <w:webHidden/>
              </w:rPr>
              <w:t>12</w:t>
            </w:r>
            <w:r>
              <w:rPr>
                <w:noProof/>
                <w:webHidden/>
              </w:rPr>
              <w:fldChar w:fldCharType="end"/>
            </w:r>
          </w:hyperlink>
        </w:p>
        <w:p w14:paraId="380DE1AB" w14:textId="497F676B" w:rsidR="00BE0EB0" w:rsidRDefault="00BE0EB0">
          <w:pPr>
            <w:pStyle w:val="TOC1"/>
            <w:tabs>
              <w:tab w:val="left" w:pos="720"/>
              <w:tab w:val="right" w:leader="dot" w:pos="10460"/>
            </w:tabs>
            <w:rPr>
              <w:rFonts w:eastAsiaTheme="minorEastAsia" w:cstheme="minorBidi"/>
              <w:noProof/>
              <w:kern w:val="2"/>
              <w:sz w:val="24"/>
              <w:szCs w:val="24"/>
              <w:lang w:eastAsia="en-GB"/>
              <w14:ligatures w14:val="standardContextual"/>
            </w:rPr>
          </w:pPr>
          <w:hyperlink w:anchor="_Toc236212083" w:history="1">
            <w:r w:rsidRPr="009B54DD">
              <w:rPr>
                <w:rStyle w:val="Hyperlink"/>
                <w:noProof/>
              </w:rPr>
              <w:t>13</w:t>
            </w:r>
            <w:r>
              <w:rPr>
                <w:rFonts w:eastAsiaTheme="minorEastAsia" w:cstheme="minorBidi"/>
                <w:noProof/>
                <w:kern w:val="2"/>
                <w:sz w:val="24"/>
                <w:szCs w:val="24"/>
                <w:lang w:eastAsia="en-GB"/>
                <w14:ligatures w14:val="standardContextual"/>
              </w:rPr>
              <w:tab/>
            </w:r>
            <w:r w:rsidRPr="009B54DD">
              <w:rPr>
                <w:rStyle w:val="Hyperlink"/>
                <w:noProof/>
              </w:rPr>
              <w:t>Indicative Terms of Reference</w:t>
            </w:r>
            <w:r>
              <w:rPr>
                <w:noProof/>
                <w:webHidden/>
              </w:rPr>
              <w:tab/>
            </w:r>
            <w:r>
              <w:rPr>
                <w:noProof/>
                <w:webHidden/>
              </w:rPr>
              <w:fldChar w:fldCharType="begin"/>
            </w:r>
            <w:r>
              <w:rPr>
                <w:noProof/>
                <w:webHidden/>
              </w:rPr>
              <w:instrText xml:space="preserve"> PAGEREF _Toc236212083 \h </w:instrText>
            </w:r>
            <w:r>
              <w:rPr>
                <w:noProof/>
                <w:webHidden/>
              </w:rPr>
            </w:r>
            <w:r>
              <w:rPr>
                <w:noProof/>
                <w:webHidden/>
              </w:rPr>
              <w:fldChar w:fldCharType="separate"/>
            </w:r>
            <w:r>
              <w:rPr>
                <w:noProof/>
                <w:webHidden/>
              </w:rPr>
              <w:t>12</w:t>
            </w:r>
            <w:r>
              <w:rPr>
                <w:noProof/>
                <w:webHidden/>
              </w:rPr>
              <w:fldChar w:fldCharType="end"/>
            </w:r>
          </w:hyperlink>
        </w:p>
        <w:p w14:paraId="217FA6D3" w14:textId="07973743" w:rsidR="008E3288" w:rsidRDefault="008E3288">
          <w:r>
            <w:rPr>
              <w:b/>
              <w:bCs/>
            </w:rPr>
            <w:fldChar w:fldCharType="end"/>
          </w:r>
        </w:p>
      </w:sdtContent>
    </w:sdt>
    <w:p w14:paraId="07628474" w14:textId="77777777" w:rsidR="00056449" w:rsidRDefault="00056449" w:rsidP="00EA1458"/>
    <w:p w14:paraId="69800BF0" w14:textId="77777777" w:rsidR="00056449" w:rsidRPr="00056449" w:rsidRDefault="00056449" w:rsidP="00056449"/>
    <w:p w14:paraId="7056E00F" w14:textId="77777777" w:rsidR="00056449" w:rsidRPr="00056449" w:rsidRDefault="00056449" w:rsidP="00056449"/>
    <w:p w14:paraId="4FDE928A" w14:textId="77777777" w:rsidR="00056449" w:rsidRPr="00056449" w:rsidRDefault="00056449" w:rsidP="00056449"/>
    <w:p w14:paraId="28A891F9" w14:textId="77777777" w:rsidR="00056449" w:rsidRPr="00056449" w:rsidRDefault="00056449" w:rsidP="00056449"/>
    <w:p w14:paraId="65F4CF20" w14:textId="77777777" w:rsidR="00056449" w:rsidRPr="00056449" w:rsidRDefault="00056449" w:rsidP="00056449"/>
    <w:p w14:paraId="7BBAFE60" w14:textId="77777777" w:rsidR="00056449" w:rsidRPr="00056449" w:rsidRDefault="00056449" w:rsidP="00056449"/>
    <w:p w14:paraId="4FBD9D76" w14:textId="77777777" w:rsidR="00056449" w:rsidRPr="00056449" w:rsidRDefault="00056449" w:rsidP="00056449"/>
    <w:p w14:paraId="384EA9FC" w14:textId="77777777" w:rsidR="00056449" w:rsidRPr="00056449" w:rsidRDefault="00056449" w:rsidP="00056449"/>
    <w:p w14:paraId="3CDBF486" w14:textId="77777777" w:rsidR="00056449" w:rsidRPr="00056449" w:rsidRDefault="00056449" w:rsidP="00056449"/>
    <w:p w14:paraId="5D40998F" w14:textId="77777777" w:rsidR="00056449" w:rsidRPr="00056449" w:rsidRDefault="00056449" w:rsidP="00056449"/>
    <w:p w14:paraId="124FFDD6" w14:textId="77777777" w:rsidR="00056449" w:rsidRPr="00056449" w:rsidRDefault="00056449" w:rsidP="00056449"/>
    <w:p w14:paraId="21C9AA06" w14:textId="77777777" w:rsidR="00056449" w:rsidRPr="00056449" w:rsidRDefault="00056449" w:rsidP="00056449"/>
    <w:p w14:paraId="508C7342" w14:textId="77777777" w:rsidR="00056449" w:rsidRPr="00056449" w:rsidRDefault="00056449" w:rsidP="00056449"/>
    <w:p w14:paraId="372E84F7" w14:textId="77777777" w:rsidR="00056449" w:rsidRPr="00056449" w:rsidRDefault="00056449" w:rsidP="00056449"/>
    <w:p w14:paraId="0EAFD758" w14:textId="77777777" w:rsidR="00056449" w:rsidRPr="00056449" w:rsidRDefault="00056449" w:rsidP="00056449"/>
    <w:p w14:paraId="0AE4F5C2" w14:textId="77777777" w:rsidR="00056449" w:rsidRPr="00056449" w:rsidRDefault="00056449" w:rsidP="00056449"/>
    <w:p w14:paraId="0CB4BC17" w14:textId="77777777" w:rsidR="00056449" w:rsidRPr="00056449" w:rsidRDefault="00056449" w:rsidP="00056449"/>
    <w:p w14:paraId="0CA08311" w14:textId="77777777" w:rsidR="00056449" w:rsidRPr="00056449" w:rsidRDefault="00056449" w:rsidP="00056449"/>
    <w:p w14:paraId="04D0EC4F" w14:textId="77777777" w:rsidR="00056449" w:rsidRPr="00056449" w:rsidRDefault="00056449" w:rsidP="00056449"/>
    <w:p w14:paraId="5E0650F7" w14:textId="77777777" w:rsidR="00056449" w:rsidRPr="00056449" w:rsidRDefault="00056449" w:rsidP="00056449"/>
    <w:p w14:paraId="335CEB66" w14:textId="77777777" w:rsidR="00056449" w:rsidRPr="00056449" w:rsidRDefault="00056449" w:rsidP="00056449"/>
    <w:p w14:paraId="0EBF6F77" w14:textId="77777777" w:rsidR="00056449" w:rsidRPr="00056449" w:rsidRDefault="00056449" w:rsidP="00056449"/>
    <w:p w14:paraId="7444277F" w14:textId="77777777" w:rsidR="00692111" w:rsidRDefault="00692111">
      <w:pPr>
        <w:widowControl w:val="0"/>
        <w:autoSpaceDE w:val="0"/>
        <w:autoSpaceDN w:val="0"/>
        <w:spacing w:line="240" w:lineRule="auto"/>
        <w:jc w:val="left"/>
        <w:rPr>
          <w:b/>
          <w:bCs/>
          <w:sz w:val="32"/>
          <w:szCs w:val="24"/>
        </w:rPr>
      </w:pPr>
      <w:r>
        <w:br w:type="page"/>
      </w:r>
    </w:p>
    <w:p w14:paraId="290ABC10" w14:textId="710799EB" w:rsidR="008770FC" w:rsidRPr="008770FC" w:rsidRDefault="003C7A47" w:rsidP="008770FC">
      <w:pPr>
        <w:pStyle w:val="Level1Heading"/>
      </w:pPr>
      <w:bookmarkStart w:id="0" w:name="_Toc236212071"/>
      <w:r>
        <w:lastRenderedPageBreak/>
        <w:t>Overvi</w:t>
      </w:r>
      <w:r w:rsidR="008770FC">
        <w:t>ew</w:t>
      </w:r>
      <w:bookmarkEnd w:id="0"/>
    </w:p>
    <w:p w14:paraId="1BDD8177" w14:textId="5D85FA74" w:rsidR="008770FC" w:rsidRPr="00F71C00" w:rsidRDefault="00D35CAF" w:rsidP="00F71C00">
      <w:r>
        <w:t>Platinum High Integrity Technologies Limited (Malta) and EML Consultants PLC</w:t>
      </w:r>
      <w:r w:rsidR="008770FC" w:rsidRPr="00F71C00">
        <w:t xml:space="preserve"> is pleased to present this proposal to the Public Utilities Commission of Sri Lanka (PUCSL) for the Assessment on Cybersecurity Readiness of Electricity Network and Critical Generation Facilities in Sri Lanka &amp; Development of a Cybersecurity Audit Framework specific to grid operations, SCADA, and critical infrastructure protection. </w:t>
      </w:r>
    </w:p>
    <w:p w14:paraId="1BBC68EE" w14:textId="77777777" w:rsidR="008770FC" w:rsidRPr="00F71C00" w:rsidRDefault="008770FC" w:rsidP="00F71C00">
      <w:r w:rsidRPr="00F71C00">
        <w:t xml:space="preserve">Sri Lanka’s national transmission grid and power generation infrastructure depend on tightly integrated Operational Technology (OT) and Information Technology (IT) systems. Key components include Supervisory Control and Data Acquisition (SCADA), Energy Management Systems (EMS), substation automation, and specialized industrial communication protocols (e.g., DNP3, IEC 61850). Ensuring the cybersecurity resilience and regulatory compliance of these critical assets is vital for national energy security, public safety, and operational reliability. </w:t>
      </w:r>
    </w:p>
    <w:p w14:paraId="26123CDE" w14:textId="6BB70EBC" w:rsidR="008770FC" w:rsidRPr="00F71C00" w:rsidRDefault="00D35CAF" w:rsidP="00F71C00">
      <w:r>
        <w:t>Platinum High Integrity Technologies Limited (Malta) and EML Consultants PLC</w:t>
      </w:r>
      <w:r w:rsidR="008770FC" w:rsidRPr="00F71C00">
        <w:t xml:space="preserve"> </w:t>
      </w:r>
      <w:proofErr w:type="gramStart"/>
      <w:r w:rsidR="008770FC" w:rsidRPr="00F71C00">
        <w:t>brings</w:t>
      </w:r>
      <w:proofErr w:type="gramEnd"/>
      <w:r w:rsidR="008770FC" w:rsidRPr="00F71C00">
        <w:t xml:space="preserve"> extensive global expertise in OT/ICS cybersecurity, grid protection, and international framework alignment (C2M2 v2.1, IEC 62443, ISO/IEC 27001, NIST CSF, ISO 31000). </w:t>
      </w:r>
      <w:r w:rsidR="00BE0EB0">
        <w:t>In line with the</w:t>
      </w:r>
      <w:r w:rsidR="008770FC" w:rsidRPr="00F71C00">
        <w:t xml:space="preserve"> execution schedule, our speciali</w:t>
      </w:r>
      <w:r w:rsidR="00BE0EB0">
        <w:t>s</w:t>
      </w:r>
      <w:r w:rsidR="008770FC" w:rsidRPr="00F71C00">
        <w:t xml:space="preserve">ed consulting team will conduct a non-intrusive maturity assessment, establish a quantitative security baseline and cost-aware remediation roadmap, craft a Sri Lanka-specific Cybersecurity Audit Framework for grid operations, and deliver comprehensive capacity building and operational toolkits to ensure self-sustained resilience. </w:t>
      </w:r>
    </w:p>
    <w:p w14:paraId="5B315A38" w14:textId="5B1EF7EC" w:rsidR="003C7A47" w:rsidRDefault="003C7A47" w:rsidP="000A46A6">
      <w:pPr>
        <w:pStyle w:val="Level1Heading"/>
      </w:pPr>
      <w:bookmarkStart w:id="1" w:name="_Toc236212072"/>
      <w:r>
        <w:t>Objectives</w:t>
      </w:r>
      <w:bookmarkEnd w:id="1"/>
    </w:p>
    <w:p w14:paraId="51567C42" w14:textId="77777777" w:rsidR="008770FC" w:rsidRPr="008770FC" w:rsidRDefault="008770FC" w:rsidP="008770FC">
      <w:r w:rsidRPr="008770FC">
        <w:t xml:space="preserve">The primary objectives of this engagement are structured to deliver clear, actionable, and sustainable cybersecurity governance across Sri Lanka's electricity sector: </w:t>
      </w:r>
    </w:p>
    <w:p w14:paraId="7DE9C70A" w14:textId="7FEF0267" w:rsidR="008770FC" w:rsidRPr="008770FC" w:rsidRDefault="008770FC" w:rsidP="008770FC">
      <w:pPr>
        <w:numPr>
          <w:ilvl w:val="0"/>
          <w:numId w:val="29"/>
        </w:numPr>
      </w:pPr>
      <w:r w:rsidRPr="008770FC">
        <w:rPr>
          <w:b/>
          <w:bCs/>
        </w:rPr>
        <w:t>Task 1: Cybersecurity Maturity Assessment &amp; Gap Analysis:</w:t>
      </w:r>
      <w:r w:rsidRPr="008770FC">
        <w:t xml:space="preserve"> Evaluate current cyber maturity across all 10 C2M2 v2.1 domains, </w:t>
      </w:r>
      <w:r w:rsidR="00733A69" w:rsidRPr="008770FC">
        <w:t>analyse</w:t>
      </w:r>
      <w:r w:rsidRPr="008770FC">
        <w:t xml:space="preserve"> macro-level technical risks within grid operations (SCADA/EMS, network protocols), and benchmark findings against international standards (ISO/IEC 27001, IEC 62443, NIST CSF). </w:t>
      </w:r>
    </w:p>
    <w:p w14:paraId="0C85CD63" w14:textId="77777777" w:rsidR="008770FC" w:rsidRPr="008770FC" w:rsidRDefault="008770FC" w:rsidP="008770FC">
      <w:pPr>
        <w:numPr>
          <w:ilvl w:val="0"/>
          <w:numId w:val="29"/>
        </w:numPr>
      </w:pPr>
      <w:r w:rsidRPr="008770FC">
        <w:rPr>
          <w:b/>
          <w:bCs/>
        </w:rPr>
        <w:t>Task 2: Establishment of Maturity Baseline &amp; Remediation Roadmap:</w:t>
      </w:r>
      <w:r w:rsidRPr="008770FC">
        <w:t xml:space="preserve"> Create a quantitative "Point Zero" Maturity Profile (MIL scores), compile a defensible Evidence Ledger, and formulate a prioritized, cost-aware Remediation Roadmap to close identified security gaps. </w:t>
      </w:r>
    </w:p>
    <w:p w14:paraId="04250119" w14:textId="77777777" w:rsidR="008770FC" w:rsidRPr="008770FC" w:rsidRDefault="008770FC" w:rsidP="008770FC">
      <w:pPr>
        <w:numPr>
          <w:ilvl w:val="0"/>
          <w:numId w:val="29"/>
        </w:numPr>
      </w:pPr>
      <w:r w:rsidRPr="008770FC">
        <w:rPr>
          <w:b/>
          <w:bCs/>
        </w:rPr>
        <w:t>Task 3: Cybersecurity Governance Framework Development:</w:t>
      </w:r>
      <w:r w:rsidRPr="008770FC">
        <w:t xml:space="preserve"> Define target MILs across asset classes, author a tailored Compliance Framework and Audit &amp; Verification System (with RACI matrices and standardized audit checklists), and establish a benchmarking methodology with defined KPIs. </w:t>
      </w:r>
    </w:p>
    <w:p w14:paraId="1AA7BD0E" w14:textId="77777777" w:rsidR="008770FC" w:rsidRPr="008770FC" w:rsidRDefault="008770FC" w:rsidP="008770FC">
      <w:pPr>
        <w:numPr>
          <w:ilvl w:val="0"/>
          <w:numId w:val="29"/>
        </w:numPr>
      </w:pPr>
      <w:r w:rsidRPr="008770FC">
        <w:rPr>
          <w:b/>
          <w:bCs/>
        </w:rPr>
        <w:t>Task 4: Institutional Capacity Building &amp; Operational Readiness:</w:t>
      </w:r>
      <w:r w:rsidRPr="008770FC">
        <w:t xml:space="preserve"> Equip the National System Operator (NSO), Transmission Network Operator, and PUCSL with practical operational toolkits (risk registers, incident response templates, monitoring dashboards), Standard Operating Procedures (SOPs), regulatory compliance guides, and hands-on workshops for technical and executive leadership. </w:t>
      </w:r>
    </w:p>
    <w:p w14:paraId="0CC7374F" w14:textId="77777777" w:rsidR="008A4F76" w:rsidRDefault="008A4F76" w:rsidP="008770FC"/>
    <w:p w14:paraId="5FD69DAD" w14:textId="77777777" w:rsidR="00746E37" w:rsidRDefault="00746E37" w:rsidP="008770FC"/>
    <w:p w14:paraId="3EC70498" w14:textId="77777777" w:rsidR="00BE0EB0" w:rsidRDefault="00BE0EB0" w:rsidP="008770FC"/>
    <w:p w14:paraId="73C0E1C4" w14:textId="77777777" w:rsidR="00BE0EB0" w:rsidRDefault="00BE0EB0" w:rsidP="008770FC"/>
    <w:p w14:paraId="1124C0EB" w14:textId="77777777" w:rsidR="00746E37" w:rsidRDefault="00746E37" w:rsidP="008770FC"/>
    <w:p w14:paraId="5A4F0CE2" w14:textId="156F3C42" w:rsidR="00341078" w:rsidRDefault="00341078" w:rsidP="00341078">
      <w:pPr>
        <w:pStyle w:val="Level1Heading"/>
      </w:pPr>
      <w:bookmarkStart w:id="2" w:name="_Toc236212073"/>
      <w:r w:rsidRPr="00341078">
        <w:lastRenderedPageBreak/>
        <w:t>JV and Contracting Structure</w:t>
      </w:r>
      <w:bookmarkEnd w:id="2"/>
    </w:p>
    <w:p w14:paraId="25AE2002" w14:textId="77777777" w:rsidR="00341078" w:rsidRDefault="00341078" w:rsidP="00341078">
      <w:r>
        <w:rPr>
          <w:b/>
        </w:rPr>
        <w:t xml:space="preserve">Proposed formal structure: </w:t>
      </w:r>
      <w:r>
        <w:t>Platinum High Integrity Technologies Limited, Malta, as Lead Joint Venture Partner, with EML Consultants PLC as Local Joint Venture Partner.</w:t>
      </w:r>
    </w:p>
    <w:p w14:paraId="4204C56B" w14:textId="77777777" w:rsidR="00107EBC" w:rsidRDefault="00107EBC" w:rsidP="00341078"/>
    <w:p w14:paraId="0117E0D7" w14:textId="77777777" w:rsidR="00107EBC" w:rsidRPr="00107EBC" w:rsidRDefault="00107EBC" w:rsidP="00107EBC">
      <w:r w:rsidRPr="00107EBC">
        <w:rPr>
          <w:b/>
          <w:bCs/>
        </w:rPr>
        <w:t>Lead Partner:</w:t>
      </w:r>
      <w:r w:rsidRPr="00107EBC">
        <w:t xml:space="preserve"> Platinum High Integrity Technologies Limited (Malta)</w:t>
      </w:r>
    </w:p>
    <w:p w14:paraId="0C194C2F" w14:textId="77777777" w:rsidR="00107EBC" w:rsidRPr="00107EBC" w:rsidRDefault="00107EBC" w:rsidP="00107EBC">
      <w:r w:rsidRPr="00107EBC">
        <w:rPr>
          <w:b/>
          <w:bCs/>
        </w:rPr>
        <w:t>Local Partner:</w:t>
      </w:r>
      <w:r w:rsidRPr="00107EBC">
        <w:t xml:space="preserve"> EML Consultants PLC</w:t>
      </w:r>
    </w:p>
    <w:p w14:paraId="418C63C4" w14:textId="77777777" w:rsidR="00107EBC" w:rsidRPr="00107EBC" w:rsidRDefault="00107EBC" w:rsidP="00107EBC">
      <w:r w:rsidRPr="00107EBC">
        <w:rPr>
          <w:b/>
          <w:bCs/>
        </w:rPr>
        <w:t>Joint Venture Identifier:</w:t>
      </w:r>
      <w:r w:rsidRPr="00107EBC">
        <w:t xml:space="preserve"> "Platinum–EML JV" (or "the Consortium")</w:t>
      </w:r>
    </w:p>
    <w:p w14:paraId="1561B348" w14:textId="77777777" w:rsidR="00107EBC" w:rsidRDefault="00107EBC" w:rsidP="00341078"/>
    <w:p w14:paraId="66262295" w14:textId="77777777" w:rsidR="004E38D7" w:rsidRDefault="004E38D7" w:rsidP="00341078"/>
    <w:tbl>
      <w:tblPr>
        <w:tblStyle w:val="TableGrid"/>
        <w:tblW w:w="0" w:type="auto"/>
        <w:jc w:val="center"/>
        <w:tblLook w:val="04A0" w:firstRow="1" w:lastRow="0" w:firstColumn="1" w:lastColumn="0" w:noHBand="0" w:noVBand="1"/>
      </w:tblPr>
      <w:tblGrid>
        <w:gridCol w:w="2556"/>
        <w:gridCol w:w="2556"/>
        <w:gridCol w:w="2556"/>
        <w:gridCol w:w="2556"/>
      </w:tblGrid>
      <w:tr w:rsidR="00341078" w14:paraId="5D477B0E" w14:textId="77777777" w:rsidTr="0028674B">
        <w:trPr>
          <w:jc w:val="center"/>
        </w:trPr>
        <w:tc>
          <w:tcPr>
            <w:tcW w:w="2556" w:type="dxa"/>
            <w:shd w:val="clear" w:color="auto" w:fill="1F4E78"/>
            <w:vAlign w:val="center"/>
          </w:tcPr>
          <w:p w14:paraId="240EA167" w14:textId="77777777" w:rsidR="00341078" w:rsidRDefault="00341078" w:rsidP="0028674B">
            <w:r>
              <w:rPr>
                <w:rFonts w:ascii="Aptos" w:hAnsi="Aptos"/>
                <w:b/>
                <w:color w:val="FFFFFF"/>
                <w:sz w:val="17"/>
              </w:rPr>
              <w:t>Area</w:t>
            </w:r>
          </w:p>
        </w:tc>
        <w:tc>
          <w:tcPr>
            <w:tcW w:w="2556" w:type="dxa"/>
            <w:shd w:val="clear" w:color="auto" w:fill="1F4E78"/>
            <w:vAlign w:val="center"/>
          </w:tcPr>
          <w:p w14:paraId="6052BA7E" w14:textId="77777777" w:rsidR="00341078" w:rsidRDefault="00341078" w:rsidP="0028674B">
            <w:r>
              <w:rPr>
                <w:rFonts w:ascii="Aptos" w:hAnsi="Aptos"/>
                <w:b/>
                <w:color w:val="FFFFFF"/>
                <w:sz w:val="17"/>
              </w:rPr>
              <w:t>Platinum Malta</w:t>
            </w:r>
          </w:p>
        </w:tc>
        <w:tc>
          <w:tcPr>
            <w:tcW w:w="2556" w:type="dxa"/>
            <w:shd w:val="clear" w:color="auto" w:fill="1F4E78"/>
            <w:vAlign w:val="center"/>
          </w:tcPr>
          <w:p w14:paraId="60C957F3" w14:textId="77777777" w:rsidR="00341078" w:rsidRDefault="00341078" w:rsidP="0028674B">
            <w:r>
              <w:rPr>
                <w:rFonts w:ascii="Aptos" w:hAnsi="Aptos"/>
                <w:b/>
                <w:color w:val="FFFFFF"/>
                <w:sz w:val="17"/>
              </w:rPr>
              <w:t>EML Consultants PLC</w:t>
            </w:r>
          </w:p>
        </w:tc>
        <w:tc>
          <w:tcPr>
            <w:tcW w:w="2556" w:type="dxa"/>
            <w:shd w:val="clear" w:color="auto" w:fill="1F4E78"/>
            <w:vAlign w:val="center"/>
          </w:tcPr>
          <w:p w14:paraId="273FFFDD" w14:textId="77777777" w:rsidR="00341078" w:rsidRDefault="00341078" w:rsidP="0028674B">
            <w:r>
              <w:rPr>
                <w:rFonts w:ascii="Aptos" w:hAnsi="Aptos"/>
                <w:b/>
                <w:color w:val="FFFFFF"/>
                <w:sz w:val="17"/>
              </w:rPr>
              <w:t>Joint control</w:t>
            </w:r>
          </w:p>
        </w:tc>
      </w:tr>
      <w:tr w:rsidR="00341078" w14:paraId="535A35BF" w14:textId="77777777" w:rsidTr="0028674B">
        <w:trPr>
          <w:jc w:val="center"/>
        </w:trPr>
        <w:tc>
          <w:tcPr>
            <w:tcW w:w="2556" w:type="dxa"/>
            <w:vAlign w:val="center"/>
          </w:tcPr>
          <w:p w14:paraId="1A48A3A7" w14:textId="77777777" w:rsidR="00341078" w:rsidRDefault="00341078" w:rsidP="0028674B">
            <w:r>
              <w:rPr>
                <w:rFonts w:ascii="Aptos" w:hAnsi="Aptos"/>
                <w:sz w:val="16"/>
              </w:rPr>
              <w:t>JV leadership</w:t>
            </w:r>
          </w:p>
        </w:tc>
        <w:tc>
          <w:tcPr>
            <w:tcW w:w="2556" w:type="dxa"/>
            <w:vAlign w:val="center"/>
          </w:tcPr>
          <w:p w14:paraId="6FBAEFCB" w14:textId="77777777" w:rsidR="00341078" w:rsidRDefault="00341078" w:rsidP="0028674B">
            <w:r>
              <w:rPr>
                <w:rFonts w:ascii="Aptos" w:hAnsi="Aptos"/>
                <w:sz w:val="16"/>
              </w:rPr>
              <w:t>Lead partner and principal contracting entity</w:t>
            </w:r>
          </w:p>
        </w:tc>
        <w:tc>
          <w:tcPr>
            <w:tcW w:w="2556" w:type="dxa"/>
            <w:vAlign w:val="center"/>
          </w:tcPr>
          <w:p w14:paraId="718E2C70" w14:textId="77777777" w:rsidR="00341078" w:rsidRDefault="00341078" w:rsidP="0028674B">
            <w:r>
              <w:rPr>
                <w:rFonts w:ascii="Aptos" w:hAnsi="Aptos"/>
                <w:sz w:val="16"/>
              </w:rPr>
              <w:t>Local JV partner</w:t>
            </w:r>
          </w:p>
        </w:tc>
        <w:tc>
          <w:tcPr>
            <w:tcW w:w="2556" w:type="dxa"/>
            <w:vAlign w:val="center"/>
          </w:tcPr>
          <w:p w14:paraId="764BC1E4" w14:textId="77777777" w:rsidR="00341078" w:rsidRDefault="00341078" w:rsidP="0028674B">
            <w:r>
              <w:rPr>
                <w:rFonts w:ascii="Aptos" w:hAnsi="Aptos"/>
                <w:sz w:val="16"/>
              </w:rPr>
              <w:t>Governed by the signed JV agreement</w:t>
            </w:r>
          </w:p>
        </w:tc>
      </w:tr>
      <w:tr w:rsidR="00341078" w14:paraId="576F969B" w14:textId="77777777" w:rsidTr="0028674B">
        <w:trPr>
          <w:jc w:val="center"/>
        </w:trPr>
        <w:tc>
          <w:tcPr>
            <w:tcW w:w="2556" w:type="dxa"/>
            <w:vAlign w:val="center"/>
          </w:tcPr>
          <w:p w14:paraId="46CCCC35" w14:textId="77777777" w:rsidR="00341078" w:rsidRDefault="00341078" w:rsidP="0028674B">
            <w:r>
              <w:rPr>
                <w:rFonts w:ascii="Aptos" w:hAnsi="Aptos"/>
                <w:sz w:val="16"/>
              </w:rPr>
              <w:t>Technical proposal</w:t>
            </w:r>
          </w:p>
        </w:tc>
        <w:tc>
          <w:tcPr>
            <w:tcW w:w="2556" w:type="dxa"/>
            <w:vAlign w:val="center"/>
          </w:tcPr>
          <w:p w14:paraId="39C2F5B4" w14:textId="77777777" w:rsidR="00341078" w:rsidRDefault="00341078" w:rsidP="0028674B">
            <w:r>
              <w:rPr>
                <w:rFonts w:ascii="Aptos" w:hAnsi="Aptos"/>
                <w:sz w:val="16"/>
              </w:rPr>
              <w:t>Lead methodology, staffing strategy, technical work plan and principal technical deliverables</w:t>
            </w:r>
          </w:p>
        </w:tc>
        <w:tc>
          <w:tcPr>
            <w:tcW w:w="2556" w:type="dxa"/>
            <w:vAlign w:val="center"/>
          </w:tcPr>
          <w:p w14:paraId="0758DC2D" w14:textId="77777777" w:rsidR="00341078" w:rsidRDefault="00341078" w:rsidP="0028674B">
            <w:r>
              <w:rPr>
                <w:rFonts w:ascii="Aptos" w:hAnsi="Aptos"/>
                <w:sz w:val="16"/>
              </w:rPr>
              <w:t>Provide local technical input, utility-sector context and local engineering support</w:t>
            </w:r>
          </w:p>
        </w:tc>
        <w:tc>
          <w:tcPr>
            <w:tcW w:w="2556" w:type="dxa"/>
            <w:vAlign w:val="center"/>
          </w:tcPr>
          <w:p w14:paraId="77035F65" w14:textId="77777777" w:rsidR="00341078" w:rsidRDefault="00341078" w:rsidP="0028674B">
            <w:r>
              <w:rPr>
                <w:rFonts w:ascii="Aptos" w:hAnsi="Aptos"/>
                <w:sz w:val="16"/>
              </w:rPr>
              <w:t>Final approval by both parties</w:t>
            </w:r>
          </w:p>
        </w:tc>
      </w:tr>
      <w:tr w:rsidR="00341078" w14:paraId="65E3103E" w14:textId="77777777" w:rsidTr="0028674B">
        <w:trPr>
          <w:jc w:val="center"/>
        </w:trPr>
        <w:tc>
          <w:tcPr>
            <w:tcW w:w="2556" w:type="dxa"/>
            <w:vAlign w:val="center"/>
          </w:tcPr>
          <w:p w14:paraId="6EF1AE51" w14:textId="77777777" w:rsidR="00341078" w:rsidRDefault="00341078" w:rsidP="0028674B">
            <w:r>
              <w:rPr>
                <w:rFonts w:ascii="Aptos" w:hAnsi="Aptos"/>
                <w:sz w:val="16"/>
              </w:rPr>
              <w:t>Project delivery</w:t>
            </w:r>
          </w:p>
        </w:tc>
        <w:tc>
          <w:tcPr>
            <w:tcW w:w="2556" w:type="dxa"/>
            <w:vAlign w:val="center"/>
          </w:tcPr>
          <w:p w14:paraId="48B95CDA" w14:textId="77777777" w:rsidR="00341078" w:rsidRDefault="00341078" w:rsidP="0028674B">
            <w:r>
              <w:rPr>
                <w:rFonts w:ascii="Aptos" w:hAnsi="Aptos"/>
                <w:sz w:val="16"/>
              </w:rPr>
              <w:t>Lead specialist OT/ICS, SCADA, governance, maturity and audit-framework work</w:t>
            </w:r>
          </w:p>
        </w:tc>
        <w:tc>
          <w:tcPr>
            <w:tcW w:w="2556" w:type="dxa"/>
            <w:vAlign w:val="center"/>
          </w:tcPr>
          <w:p w14:paraId="0A2BE1C1" w14:textId="77777777" w:rsidR="00341078" w:rsidRDefault="00341078" w:rsidP="0028674B">
            <w:r>
              <w:rPr>
                <w:rFonts w:ascii="Aptos" w:hAnsi="Aptos"/>
                <w:sz w:val="16"/>
              </w:rPr>
              <w:t>Lead local coordination, stakeholder engagement, workshops, logistics and implementation support</w:t>
            </w:r>
          </w:p>
        </w:tc>
        <w:tc>
          <w:tcPr>
            <w:tcW w:w="2556" w:type="dxa"/>
            <w:vAlign w:val="center"/>
          </w:tcPr>
          <w:p w14:paraId="50805253" w14:textId="77777777" w:rsidR="00341078" w:rsidRDefault="00341078" w:rsidP="0028674B">
            <w:r>
              <w:rPr>
                <w:rFonts w:ascii="Aptos" w:hAnsi="Aptos"/>
                <w:sz w:val="16"/>
              </w:rPr>
              <w:t>Integrated project management and reporting</w:t>
            </w:r>
          </w:p>
        </w:tc>
      </w:tr>
      <w:tr w:rsidR="00341078" w14:paraId="63EEEDE7" w14:textId="77777777" w:rsidTr="0028674B">
        <w:trPr>
          <w:jc w:val="center"/>
        </w:trPr>
        <w:tc>
          <w:tcPr>
            <w:tcW w:w="2556" w:type="dxa"/>
            <w:vAlign w:val="center"/>
          </w:tcPr>
          <w:p w14:paraId="52F30F69" w14:textId="77777777" w:rsidR="00341078" w:rsidRDefault="00341078" w:rsidP="0028674B">
            <w:r>
              <w:rPr>
                <w:rFonts w:ascii="Aptos" w:hAnsi="Aptos"/>
                <w:sz w:val="16"/>
              </w:rPr>
              <w:t>Proposal submission</w:t>
            </w:r>
          </w:p>
        </w:tc>
        <w:tc>
          <w:tcPr>
            <w:tcW w:w="2556" w:type="dxa"/>
            <w:vAlign w:val="center"/>
          </w:tcPr>
          <w:p w14:paraId="51A316C5" w14:textId="77777777" w:rsidR="00341078" w:rsidRDefault="00341078" w:rsidP="0028674B">
            <w:r>
              <w:rPr>
                <w:rFonts w:ascii="Aptos" w:hAnsi="Aptos"/>
                <w:sz w:val="16"/>
              </w:rPr>
              <w:t>Approve final technical and financial submission</w:t>
            </w:r>
          </w:p>
        </w:tc>
        <w:tc>
          <w:tcPr>
            <w:tcW w:w="2556" w:type="dxa"/>
            <w:vAlign w:val="center"/>
          </w:tcPr>
          <w:p w14:paraId="78AD656B" w14:textId="77777777" w:rsidR="00341078" w:rsidRDefault="00341078" w:rsidP="0028674B">
            <w:r>
              <w:rPr>
                <w:rFonts w:ascii="Aptos" w:hAnsi="Aptos"/>
                <w:sz w:val="16"/>
              </w:rPr>
              <w:t>Coordinate local preparation and physical submission</w:t>
            </w:r>
          </w:p>
        </w:tc>
        <w:tc>
          <w:tcPr>
            <w:tcW w:w="2556" w:type="dxa"/>
            <w:vAlign w:val="center"/>
          </w:tcPr>
          <w:p w14:paraId="2F18C29E" w14:textId="77777777" w:rsidR="00341078" w:rsidRDefault="00341078" w:rsidP="0028674B">
            <w:r>
              <w:rPr>
                <w:rFonts w:ascii="Aptos" w:hAnsi="Aptos"/>
                <w:sz w:val="16"/>
              </w:rPr>
              <w:t>No substantive amendment without mutual approval</w:t>
            </w:r>
          </w:p>
        </w:tc>
      </w:tr>
      <w:tr w:rsidR="00341078" w14:paraId="43EF789E" w14:textId="77777777" w:rsidTr="0028674B">
        <w:trPr>
          <w:jc w:val="center"/>
        </w:trPr>
        <w:tc>
          <w:tcPr>
            <w:tcW w:w="2556" w:type="dxa"/>
            <w:vAlign w:val="center"/>
          </w:tcPr>
          <w:p w14:paraId="6029B432" w14:textId="77777777" w:rsidR="00341078" w:rsidRDefault="00341078" w:rsidP="0028674B">
            <w:r>
              <w:rPr>
                <w:rFonts w:ascii="Aptos" w:hAnsi="Aptos"/>
                <w:sz w:val="16"/>
              </w:rPr>
              <w:t>Client communications</w:t>
            </w:r>
          </w:p>
        </w:tc>
        <w:tc>
          <w:tcPr>
            <w:tcW w:w="2556" w:type="dxa"/>
            <w:vAlign w:val="center"/>
          </w:tcPr>
          <w:p w14:paraId="3AF2D6FA" w14:textId="77777777" w:rsidR="00341078" w:rsidRDefault="00341078" w:rsidP="0028674B">
            <w:r>
              <w:rPr>
                <w:rFonts w:ascii="Aptos" w:hAnsi="Aptos"/>
                <w:sz w:val="16"/>
              </w:rPr>
              <w:t>Copied on all procurement correspondence</w:t>
            </w:r>
          </w:p>
        </w:tc>
        <w:tc>
          <w:tcPr>
            <w:tcW w:w="2556" w:type="dxa"/>
            <w:vAlign w:val="center"/>
          </w:tcPr>
          <w:p w14:paraId="112E157B" w14:textId="77777777" w:rsidR="00341078" w:rsidRDefault="00341078" w:rsidP="0028674B">
            <w:r>
              <w:rPr>
                <w:rFonts w:ascii="Aptos" w:hAnsi="Aptos"/>
                <w:sz w:val="16"/>
              </w:rPr>
              <w:t>Copied on all procurement correspondence</w:t>
            </w:r>
          </w:p>
        </w:tc>
        <w:tc>
          <w:tcPr>
            <w:tcW w:w="2556" w:type="dxa"/>
            <w:vAlign w:val="center"/>
          </w:tcPr>
          <w:p w14:paraId="2FFACF4D" w14:textId="77777777" w:rsidR="00341078" w:rsidRDefault="00341078" w:rsidP="0028674B">
            <w:r>
              <w:rPr>
                <w:rFonts w:ascii="Aptos" w:hAnsi="Aptos"/>
                <w:sz w:val="16"/>
              </w:rPr>
              <w:t>Joint approval of substantive responses</w:t>
            </w:r>
          </w:p>
        </w:tc>
      </w:tr>
      <w:tr w:rsidR="00341078" w14:paraId="0D500046" w14:textId="77777777" w:rsidTr="0028674B">
        <w:trPr>
          <w:jc w:val="center"/>
        </w:trPr>
        <w:tc>
          <w:tcPr>
            <w:tcW w:w="2556" w:type="dxa"/>
            <w:vAlign w:val="center"/>
          </w:tcPr>
          <w:p w14:paraId="54F30F5A" w14:textId="77777777" w:rsidR="00341078" w:rsidRDefault="00341078" w:rsidP="0028674B">
            <w:r>
              <w:rPr>
                <w:rFonts w:ascii="Aptos" w:hAnsi="Aptos"/>
                <w:sz w:val="16"/>
              </w:rPr>
              <w:t>Commercial basis</w:t>
            </w:r>
          </w:p>
        </w:tc>
        <w:tc>
          <w:tcPr>
            <w:tcW w:w="2556" w:type="dxa"/>
            <w:vAlign w:val="center"/>
          </w:tcPr>
          <w:p w14:paraId="0BA0D441" w14:textId="77777777" w:rsidR="00341078" w:rsidRDefault="00341078" w:rsidP="0028674B">
            <w:r>
              <w:rPr>
                <w:rFonts w:ascii="Aptos" w:hAnsi="Aptos"/>
                <w:sz w:val="16"/>
              </w:rPr>
              <w:t>Approximately 70%, subject to final resource loading</w:t>
            </w:r>
          </w:p>
        </w:tc>
        <w:tc>
          <w:tcPr>
            <w:tcW w:w="2556" w:type="dxa"/>
            <w:vAlign w:val="center"/>
          </w:tcPr>
          <w:p w14:paraId="33FB6BF3" w14:textId="77777777" w:rsidR="00341078" w:rsidRDefault="00341078" w:rsidP="0028674B">
            <w:r>
              <w:rPr>
                <w:rFonts w:ascii="Aptos" w:hAnsi="Aptos"/>
                <w:sz w:val="16"/>
              </w:rPr>
              <w:t>Approximately 30%, potentially adjusted for confirmed local workload</w:t>
            </w:r>
          </w:p>
        </w:tc>
        <w:tc>
          <w:tcPr>
            <w:tcW w:w="2556" w:type="dxa"/>
            <w:vAlign w:val="center"/>
          </w:tcPr>
          <w:p w14:paraId="4F6914CE" w14:textId="77777777" w:rsidR="00341078" w:rsidRDefault="00341078" w:rsidP="0028674B">
            <w:r>
              <w:rPr>
                <w:rFonts w:ascii="Aptos" w:hAnsi="Aptos"/>
                <w:sz w:val="16"/>
              </w:rPr>
              <w:t>Final allocation agreed after staffing and pricing are completed</w:t>
            </w:r>
          </w:p>
        </w:tc>
      </w:tr>
    </w:tbl>
    <w:p w14:paraId="71A4E303" w14:textId="77777777" w:rsidR="008A4F76" w:rsidRPr="008770FC" w:rsidRDefault="008A4F76" w:rsidP="008770FC"/>
    <w:p w14:paraId="75C4505B" w14:textId="4F384D51" w:rsidR="00204C42" w:rsidRDefault="00204C42" w:rsidP="00204C42">
      <w:pPr>
        <w:pStyle w:val="Level1Heading"/>
      </w:pPr>
      <w:bookmarkStart w:id="3" w:name="_Toc236212074"/>
      <w:r>
        <w:t xml:space="preserve">Business </w:t>
      </w:r>
      <w:r w:rsidR="008770FC">
        <w:t xml:space="preserve">&amp; Organisational </w:t>
      </w:r>
      <w:r>
        <w:t>Overview</w:t>
      </w:r>
      <w:bookmarkEnd w:id="3"/>
    </w:p>
    <w:p w14:paraId="05A60EA0" w14:textId="77777777" w:rsidR="008770FC" w:rsidRDefault="008770FC" w:rsidP="008770FC">
      <w:r>
        <w:t xml:space="preserve">The Public Utilities Commission of Sri Lanka (PUCSL) serves as the statutory regulator of the electricity industry in Sri Lanka, overseeing the generation, transmission, distribution, supply, trade, and procurement of electricity across the island. </w:t>
      </w:r>
    </w:p>
    <w:p w14:paraId="4E8BC433" w14:textId="12B131E5" w:rsidR="008770FC" w:rsidRDefault="008770FC" w:rsidP="008770FC">
      <w:r>
        <w:t xml:space="preserve">As Sri Lanka’s electricity sector increasingly relies on digitally interconnected platforms (SCADA, EMS, Substation Automation, WAN/LAN data links), the potential impact of cyber threats grows. </w:t>
      </w:r>
      <w:r w:rsidR="00D35CAF">
        <w:t xml:space="preserve">Platinum High Integrity Technologies Limited (Malta) and EML </w:t>
      </w:r>
      <w:r w:rsidR="00BE0EB0">
        <w:t xml:space="preserve">Consultants PLC </w:t>
      </w:r>
      <w:r>
        <w:t xml:space="preserve">’s consultancy engagement is structured to support PUCSL’s regulatory mandate by delivering a robust oversight mechanism, raising sector-wide capability maturity, and aligning national critical infrastructure protection with international energy sector practices. </w:t>
      </w:r>
    </w:p>
    <w:p>
      <w:pPr>
        <w:pStyle w:val="Level1Heading"/>
      </w:pPr>
      <w:r>
        <w:t xml:space="preserve">Consultant's Organisation &amp; Experience</w:t>
      </w:r>
    </w:p>
    <w:p>
      <w:pPr>
        <w:spacing w:before="160" w:after="80"/>
      </w:pPr>
      <w:r>
        <w:rPr>
          <w:b/>
        </w:rPr>
        <w:t xml:space="preserve">Lead JV Partner — Platinum High Integrity Technologies Limited (Malta), with Abatis Security Innovations &amp; Technologies GmbH (Switzerland)</w:t>
      </w:r>
    </w:p>
    <w:p>
      <w:r>
        <w:t xml:space="preserve">Abatis Security Innovations &amp; Technologies GmbH was incorporated in Switzerland in October 2004. Its founding engagement was at the request of the Swiss government: technology designed for national critical-infrastructure protection and implemented by the Swiss military. Over 20+ years of operation there has been no reported breach against the Abatis code and no publicly registered security vulnerability recorded against it — a record we believe is unique in the security industry.</w:t>
      </w:r>
    </w:p>
    <w:p>
      <w:pPr>
        <w:numPr>
          <w:ilvl w:val="0"/>
          <w:numId w:val="29"/>
        </w:numPr>
      </w:pPr>
      <w:r>
        <w:t xml:space="preserve">Deterministic, rule-enforcing protective technology: attacks are stopped before they start, in nanoseconds — against an industry mean time to identify and contain a breach of ~270 days at an average cost of USD 4.5M (IBM, global).</w:t>
      </w:r>
    </w:p>
    <w:p>
      <w:pPr>
        <w:numPr>
          <w:ilvl w:val="0"/>
          <w:numId w:val="29"/>
        </w:numPr>
      </w:pPr>
      <w:r>
        <w:t xml:space="preserve">Portfolio spans critical national infrastructure, smart-city OT programmes in the Gulf, energy-sector engagements (including a current engagement with a Gulf national energy company), government projects in Africa and Latin America, and OEM security integration at device-manufacturing point.</w:t>
      </w:r>
    </w:p>
    <w:p>
      <w:pPr>
        <w:numPr>
          <w:ilvl w:val="0"/>
          <w:numId w:val="29"/>
        </w:numPr>
      </w:pPr>
      <w:r>
        <w:t xml:space="preserve">Consultancy and advisory (governance, risk, maturity assessment, regulatory support) represents a substantial share of the group's business alongside technology licensing.</w:t>
      </w:r>
    </w:p>
    <w:p>
      <w:pPr>
        <w:numPr>
          <w:ilvl w:val="0"/>
          <w:numId w:val="29"/>
        </w:numPr>
      </w:pPr>
      <w:r>
        <w:t xml:space="preserve">Platinum High Integrity Technologies Limited (Malta) is the group's EU-domiciled entity, owns the commercial delivery of the Abatis capability, and leads the Joint Venture. UK affiliate: Platinum High Integrity Technologies Limited, Kemp House, 152–160 City Road, London EC1V 2NX (Company No. 13674653).</w:t>
      </w:r>
    </w:p>
    <w:p>
      <w:pPr>
        <w:spacing w:before="160" w:after="80"/>
      </w:pPr>
      <w:r>
        <w:rPr>
          <w:b/>
        </w:rPr>
        <w:t xml:space="preserve">Local JV Partner — EML Consultants PLC (Sri Lanka)</w:t>
      </w:r>
    </w:p>
    <w:p>
      <w:r>
        <w:t xml:space="preserve">EML Consultants PLC is Sri Lanka's only consultancy company listed on the Colombo Stock Exchange, with over 600 consultancy projects delivered across engineering, environment, water, irrigation, urban infrastructure, governance and capacity building.</w:t>
      </w:r>
    </w:p>
    <w:p>
      <w:pPr>
        <w:numPr>
          <w:ilvl w:val="0"/>
          <w:numId w:val="29"/>
        </w:numPr>
      </w:pPr>
      <w:r>
        <w:t xml:space="preserve">Incorporated 1993 as EML Consultants (Pvt) Ltd — originally established with Ernst &amp; Young and DHV Netherlands; fully Sri Lankan-owned since 2003; re-registered as EML Consultants PLC (Reg. No. PQ 00240481), listed on the CSE (effective 19 November 2021).</w:t>
      </w:r>
    </w:p>
    <w:p>
      <w:pPr>
        <w:numPr>
          <w:ilvl w:val="0"/>
          <w:numId w:val="29"/>
        </w:numPr>
      </w:pPr>
      <w:r>
        <w:t xml:space="preserve">ISO 9001:2015 (Certificate GISL-0009-QC) and ISO 14001:2015 (Certificate GISL-0009-EC) certified; registered member of the Central Environmental Authority; member of the National Chamber of Commerce.</w:t>
      </w:r>
    </w:p>
    <w:p>
      <w:pPr>
        <w:numPr>
          <w:ilvl w:val="0"/>
          <w:numId w:val="29"/>
        </w:numPr>
      </w:pPr>
      <w:r>
        <w:t xml:space="preserve">International JV experience including with Niras (Netherlands) on Sri Lanka port projects; current major assignments include a hyperscale data-centre project, a 50-storey mixed development at Port City Colombo and the Grand Hyatt Colombo project.</w:t>
      </w:r>
    </w:p>
    <w:p>
      <w:pPr>
        <w:spacing w:before="160" w:after="80"/>
      </w:pPr>
      <w:r>
        <w:rPr>
          <w:b/>
        </w:rPr>
        <w:t xml:space="preserve">Corporate Information (TECH-2 Section A)</w:t>
      </w:r>
    </w:p>
    <w:tbl>
      <w:tblPr>
        <w:tblStyle w:val="TableGrid"/>
        <w:tblW w:w="9360" w:type="dxa"/>
        <w:tblLayout w:type="fixed"/>
      </w:tblPr>
      <w:tblGrid>
        <w:gridCol w:w="2300"/>
        <w:gridCol w:w="3600"/>
        <w:gridCol w:w="3460"/>
      </w:tblGrid>
      <w:tr>
        <w:tc>
          <w:tcPr>
            <w:tcW w:w="2300" w:type="dxa"/>
          </w:tcPr>
          <w:p>
            <w:r>
              <w:rPr>
                <w:b/>
              </w:rPr>
              <w:t xml:space="preserve">Field</w:t>
            </w:r>
          </w:p>
        </w:tc>
        <w:tc>
          <w:tcPr>
            <w:tcW w:w="3600" w:type="dxa"/>
          </w:tcPr>
          <w:p>
            <w:r>
              <w:rPr>
                <w:b/>
              </w:rPr>
              <w:t xml:space="preserve">Platinum High Integrity Technologies Ltd (Malta)</w:t>
            </w:r>
          </w:p>
        </w:tc>
        <w:tc>
          <w:tcPr>
            <w:tcW w:w="3460" w:type="dxa"/>
          </w:tcPr>
          <w:p>
            <w:r>
              <w:rPr>
                <w:b/>
              </w:rPr>
              <w:t xml:space="preserve">EML Consultants PLC</w:t>
            </w:r>
          </w:p>
        </w:tc>
      </w:tr>
      <w:tr>
        <w:tc>
          <w:tcPr>
            <w:tcW w:w="2300" w:type="dxa"/>
          </w:tcPr>
          <w:p>
            <w:r>
              <w:t xml:space="preserve">Business Registration</w:t>
            </w:r>
          </w:p>
        </w:tc>
        <w:tc>
          <w:tcPr>
            <w:tcW w:w="3600" w:type="dxa"/>
          </w:tcPr>
          <w:p>
            <w:r>
              <w:t xml:space="preserve">[TBC — Malta incorporation certificate]</w:t>
            </w:r>
          </w:p>
        </w:tc>
        <w:tc>
          <w:tcPr>
            <w:tcW w:w="3460" w:type="dxa"/>
          </w:tcPr>
          <w:p>
            <w:r>
              <w:t xml:space="preserve">PQ 00240481 (ROC &amp; Colombo Stock Exchange)</w:t>
            </w:r>
          </w:p>
        </w:tc>
      </w:tr>
      <w:tr>
        <w:tc>
          <w:tcPr>
            <w:tcW w:w="2300" w:type="dxa"/>
          </w:tcPr>
          <w:p>
            <w:r>
              <w:t xml:space="preserve">Date of incorporation</w:t>
            </w:r>
          </w:p>
        </w:tc>
        <w:tc>
          <w:tcPr>
            <w:tcW w:w="3600" w:type="dxa"/>
          </w:tcPr>
          <w:p>
            <w:r>
              <w:t xml:space="preserve">[TBC]</w:t>
            </w:r>
          </w:p>
        </w:tc>
        <w:tc>
          <w:tcPr>
            <w:tcW w:w="3460" w:type="dxa"/>
          </w:tcPr>
          <w:p>
            <w:r>
              <w:t xml:space="preserve">1993 (PLC listing effective 19 Nov 2021)</w:t>
            </w:r>
          </w:p>
        </w:tc>
      </w:tr>
      <w:tr>
        <w:tc>
          <w:tcPr>
            <w:tcW w:w="2300" w:type="dxa"/>
          </w:tcPr>
          <w:p>
            <w:r>
              <w:t xml:space="preserve">Registered address</w:t>
            </w:r>
          </w:p>
        </w:tc>
        <w:tc>
          <w:tcPr>
            <w:tcW w:w="3600" w:type="dxa"/>
          </w:tcPr>
          <w:p>
            <w:r>
              <w:t xml:space="preserve">[TBC — Malta]; UK affiliate: Kemp House, 152–160 City Road, London EC1V 2NX</w:t>
            </w:r>
          </w:p>
        </w:tc>
        <w:tc>
          <w:tcPr>
            <w:tcW w:w="3460" w:type="dxa"/>
          </w:tcPr>
          <w:p>
            <w:r>
              <w:t xml:space="preserve">No. 6/10, Rajamaha Vihara Mawatha, Pitakotte, Sri Lanka</w:t>
            </w:r>
          </w:p>
        </w:tc>
      </w:tr>
      <w:tr>
        <w:tc>
          <w:tcPr>
            <w:tcW w:w="2300" w:type="dxa"/>
          </w:tcPr>
          <w:p>
            <w:r>
              <w:t xml:space="preserve">Email / Telephone</w:t>
            </w:r>
          </w:p>
        </w:tc>
        <w:tc>
          <w:tcPr>
            <w:tcW w:w="3600" w:type="dxa"/>
          </w:tcPr>
          <w:p>
            <w:r>
              <w:t xml:space="preserve">[TBC]</w:t>
            </w:r>
          </w:p>
        </w:tc>
        <w:tc>
          <w:tcPr>
            <w:tcW w:w="3460" w:type="dxa"/>
          </w:tcPr>
          <w:p>
            <w:r>
              <w:t xml:space="preserve">info@emlconsultants.com / +94 11 553 5880</w:t>
            </w:r>
          </w:p>
        </w:tc>
      </w:tr>
      <w:tr>
        <w:tc>
          <w:tcPr>
            <w:tcW w:w="2300" w:type="dxa"/>
          </w:tcPr>
          <w:p>
            <w:r>
              <w:t xml:space="preserve">Website</w:t>
            </w:r>
          </w:p>
        </w:tc>
        <w:tc>
          <w:tcPr>
            <w:tcW w:w="3600" w:type="dxa"/>
          </w:tcPr>
          <w:p>
            <w:r>
              <w:t xml:space="preserve">www.abatis.ch</w:t>
            </w:r>
          </w:p>
        </w:tc>
        <w:tc>
          <w:tcPr>
            <w:tcW w:w="3460" w:type="dxa"/>
          </w:tcPr>
          <w:p>
            <w:r>
              <w:t xml:space="preserve">www.emlconsultants.com</w:t>
            </w:r>
          </w:p>
        </w:tc>
      </w:tr>
      <w:tr>
        <w:tc>
          <w:tcPr>
            <w:tcW w:w="2300" w:type="dxa"/>
          </w:tcPr>
          <w:p>
            <w:r>
              <w:t xml:space="preserve">Annual turnover — last 3 years (audited)</w:t>
            </w:r>
          </w:p>
        </w:tc>
        <w:tc>
          <w:tcPr>
            <w:tcW w:w="3600" w:type="dxa"/>
          </w:tcPr>
          <w:p>
            <w:r>
              <w:t xml:space="preserve">[TBC — confirm whether required of Lead Partner]</w:t>
            </w:r>
          </w:p>
        </w:tc>
        <w:tc>
          <w:tcPr>
            <w:tcW w:w="3460" w:type="dxa"/>
          </w:tcPr>
          <w:p>
            <w:r>
              <w:t xml:space="preserve">[Insert audited figures — must evidence ≥ Rs. 60 million per year]</w:t>
            </w:r>
          </w:p>
        </w:tc>
      </w:tr>
    </w:tbl>
    <w:p/>
    <w:p>
      <w:pPr>
        <w:spacing w:before="160" w:after="80"/>
      </w:pPr>
      <w:r>
        <w:rPr>
          <w:b/>
        </w:rPr>
        <w:t xml:space="preserve">Similar Assignments (TECH-2 Section B)</w:t>
      </w:r>
    </w:p>
    <w:p>
      <w:r>
        <w:t xml:space="preserve">Reference assignments to be presented in the prescribed format (client, contract value, duration, staff months, services). Key references include: [complete values before submission]</w:t>
      </w:r>
    </w:p>
    <w:tbl>
      <w:tblPr>
        <w:tblStyle w:val="TableGrid"/>
        <w:tblW w:w="9360" w:type="dxa"/>
        <w:tblLayout w:type="fixed"/>
      </w:tblPr>
      <w:tblGrid>
        <w:gridCol w:w="2400"/>
        <w:gridCol w:w="1700"/>
        <w:gridCol w:w="1100"/>
        <w:gridCol w:w="1200"/>
        <w:gridCol w:w="1200"/>
        <w:gridCol w:w="1760"/>
      </w:tblGrid>
      <w:tr>
        <w:tc>
          <w:tcPr>
            <w:tcW w:w="2400" w:type="dxa"/>
          </w:tcPr>
          <w:p>
            <w:r>
              <w:rPr>
                <w:b/>
              </w:rPr>
              <w:t xml:space="preserve">Assignment</w:t>
            </w:r>
          </w:p>
        </w:tc>
        <w:tc>
          <w:tcPr>
            <w:tcW w:w="1700" w:type="dxa"/>
          </w:tcPr>
          <w:p>
            <w:r>
              <w:rPr>
                <w:b/>
              </w:rPr>
              <w:t xml:space="preserve">Client</w:t>
            </w:r>
          </w:p>
        </w:tc>
        <w:tc>
          <w:tcPr>
            <w:tcW w:w="1100" w:type="dxa"/>
          </w:tcPr>
          <w:p>
            <w:r>
              <w:rPr>
                <w:b/>
              </w:rPr>
              <w:t xml:space="preserve">Value</w:t>
            </w:r>
          </w:p>
        </w:tc>
        <w:tc>
          <w:tcPr>
            <w:tcW w:w="1200" w:type="dxa"/>
          </w:tcPr>
          <w:p>
            <w:r>
              <w:rPr>
                <w:b/>
              </w:rPr>
              <w:t xml:space="preserve">Duration</w:t>
            </w:r>
          </w:p>
        </w:tc>
        <w:tc>
          <w:tcPr>
            <w:tcW w:w="1200" w:type="dxa"/>
          </w:tcPr>
          <w:p>
            <w:r>
              <w:rPr>
                <w:b/>
              </w:rPr>
              <w:t xml:space="preserve">Staff-months</w:t>
            </w:r>
          </w:p>
        </w:tc>
        <w:tc>
          <w:tcPr>
            <w:tcW w:w="1760" w:type="dxa"/>
          </w:tcPr>
          <w:p>
            <w:r>
              <w:rPr>
                <w:b/>
              </w:rPr>
              <w:t xml:space="preserve">Services</w:t>
            </w:r>
          </w:p>
        </w:tc>
      </w:tr>
      <w:tr>
        <w:tc>
          <w:tcPr>
            <w:tcW w:w="2400" w:type="dxa"/>
          </w:tcPr>
          <w:p>
            <w:r>
              <w:t xml:space="preserve">OT cybersecurity — smart-city infrastructure programme (Gulf)</w:t>
            </w:r>
          </w:p>
        </w:tc>
        <w:tc>
          <w:tcPr>
            <w:tcW w:w="1700" w:type="dxa"/>
          </w:tcPr>
          <w:p>
            <w:r>
              <w:t xml:space="preserve">[TBC]</w:t>
            </w:r>
          </w:p>
        </w:tc>
        <w:tc>
          <w:tcPr>
            <w:tcW w:w="1100" w:type="dxa"/>
          </w:tcPr>
          <w:p>
            <w:r>
              <w:t xml:space="preserve">[TBC]</w:t>
            </w:r>
          </w:p>
        </w:tc>
        <w:tc>
          <w:tcPr>
            <w:tcW w:w="1200" w:type="dxa"/>
          </w:tcPr>
          <w:p>
            <w:r>
              <w:t xml:space="preserve">[TBC]</w:t>
            </w:r>
          </w:p>
        </w:tc>
        <w:tc>
          <w:tcPr>
            <w:tcW w:w="1200" w:type="dxa"/>
          </w:tcPr>
          <w:p>
            <w:r>
              <w:t xml:space="preserve">[TBC]</w:t>
            </w:r>
          </w:p>
        </w:tc>
        <w:tc>
          <w:tcPr>
            <w:tcW w:w="1760" w:type="dxa"/>
          </w:tcPr>
          <w:p>
            <w:r>
              <w:t xml:space="preserve">OT/ICS security design &amp; assurance</w:t>
            </w:r>
          </w:p>
        </w:tc>
      </w:tr>
      <w:tr>
        <w:tc>
          <w:tcPr>
            <w:tcW w:w="2400" w:type="dxa"/>
          </w:tcPr>
          <w:p>
            <w:r>
              <w:t xml:space="preserve">National CNI protection deployment (Switzerland)</w:t>
            </w:r>
          </w:p>
        </w:tc>
        <w:tc>
          <w:tcPr>
            <w:tcW w:w="1700" w:type="dxa"/>
          </w:tcPr>
          <w:p>
            <w:r>
              <w:t xml:space="preserve">Swiss Government / Military</w:t>
            </w:r>
          </w:p>
        </w:tc>
        <w:tc>
          <w:tcPr>
            <w:tcW w:w="1100" w:type="dxa"/>
          </w:tcPr>
          <w:p>
            <w:r>
              <w:t xml:space="preserve">[TBC]</w:t>
            </w:r>
          </w:p>
        </w:tc>
        <w:tc>
          <w:tcPr>
            <w:tcW w:w="1200" w:type="dxa"/>
          </w:tcPr>
          <w:p>
            <w:r>
              <w:t xml:space="preserve">2004 onwards</w:t>
            </w:r>
          </w:p>
        </w:tc>
        <w:tc>
          <w:tcPr>
            <w:tcW w:w="1200" w:type="dxa"/>
          </w:tcPr>
          <w:p>
            <w:r>
              <w:t xml:space="preserve">[TBC]</w:t>
            </w:r>
          </w:p>
        </w:tc>
        <w:tc>
          <w:tcPr>
            <w:tcW w:w="1760" w:type="dxa"/>
          </w:tcPr>
          <w:p>
            <w:r>
              <w:t xml:space="preserve">CNI protective technology &amp; advisory</w:t>
            </w:r>
          </w:p>
        </w:tc>
      </w:tr>
      <w:tr>
        <w:tc>
          <w:tcPr>
            <w:tcW w:w="2400" w:type="dxa"/>
          </w:tcPr>
          <w:p>
            <w:r>
              <w:t xml:space="preserve">Energy-sector security engagement (Gulf national energy company)</w:t>
            </w:r>
          </w:p>
        </w:tc>
        <w:tc>
          <w:tcPr>
            <w:tcW w:w="1700" w:type="dxa"/>
          </w:tcPr>
          <w:p>
            <w:r>
              <w:t xml:space="preserve">[TBC]</w:t>
            </w:r>
          </w:p>
        </w:tc>
        <w:tc>
          <w:tcPr>
            <w:tcW w:w="1100" w:type="dxa"/>
          </w:tcPr>
          <w:p>
            <w:r>
              <w:t xml:space="preserve">[TBC]</w:t>
            </w:r>
          </w:p>
        </w:tc>
        <w:tc>
          <w:tcPr>
            <w:tcW w:w="1200" w:type="dxa"/>
          </w:tcPr>
          <w:p>
            <w:r>
              <w:t xml:space="preserve">[TBC]</w:t>
            </w:r>
          </w:p>
        </w:tc>
        <w:tc>
          <w:tcPr>
            <w:tcW w:w="1200" w:type="dxa"/>
          </w:tcPr>
          <w:p>
            <w:r>
              <w:t xml:space="preserve">[TBC]</w:t>
            </w:r>
          </w:p>
        </w:tc>
        <w:tc>
          <w:tcPr>
            <w:tcW w:w="1760" w:type="dxa"/>
          </w:tcPr>
          <w:p>
            <w:r>
              <w:t xml:space="preserve">OT security assessment &amp; demonstration</w:t>
            </w:r>
          </w:p>
        </w:tc>
      </w:tr>
      <w:tr>
        <w:tc>
          <w:tcPr>
            <w:tcW w:w="2400" w:type="dxa"/>
          </w:tcPr>
          <w:p>
            <w:r>
              <w:t xml:space="preserve">National petroleum company cybersecurity pilot (Nigeria)</w:t>
            </w:r>
          </w:p>
        </w:tc>
        <w:tc>
          <w:tcPr>
            <w:tcW w:w="1700" w:type="dxa"/>
          </w:tcPr>
          <w:p>
            <w:r>
              <w:t xml:space="preserve">NNPC</w:t>
            </w:r>
          </w:p>
        </w:tc>
        <w:tc>
          <w:tcPr>
            <w:tcW w:w="1100" w:type="dxa"/>
          </w:tcPr>
          <w:p>
            <w:r>
              <w:t xml:space="preserve">[TBC]</w:t>
            </w:r>
          </w:p>
        </w:tc>
        <w:tc>
          <w:tcPr>
            <w:tcW w:w="1200" w:type="dxa"/>
          </w:tcPr>
          <w:p>
            <w:r>
              <w:t xml:space="preserve">[TBC]</w:t>
            </w:r>
          </w:p>
        </w:tc>
        <w:tc>
          <w:tcPr>
            <w:tcW w:w="1200" w:type="dxa"/>
          </w:tcPr>
          <w:p>
            <w:r>
              <w:t xml:space="preserve">[TBC]</w:t>
            </w:r>
          </w:p>
        </w:tc>
        <w:tc>
          <w:tcPr>
            <w:tcW w:w="1760" w:type="dxa"/>
          </w:tcPr>
          <w:p>
            <w:r>
              <w:t xml:space="preserve">CNI cybersecurity pilot</w:t>
            </w:r>
          </w:p>
        </w:tc>
      </w:tr>
      <w:tr>
        <w:tc>
          <w:tcPr>
            <w:tcW w:w="2400" w:type="dxa"/>
          </w:tcPr>
          <w:p>
            <w:r>
              <w:t xml:space="preserve">Port development projects (Sri Lanka) — JV with Niras (NL)</w:t>
            </w:r>
          </w:p>
        </w:tc>
        <w:tc>
          <w:tcPr>
            <w:tcW w:w="1700" w:type="dxa"/>
          </w:tcPr>
          <w:p>
            <w:r>
              <w:t xml:space="preserve">[TBC]</w:t>
            </w:r>
          </w:p>
        </w:tc>
        <w:tc>
          <w:tcPr>
            <w:tcW w:w="1100" w:type="dxa"/>
          </w:tcPr>
          <w:p>
            <w:r>
              <w:t xml:space="preserve">[TBC]</w:t>
            </w:r>
          </w:p>
        </w:tc>
        <w:tc>
          <w:tcPr>
            <w:tcW w:w="1200" w:type="dxa"/>
          </w:tcPr>
          <w:p>
            <w:r>
              <w:t xml:space="preserve">[TBC]</w:t>
            </w:r>
          </w:p>
        </w:tc>
        <w:tc>
          <w:tcPr>
            <w:tcW w:w="1200" w:type="dxa"/>
          </w:tcPr>
          <w:p>
            <w:r>
              <w:t xml:space="preserve">[TBC]</w:t>
            </w:r>
          </w:p>
        </w:tc>
        <w:tc>
          <w:tcPr>
            <w:tcW w:w="1760" w:type="dxa"/>
          </w:tcPr>
          <w:p>
            <w:r>
              <w:t xml:space="preserve">Engineering consultancy (EML, JV partner)</w:t>
            </w:r>
          </w:p>
        </w:tc>
      </w:tr>
    </w:tbl>
    <w:p/>
    <w:p w14:paraId="68980DEB" w14:textId="77777777" w:rsidR="008770FC" w:rsidRPr="008770FC" w:rsidRDefault="008770FC" w:rsidP="008770FC"/>
    <w:p w14:paraId="66995EE4" w14:textId="222EA974" w:rsidR="003C7A47" w:rsidRDefault="00204C42" w:rsidP="008E3288">
      <w:pPr>
        <w:pStyle w:val="Level1Heading"/>
      </w:pPr>
      <w:bookmarkStart w:id="4" w:name="_Toc236212075"/>
      <w:r>
        <w:t>In-</w:t>
      </w:r>
      <w:r w:rsidR="003C7A47">
        <w:t>Scope</w:t>
      </w:r>
      <w:bookmarkEnd w:id="4"/>
    </w:p>
    <w:p w14:paraId="0F3AA814" w14:textId="77777777" w:rsidR="008770FC" w:rsidRPr="008770FC" w:rsidRDefault="008770FC" w:rsidP="008770FC">
      <w:pPr>
        <w:rPr>
          <w:b/>
          <w:bCs/>
        </w:rPr>
      </w:pPr>
      <w:r w:rsidRPr="008770FC">
        <w:rPr>
          <w:b/>
          <w:bCs/>
        </w:rPr>
        <w:t>In-Scope Infrastructure &amp; Locations</w:t>
      </w:r>
    </w:p>
    <w:p w14:paraId="584EC5C1" w14:textId="77777777" w:rsidR="008770FC" w:rsidRPr="008770FC" w:rsidRDefault="008770FC" w:rsidP="008770FC">
      <w:r w:rsidRPr="008770FC">
        <w:t xml:space="preserve">The scope encompasses macro-level architectural, procedural, and governance assessments across critical operational and generation infrastructure in Sri Lanka, including: </w:t>
      </w:r>
    </w:p>
    <w:p w14:paraId="610569AF" w14:textId="77777777" w:rsidR="008770FC" w:rsidRPr="008770FC" w:rsidRDefault="008770FC" w:rsidP="008770FC">
      <w:pPr>
        <w:numPr>
          <w:ilvl w:val="0"/>
          <w:numId w:val="30"/>
        </w:numPr>
      </w:pPr>
      <w:r w:rsidRPr="008770FC">
        <w:rPr>
          <w:b/>
          <w:bCs/>
        </w:rPr>
        <w:t>National System Control Centre (NSCC)</w:t>
      </w:r>
    </w:p>
    <w:p w14:paraId="27B43FFC" w14:textId="77777777" w:rsidR="008770FC" w:rsidRPr="008770FC" w:rsidRDefault="008770FC" w:rsidP="008770FC">
      <w:pPr>
        <w:numPr>
          <w:ilvl w:val="0"/>
          <w:numId w:val="30"/>
        </w:numPr>
      </w:pPr>
      <w:r w:rsidRPr="008770FC">
        <w:rPr>
          <w:b/>
          <w:bCs/>
        </w:rPr>
        <w:t>Lakvijaya Power Station</w:t>
      </w:r>
      <w:r w:rsidRPr="008770FC">
        <w:t xml:space="preserve"> (Thermal Generation) </w:t>
      </w:r>
    </w:p>
    <w:p w14:paraId="49075F1E" w14:textId="77777777" w:rsidR="008770FC" w:rsidRPr="008770FC" w:rsidRDefault="008770FC" w:rsidP="008770FC">
      <w:pPr>
        <w:numPr>
          <w:ilvl w:val="0"/>
          <w:numId w:val="30"/>
        </w:numPr>
      </w:pPr>
      <w:r w:rsidRPr="008770FC">
        <w:rPr>
          <w:b/>
          <w:bCs/>
        </w:rPr>
        <w:t>Victoria Power Station</w:t>
      </w:r>
      <w:r w:rsidRPr="008770FC">
        <w:t xml:space="preserve"> (Hydro Generation) </w:t>
      </w:r>
    </w:p>
    <w:p w14:paraId="3AD8E10F" w14:textId="77777777" w:rsidR="008770FC" w:rsidRPr="008770FC" w:rsidRDefault="008770FC" w:rsidP="008770FC">
      <w:pPr>
        <w:numPr>
          <w:ilvl w:val="0"/>
          <w:numId w:val="30"/>
        </w:numPr>
      </w:pPr>
      <w:r w:rsidRPr="008770FC">
        <w:rPr>
          <w:b/>
          <w:bCs/>
        </w:rPr>
        <w:t>Kotmale Power Station</w:t>
      </w:r>
      <w:r w:rsidRPr="008770FC">
        <w:t xml:space="preserve"> (Hydro Generation) </w:t>
      </w:r>
    </w:p>
    <w:p w14:paraId="2D3ECA27" w14:textId="77777777" w:rsidR="008770FC" w:rsidRPr="008770FC" w:rsidRDefault="008770FC" w:rsidP="008770FC">
      <w:pPr>
        <w:numPr>
          <w:ilvl w:val="0"/>
          <w:numId w:val="30"/>
        </w:numPr>
      </w:pPr>
      <w:r w:rsidRPr="008770FC">
        <w:rPr>
          <w:b/>
          <w:bCs/>
        </w:rPr>
        <w:t>Biyagama Grid Substation</w:t>
      </w:r>
    </w:p>
    <w:p w14:paraId="5CDDFB81" w14:textId="77777777" w:rsidR="008770FC" w:rsidRPr="008770FC" w:rsidRDefault="008770FC" w:rsidP="008770FC">
      <w:pPr>
        <w:numPr>
          <w:ilvl w:val="0"/>
          <w:numId w:val="30"/>
        </w:numPr>
      </w:pPr>
      <w:r w:rsidRPr="008770FC">
        <w:rPr>
          <w:b/>
          <w:bCs/>
        </w:rPr>
        <w:t>Selected Telecommunication &amp; Data Network Hubs</w:t>
      </w:r>
      <w:r w:rsidRPr="008770FC">
        <w:t xml:space="preserve"> supporting power grid communications </w:t>
      </w:r>
    </w:p>
    <w:p w14:paraId="4B066CB0" w14:textId="77777777" w:rsidR="008770FC" w:rsidRDefault="008770FC" w:rsidP="008770FC">
      <w:pPr>
        <w:numPr>
          <w:ilvl w:val="0"/>
          <w:numId w:val="30"/>
        </w:numPr>
      </w:pPr>
      <w:r w:rsidRPr="008770FC">
        <w:rPr>
          <w:b/>
          <w:bCs/>
        </w:rPr>
        <w:t>IT/OT Data Interfaces &amp; Protocol Flows</w:t>
      </w:r>
      <w:r w:rsidRPr="008770FC">
        <w:t xml:space="preserve"> between the National System Operator (NSO), National Transmission Network Service Provider, and grid-connected generation plants. </w:t>
      </w:r>
    </w:p>
    <w:p>
      <w:pPr>
        <w:spacing w:before="160" w:after="80"/>
      </w:pPr>
      <w:r>
        <w:rPr>
          <w:b/>
        </w:rPr>
        <w:t xml:space="preserve">Site Visit &amp; Field Assessment Programme</w:t>
      </w:r>
    </w:p>
    <w:p>
      <w:r>
        <w:t xml:space="preserve">Non-intrusive site assessments are conducted at the in-scope facilities (NSCC, Lakvijaya, Victoria, Kotmale, Biyagama and selected communication hubs) by Abatis OT/ICS specialists working alongside EML's power-systems and SCADA engineers. Site activities comprise structured walk-downs, read-only architecture and configuration reviews, physical/environmental control observation and on-site interviews — all under site safety protocols and with prior written approval from PUCSL and the system operators. The programme provides for approximately 20 site-days across two international missions, supported continuously by the EML local engineering team.</w:t>
      </w:r>
    </w:p>
    <w:p w14:paraId="1E3E4EE6" w14:textId="53826538" w:rsidR="008E3288" w:rsidRDefault="003C7A47" w:rsidP="008E3288">
      <w:pPr>
        <w:pStyle w:val="Level1Heading"/>
      </w:pPr>
      <w:bookmarkStart w:id="5" w:name="_Toc236212076"/>
      <w:r>
        <w:lastRenderedPageBreak/>
        <w:t>Exclusions</w:t>
      </w:r>
      <w:bookmarkEnd w:id="5"/>
    </w:p>
    <w:p w14:paraId="0891B4C6" w14:textId="77777777" w:rsidR="008770FC" w:rsidRPr="008770FC" w:rsidRDefault="008770FC" w:rsidP="008770FC">
      <w:pPr>
        <w:rPr>
          <w:b/>
          <w:bCs/>
        </w:rPr>
      </w:pPr>
      <w:r w:rsidRPr="008770FC">
        <w:rPr>
          <w:b/>
          <w:bCs/>
        </w:rPr>
        <w:t>Explicit Exclusions &amp; Non-Disruption Guarantees</w:t>
      </w:r>
    </w:p>
    <w:p w14:paraId="58D0CE0B" w14:textId="77777777" w:rsidR="008770FC" w:rsidRPr="008770FC" w:rsidRDefault="008770FC" w:rsidP="008770FC">
      <w:pPr>
        <w:numPr>
          <w:ilvl w:val="0"/>
          <w:numId w:val="31"/>
        </w:numPr>
      </w:pPr>
      <w:r w:rsidRPr="008770FC">
        <w:rPr>
          <w:b/>
          <w:bCs/>
        </w:rPr>
        <w:t>No Active/Intrusive Vulnerability Assessment or Penetration Testing (VAPT):</w:t>
      </w:r>
      <w:r w:rsidRPr="008770FC">
        <w:t xml:space="preserve"> To guarantee zero operational disruption to live generation and transmission systems, this assessment is strictly limited to capability maturity (C2M2), architectural analysis, configuration reviews, and policy auditing. Active "white hat" exploits, invasive network scanning, or live system stress testing are explicitly excluded. </w:t>
      </w:r>
    </w:p>
    <w:p w14:paraId="5D7D6C16" w14:textId="77777777" w:rsidR="008770FC" w:rsidRPr="008770FC" w:rsidRDefault="008770FC" w:rsidP="008770FC">
      <w:pPr>
        <w:numPr>
          <w:ilvl w:val="0"/>
          <w:numId w:val="31"/>
        </w:numPr>
      </w:pPr>
      <w:r w:rsidRPr="008770FC">
        <w:rPr>
          <w:b/>
          <w:bCs/>
        </w:rPr>
        <w:t>No Direct Deployment of Security Controls:</w:t>
      </w:r>
      <w:r w:rsidRPr="008770FC">
        <w:t xml:space="preserve"> Implementation of physical or technical controls, live environment reconfigurations, or hardware modifications are excluded from this advisory phase. </w:t>
      </w:r>
    </w:p>
    <w:p w14:paraId="2FA87E01" w14:textId="77777777" w:rsidR="008770FC" w:rsidRPr="008770FC" w:rsidRDefault="008770FC" w:rsidP="008770FC">
      <w:pPr>
        <w:numPr>
          <w:ilvl w:val="0"/>
          <w:numId w:val="31"/>
        </w:numPr>
      </w:pPr>
      <w:r w:rsidRPr="008770FC">
        <w:rPr>
          <w:b/>
          <w:bCs/>
        </w:rPr>
        <w:t>Safety &amp; Operational Safety Assurance:</w:t>
      </w:r>
      <w:r w:rsidRPr="008770FC">
        <w:t xml:space="preserve"> All assessment activities will be conducted in strict compliance with site protocols and prior written approval from PUCSL and system operators. </w:t>
      </w:r>
    </w:p>
    <w:p w14:paraId="49C0D1F2" w14:textId="77777777" w:rsidR="008770FC" w:rsidRDefault="008770FC" w:rsidP="008770FC"/>
    <w:p w14:paraId="279C0C78" w14:textId="77777777" w:rsidR="008A4F76" w:rsidRDefault="008A4F76" w:rsidP="008770FC"/>
    <w:p w14:paraId="394B3138" w14:textId="77777777" w:rsidR="008A4F76" w:rsidRDefault="008A4F76" w:rsidP="008770FC"/>
    <w:p w14:paraId="4F0EBA31" w14:textId="77777777" w:rsidR="008A4F76" w:rsidRDefault="008A4F76" w:rsidP="008770FC"/>
    <w:p w14:paraId="4BE5D573" w14:textId="77777777" w:rsidR="004E38D7" w:rsidRDefault="004E38D7" w:rsidP="008770FC"/>
    <w:p w14:paraId="1ECE0716" w14:textId="77777777" w:rsidR="004E38D7" w:rsidRDefault="004E38D7" w:rsidP="008770FC"/>
    <w:p w14:paraId="57E43F28" w14:textId="77777777" w:rsidR="004E38D7" w:rsidRDefault="004E38D7" w:rsidP="008770FC"/>
    <w:p w14:paraId="42E43B60" w14:textId="77777777" w:rsidR="004E38D7" w:rsidRDefault="004E38D7" w:rsidP="008770FC"/>
    <w:p w14:paraId="05BF7F4C" w14:textId="77777777" w:rsidR="004E38D7" w:rsidRDefault="004E38D7" w:rsidP="008770FC"/>
    <w:p w14:paraId="2D57D8A5" w14:textId="77777777" w:rsidR="004E38D7" w:rsidRDefault="004E38D7" w:rsidP="008770FC"/>
    <w:p w14:paraId="27505220" w14:textId="77777777" w:rsidR="004E38D7" w:rsidRDefault="004E38D7" w:rsidP="008770FC"/>
    <w:p w14:paraId="638F68B7" w14:textId="77777777" w:rsidR="004E38D7" w:rsidRDefault="004E38D7" w:rsidP="008770FC"/>
    <w:p w14:paraId="1B86F787" w14:textId="77777777" w:rsidR="004E38D7" w:rsidRDefault="004E38D7" w:rsidP="008770FC"/>
    <w:p w14:paraId="62F4EE0A" w14:textId="77777777" w:rsidR="004E38D7" w:rsidRDefault="004E38D7" w:rsidP="008770FC"/>
    <w:p w14:paraId="2B7B8501" w14:textId="77777777" w:rsidR="004E38D7" w:rsidRDefault="004E38D7" w:rsidP="008770FC"/>
    <w:p w14:paraId="6D5045AE" w14:textId="77777777" w:rsidR="004E38D7" w:rsidRDefault="004E38D7" w:rsidP="008770FC"/>
    <w:p w14:paraId="55BED7C6" w14:textId="77777777" w:rsidR="004E38D7" w:rsidRDefault="004E38D7" w:rsidP="008770FC"/>
    <w:p w14:paraId="6A45933A" w14:textId="77777777" w:rsidR="004E38D7" w:rsidRDefault="004E38D7" w:rsidP="008770FC"/>
    <w:p w14:paraId="236EFDBC" w14:textId="77777777" w:rsidR="004E38D7" w:rsidRDefault="004E38D7" w:rsidP="008770FC"/>
    <w:p w14:paraId="1491917C" w14:textId="77777777" w:rsidR="004E38D7" w:rsidRDefault="004E38D7" w:rsidP="008770FC"/>
    <w:p w14:paraId="6B8AF90D" w14:textId="77777777" w:rsidR="004E38D7" w:rsidRDefault="004E38D7" w:rsidP="008770FC"/>
    <w:p w14:paraId="75CADFE1" w14:textId="77777777" w:rsidR="004E38D7" w:rsidRDefault="004E38D7" w:rsidP="008770FC"/>
    <w:p w14:paraId="0DF7A49C" w14:textId="77777777" w:rsidR="004E38D7" w:rsidRDefault="004E38D7" w:rsidP="008770FC"/>
    <w:p w14:paraId="79E04005" w14:textId="77777777" w:rsidR="004E38D7" w:rsidRDefault="004E38D7" w:rsidP="008770FC"/>
    <w:p w14:paraId="783524B3" w14:textId="77777777" w:rsidR="004E38D7" w:rsidRDefault="004E38D7" w:rsidP="008770FC"/>
    <w:p w14:paraId="5B912FBA" w14:textId="77777777" w:rsidR="004E38D7" w:rsidRDefault="004E38D7" w:rsidP="008770FC"/>
    <w:p w14:paraId="2D75A2A2" w14:textId="77777777" w:rsidR="004E38D7" w:rsidRDefault="004E38D7" w:rsidP="008770FC"/>
    <w:p w14:paraId="1E2CF414" w14:textId="77777777" w:rsidR="008A4F76" w:rsidRDefault="008A4F76" w:rsidP="008770FC"/>
    <w:p w14:paraId="28A216C8" w14:textId="77777777" w:rsidR="008A4F76" w:rsidRDefault="008A4F76" w:rsidP="008770FC"/>
    <w:p w14:paraId="639DC444" w14:textId="77777777" w:rsidR="00341078" w:rsidRDefault="00341078" w:rsidP="008770FC"/>
    <w:p w14:paraId="05487D0A" w14:textId="77777777" w:rsidR="00341078" w:rsidRDefault="00341078" w:rsidP="008770FC"/>
    <w:p w14:paraId="771E79EE" w14:textId="77777777" w:rsidR="00341078" w:rsidRDefault="00341078" w:rsidP="008770FC"/>
    <w:p w14:paraId="6311FC13" w14:textId="77777777" w:rsidR="008A4F76" w:rsidRDefault="008A4F76" w:rsidP="008770FC"/>
    <w:p w14:paraId="7FE7C08D" w14:textId="77777777" w:rsidR="008A4F76" w:rsidRDefault="008A4F76" w:rsidP="008770FC"/>
    <w:p w14:paraId="06781BA0" w14:textId="77777777" w:rsidR="008A4F76" w:rsidRPr="008770FC" w:rsidRDefault="008A4F76" w:rsidP="008770FC"/>
    <w:p w14:paraId="4370AA87" w14:textId="4F0303C6" w:rsidR="003C7A47" w:rsidRDefault="003C7A47" w:rsidP="003C7A47">
      <w:pPr>
        <w:pStyle w:val="Level1Heading"/>
      </w:pPr>
      <w:bookmarkStart w:id="6" w:name="_Toc236212077"/>
      <w:r>
        <w:lastRenderedPageBreak/>
        <w:t>SRA Project</w:t>
      </w:r>
      <w:bookmarkEnd w:id="6"/>
      <w:r>
        <w:t xml:space="preserve"> </w:t>
      </w:r>
    </w:p>
    <w:p w14:paraId="4239E74C" w14:textId="77777777" w:rsidR="00CE4CC8" w:rsidRDefault="00CE4CC8" w:rsidP="00D5348B">
      <w:pPr>
        <w:pStyle w:val="Level2Number"/>
        <w:rPr>
          <w:rFonts w:cstheme="majorBidi"/>
        </w:rPr>
      </w:pPr>
      <w:bookmarkStart w:id="7" w:name="_Toc167110000"/>
      <w:r>
        <w:t>Project Timeframe Summary</w:t>
      </w:r>
      <w:bookmarkEnd w:id="7"/>
    </w:p>
    <w:tbl>
      <w:tblPr>
        <w:tblStyle w:val="ListTable4-Accent1"/>
        <w:tblW w:w="10470" w:type="dxa"/>
        <w:tblInd w:w="137" w:type="dxa"/>
        <w:tblBorders>
          <w:top w:val="single" w:sz="4" w:space="0" w:color="33CCCC"/>
          <w:left w:val="single" w:sz="4" w:space="0" w:color="33CCCC"/>
          <w:bottom w:val="single" w:sz="4" w:space="0" w:color="33CCCC"/>
          <w:right w:val="single" w:sz="4" w:space="0" w:color="33CCCC"/>
          <w:insideH w:val="single" w:sz="4" w:space="0" w:color="33CCCC"/>
          <w:insideV w:val="single" w:sz="4" w:space="0" w:color="33CCCC"/>
        </w:tblBorders>
        <w:tblCellMar>
          <w:top w:w="57" w:type="dxa"/>
          <w:left w:w="170" w:type="dxa"/>
          <w:bottom w:w="57" w:type="dxa"/>
          <w:right w:w="170" w:type="dxa"/>
        </w:tblCellMar>
        <w:tblLook w:val="04A0" w:firstRow="1" w:lastRow="0" w:firstColumn="1" w:lastColumn="0" w:noHBand="0" w:noVBand="1"/>
      </w:tblPr>
      <w:tblGrid>
        <w:gridCol w:w="2693"/>
        <w:gridCol w:w="6237"/>
        <w:gridCol w:w="1540"/>
      </w:tblGrid>
      <w:tr w:rsidR="00CE4CC8" w14:paraId="2340BD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hideMark/>
          </w:tcPr>
          <w:p w14:paraId="426B2394" w14:textId="77777777" w:rsidR="00CE4CC8" w:rsidRDefault="00CE4CC8">
            <w:pPr>
              <w:jc w:val="center"/>
            </w:pPr>
            <w:r>
              <w:t>Cyber Security Risk Assessment Process Phases</w:t>
            </w:r>
          </w:p>
        </w:tc>
      </w:tr>
      <w:tr w:rsidR="00CE4CC8" w14:paraId="5B77DE8D"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hideMark/>
          </w:tcPr>
          <w:p w14:paraId="05C05347" w14:textId="77777777" w:rsidR="00CE4CC8" w:rsidRDefault="00CE4CC8">
            <w:pPr>
              <w:jc w:val="center"/>
              <w:rPr>
                <w:color w:val="FFFFFF" w:themeColor="background1"/>
              </w:rPr>
            </w:pPr>
            <w:r>
              <w:rPr>
                <w:color w:val="FFFFFF" w:themeColor="background1"/>
              </w:rPr>
              <w:t>Phase</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hideMark/>
          </w:tcPr>
          <w:p w14:paraId="3E4780AB"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Activity</w:t>
            </w:r>
          </w:p>
        </w:tc>
        <w:tc>
          <w:tcPr>
            <w:tcW w:w="15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hideMark/>
          </w:tcPr>
          <w:p w14:paraId="581FEA99"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 xml:space="preserve">Duration in Days </w:t>
            </w:r>
          </w:p>
        </w:tc>
      </w:tr>
      <w:tr w:rsidR="00CE4CC8" w14:paraId="4FD77213" w14:textId="77777777">
        <w:tc>
          <w:tcPr>
            <w:cnfStyle w:val="001000000000" w:firstRow="0" w:lastRow="0" w:firstColumn="1" w:lastColumn="0" w:oddVBand="0" w:evenVBand="0" w:oddHBand="0" w:evenHBand="0" w:firstRowFirstColumn="0" w:firstRowLastColumn="0" w:lastRowFirstColumn="0" w:lastRowLastColumn="0"/>
            <w:tcW w:w="269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3CCCC"/>
            <w:vAlign w:val="center"/>
            <w:hideMark/>
          </w:tcPr>
          <w:p w14:paraId="20A1A170" w14:textId="77777777" w:rsidR="00CE4CC8" w:rsidRDefault="00CE4CC8">
            <w:pPr>
              <w:jc w:val="left"/>
              <w:rPr>
                <w:color w:val="FFFFFF" w:themeColor="background1"/>
              </w:rPr>
            </w:pPr>
            <w:r>
              <w:rPr>
                <w:color w:val="FFFFFF" w:themeColor="background1"/>
              </w:rPr>
              <w:t>Phase 1  - Planning</w:t>
            </w:r>
          </w:p>
        </w:tc>
        <w:tc>
          <w:tcPr>
            <w:tcW w:w="6237" w:type="dxa"/>
            <w:tcBorders>
              <w:top w:val="single" w:sz="4" w:space="0" w:color="FFFFFF" w:themeColor="background1"/>
              <w:left w:val="single" w:sz="4" w:space="0" w:color="FFFFFF" w:themeColor="background1"/>
              <w:bottom w:val="single" w:sz="4" w:space="0" w:color="33CCCC"/>
              <w:right w:val="single" w:sz="4" w:space="0" w:color="33CCCC"/>
            </w:tcBorders>
            <w:shd w:val="clear" w:color="auto" w:fill="BCE1E5" w:themeFill="accent2" w:themeFillTint="66"/>
            <w:hideMark/>
          </w:tcPr>
          <w:p w14:paraId="73BB13D6" w14:textId="77777777" w:rsidR="00CE4CC8" w:rsidRDefault="00CE4CC8">
            <w:pPr>
              <w:jc w:val="left"/>
              <w:cnfStyle w:val="000000000000" w:firstRow="0" w:lastRow="0" w:firstColumn="0" w:lastColumn="0" w:oddVBand="0" w:evenVBand="0" w:oddHBand="0" w:evenHBand="0" w:firstRowFirstColumn="0" w:firstRowLastColumn="0" w:lastRowFirstColumn="0" w:lastRowLastColumn="0"/>
            </w:pPr>
            <w:r>
              <w:rPr>
                <w:rFonts w:ascii="Helvetica,Arial" w:eastAsia="Helvetica,Arial" w:hAnsi="Helvetica,Arial" w:cs="Helvetica,Arial"/>
              </w:rPr>
              <w:t>Schedule a planning session to prepare for the upcoming analysis period thoroughly. Collaborate with the client to establish the focus areas, goals, and desired outcomes during this session. This will help align everyone's expectations and set the stage for a successful analysis period.</w:t>
            </w:r>
          </w:p>
        </w:tc>
        <w:tc>
          <w:tcPr>
            <w:tcW w:w="1540" w:type="dxa"/>
            <w:tcBorders>
              <w:top w:val="single" w:sz="4" w:space="0" w:color="FFFFFF" w:themeColor="background1"/>
              <w:left w:val="single" w:sz="4" w:space="0" w:color="33CCCC"/>
              <w:bottom w:val="single" w:sz="4" w:space="0" w:color="33CCCC"/>
              <w:right w:val="single" w:sz="4" w:space="0" w:color="33CCCC"/>
            </w:tcBorders>
            <w:shd w:val="clear" w:color="auto" w:fill="BCE1E5" w:themeFill="accent2" w:themeFillTint="66"/>
            <w:vAlign w:val="center"/>
            <w:hideMark/>
          </w:tcPr>
          <w:p w14:paraId="6AF4E3E3" w14:textId="77777777" w:rsidR="00CE4CC8" w:rsidRDefault="00CE4CC8">
            <w:pPr>
              <w:jc w:val="center"/>
              <w:cnfStyle w:val="000000000000" w:firstRow="0" w:lastRow="0" w:firstColumn="0" w:lastColumn="0" w:oddVBand="0" w:evenVBand="0" w:oddHBand="0" w:evenHBand="0" w:firstRowFirstColumn="0" w:firstRowLastColumn="0" w:lastRowFirstColumn="0" w:lastRowLastColumn="0"/>
            </w:pPr>
            <w:r>
              <w:t>5</w:t>
            </w:r>
          </w:p>
        </w:tc>
      </w:tr>
      <w:tr w:rsidR="00CE4CC8" w14:paraId="07C2B3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740316D" w14:textId="77777777" w:rsidR="00CE4CC8" w:rsidRDefault="00CE4CC8">
            <w:pPr>
              <w:jc w:val="left"/>
              <w:rPr>
                <w:rFonts w:ascii="Nunito Sans" w:hAnsi="Nunito Sans"/>
                <w:color w:val="FFFFFF" w:themeColor="background1"/>
                <w:szCs w:val="22"/>
              </w:rPr>
            </w:pPr>
          </w:p>
        </w:tc>
        <w:tc>
          <w:tcPr>
            <w:tcW w:w="6237" w:type="dxa"/>
            <w:tcBorders>
              <w:top w:val="single" w:sz="4" w:space="0" w:color="33CCCC"/>
              <w:left w:val="single" w:sz="4" w:space="0" w:color="FFFFFF" w:themeColor="background1"/>
              <w:bottom w:val="single" w:sz="4" w:space="0" w:color="33CCCC"/>
              <w:right w:val="single" w:sz="4" w:space="0" w:color="33CCCC"/>
            </w:tcBorders>
            <w:shd w:val="clear" w:color="auto" w:fill="FFFFFF" w:themeFill="background1"/>
            <w:hideMark/>
          </w:tcPr>
          <w:p w14:paraId="14B4D301" w14:textId="77777777" w:rsidR="00CE4CC8" w:rsidRDefault="00CE4CC8">
            <w:pPr>
              <w:jc w:val="left"/>
              <w:cnfStyle w:val="000000100000" w:firstRow="0" w:lastRow="0" w:firstColumn="0" w:lastColumn="0" w:oddVBand="0" w:evenVBand="0" w:oddHBand="1" w:evenHBand="0" w:firstRowFirstColumn="0" w:firstRowLastColumn="0" w:lastRowFirstColumn="0" w:lastRowLastColumn="0"/>
              <w:rPr>
                <w:highlight w:val="yellow"/>
              </w:rPr>
            </w:pPr>
            <w:r>
              <w:rPr>
                <w:rFonts w:ascii="Helvetica,Arial" w:eastAsia="Helvetica,Arial" w:hAnsi="Helvetica,Arial" w:cs="Helvetica,Arial"/>
              </w:rPr>
              <w:t>Prepare a detailed scope document outlining the specific areas of assessment and the scope of work to be performed in collaboration with the client. This document clearly defines the objectives, deliverables, timelines, and relevant details related to the assessment process.</w:t>
            </w:r>
          </w:p>
        </w:tc>
        <w:tc>
          <w:tcPr>
            <w:tcW w:w="1540" w:type="dxa"/>
            <w:tcBorders>
              <w:top w:val="single" w:sz="4" w:space="0" w:color="33CCCC"/>
              <w:left w:val="single" w:sz="4" w:space="0" w:color="33CCCC"/>
              <w:bottom w:val="single" w:sz="4" w:space="0" w:color="33CCCC"/>
              <w:right w:val="single" w:sz="4" w:space="0" w:color="33CCCC"/>
            </w:tcBorders>
            <w:shd w:val="clear" w:color="auto" w:fill="FFFFFF" w:themeFill="background1"/>
            <w:vAlign w:val="center"/>
            <w:hideMark/>
          </w:tcPr>
          <w:p w14:paraId="780F8DE0"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pPr>
            <w:r>
              <w:t>1</w:t>
            </w:r>
          </w:p>
        </w:tc>
      </w:tr>
      <w:tr w:rsidR="00CE4CC8" w14:paraId="69D2E81D" w14:textId="77777777">
        <w:tc>
          <w:tcPr>
            <w:cnfStyle w:val="001000000000" w:firstRow="0" w:lastRow="0" w:firstColumn="1" w:lastColumn="0" w:oddVBand="0" w:evenVBand="0" w:oddHBand="0" w:evenHBand="0" w:firstRowFirstColumn="0" w:firstRowLastColumn="0" w:lastRowFirstColumn="0" w:lastRowLastColumn="0"/>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3CCCC"/>
            <w:vAlign w:val="center"/>
            <w:hideMark/>
          </w:tcPr>
          <w:p w14:paraId="536469A8" w14:textId="77777777" w:rsidR="00CE4CC8" w:rsidRDefault="00CE4CC8">
            <w:pPr>
              <w:jc w:val="left"/>
              <w:rPr>
                <w:b w:val="0"/>
                <w:bCs w:val="0"/>
                <w:color w:val="FFFFFF" w:themeColor="background1"/>
              </w:rPr>
            </w:pPr>
            <w:r>
              <w:rPr>
                <w:color w:val="FFFFFF" w:themeColor="background1"/>
              </w:rPr>
              <w:t xml:space="preserve">Phase 2 - </w:t>
            </w:r>
          </w:p>
          <w:p w14:paraId="4E363B15" w14:textId="77777777" w:rsidR="00CE4CC8" w:rsidRDefault="00CE4CC8">
            <w:pPr>
              <w:jc w:val="left"/>
              <w:rPr>
                <w:color w:val="FFFFFF" w:themeColor="background1"/>
              </w:rPr>
            </w:pPr>
            <w:r>
              <w:rPr>
                <w:color w:val="FFFFFF" w:themeColor="background1"/>
              </w:rPr>
              <w:t>Information Gathering.</w:t>
            </w:r>
          </w:p>
        </w:tc>
        <w:tc>
          <w:tcPr>
            <w:tcW w:w="6237" w:type="dxa"/>
            <w:tcBorders>
              <w:top w:val="single" w:sz="4" w:space="0" w:color="33CCCC"/>
              <w:left w:val="single" w:sz="4" w:space="0" w:color="FFFFFF" w:themeColor="background1"/>
              <w:bottom w:val="single" w:sz="4" w:space="0" w:color="33CCCC"/>
              <w:right w:val="single" w:sz="4" w:space="0" w:color="33CCCC"/>
            </w:tcBorders>
            <w:shd w:val="clear" w:color="auto" w:fill="BCE1E5" w:themeFill="accent2" w:themeFillTint="66"/>
            <w:hideMark/>
          </w:tcPr>
          <w:p w14:paraId="1185616F" w14:textId="77777777" w:rsidR="00CE4CC8" w:rsidRDefault="00CE4CC8">
            <w:pPr>
              <w:jc w:val="left"/>
              <w:cnfStyle w:val="000000000000" w:firstRow="0" w:lastRow="0" w:firstColumn="0" w:lastColumn="0" w:oddVBand="0" w:evenVBand="0" w:oddHBand="0" w:evenHBand="0" w:firstRowFirstColumn="0" w:firstRowLastColumn="0" w:lastRowFirstColumn="0" w:lastRowLastColumn="0"/>
              <w:rPr>
                <w:highlight w:val="yellow"/>
              </w:rPr>
            </w:pPr>
            <w:r>
              <w:rPr>
                <w:rFonts w:ascii="Helvetica,Arial" w:eastAsia="Helvetica,Arial" w:hAnsi="Helvetica,Arial" w:cs="Helvetica,Arial"/>
              </w:rPr>
              <w:t>Gather all pertinent documents, including the security document set, policies, processes, procedures, high-level architecture, and system operating procedures.</w:t>
            </w:r>
          </w:p>
        </w:tc>
        <w:tc>
          <w:tcPr>
            <w:tcW w:w="1540" w:type="dxa"/>
            <w:tcBorders>
              <w:top w:val="single" w:sz="4" w:space="0" w:color="33CCCC"/>
              <w:left w:val="single" w:sz="4" w:space="0" w:color="33CCCC"/>
              <w:bottom w:val="single" w:sz="4" w:space="0" w:color="33CCCC"/>
              <w:right w:val="single" w:sz="4" w:space="0" w:color="33CCCC"/>
            </w:tcBorders>
            <w:shd w:val="clear" w:color="auto" w:fill="BCE1E5" w:themeFill="accent2" w:themeFillTint="66"/>
            <w:vAlign w:val="center"/>
            <w:hideMark/>
          </w:tcPr>
          <w:p w14:paraId="44F799C5" w14:textId="77777777" w:rsidR="00CE4CC8" w:rsidRDefault="00CE4CC8">
            <w:pPr>
              <w:jc w:val="center"/>
              <w:cnfStyle w:val="000000000000" w:firstRow="0" w:lastRow="0" w:firstColumn="0" w:lastColumn="0" w:oddVBand="0" w:evenVBand="0" w:oddHBand="0" w:evenHBand="0" w:firstRowFirstColumn="0" w:firstRowLastColumn="0" w:lastRowFirstColumn="0" w:lastRowLastColumn="0"/>
            </w:pPr>
            <w:r>
              <w:rPr>
                <w:rFonts w:ascii="Helvetica,Arial" w:eastAsia="Helvetica,Arial" w:hAnsi="Helvetica,Arial" w:cs="Helvetica,Arial"/>
              </w:rPr>
              <w:t>5</w:t>
            </w:r>
          </w:p>
        </w:tc>
      </w:tr>
      <w:tr w:rsidR="00CE4CC8" w14:paraId="27D9B7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3CCCC"/>
            <w:vAlign w:val="center"/>
            <w:hideMark/>
          </w:tcPr>
          <w:p w14:paraId="5B1FA0A9" w14:textId="77777777" w:rsidR="00CE4CC8" w:rsidRDefault="00CE4CC8">
            <w:pPr>
              <w:jc w:val="left"/>
              <w:rPr>
                <w:color w:val="FFFFFF" w:themeColor="background1"/>
              </w:rPr>
            </w:pPr>
            <w:r>
              <w:rPr>
                <w:color w:val="FFFFFF" w:themeColor="background1"/>
              </w:rPr>
              <w:t>Phase 3 - Conduct the Risk Assessment.</w:t>
            </w:r>
          </w:p>
        </w:tc>
        <w:tc>
          <w:tcPr>
            <w:tcW w:w="6237" w:type="dxa"/>
            <w:tcBorders>
              <w:top w:val="single" w:sz="4" w:space="0" w:color="33CCCC"/>
              <w:left w:val="single" w:sz="4" w:space="0" w:color="FFFFFF" w:themeColor="background1"/>
              <w:bottom w:val="single" w:sz="4" w:space="0" w:color="33CCCC"/>
              <w:right w:val="single" w:sz="4" w:space="0" w:color="33CCCC"/>
            </w:tcBorders>
            <w:shd w:val="clear" w:color="auto" w:fill="FFFFFF" w:themeFill="background1"/>
            <w:hideMark/>
          </w:tcPr>
          <w:p w14:paraId="67636476" w14:textId="3D185B0B" w:rsidR="00CE4CC8" w:rsidRDefault="00CE4CC8">
            <w:pPr>
              <w:jc w:val="left"/>
              <w:cnfStyle w:val="000000100000" w:firstRow="0" w:lastRow="0" w:firstColumn="0" w:lastColumn="0" w:oddVBand="0" w:evenVBand="0" w:oddHBand="1" w:evenHBand="0" w:firstRowFirstColumn="0" w:firstRowLastColumn="0" w:lastRowFirstColumn="0" w:lastRowLastColumn="0"/>
              <w:rPr>
                <w:highlight w:val="yellow"/>
              </w:rPr>
            </w:pPr>
            <w:r>
              <w:rPr>
                <w:rFonts w:ascii="Helvetica,Arial" w:eastAsia="Helvetica,Arial" w:hAnsi="Helvetica,Arial" w:cs="Helvetica,Arial"/>
              </w:rPr>
              <w:t xml:space="preserve">Review the documentation that has been provided and make necessary updates to the Risk Profile. It is estimated that each document will take half a day. </w:t>
            </w:r>
          </w:p>
        </w:tc>
        <w:tc>
          <w:tcPr>
            <w:tcW w:w="1540" w:type="dxa"/>
            <w:tcBorders>
              <w:top w:val="single" w:sz="4" w:space="0" w:color="33CCCC"/>
              <w:left w:val="single" w:sz="4" w:space="0" w:color="33CCCC"/>
              <w:bottom w:val="single" w:sz="4" w:space="0" w:color="33CCCC"/>
              <w:right w:val="single" w:sz="4" w:space="0" w:color="33CCCC"/>
            </w:tcBorders>
            <w:shd w:val="clear" w:color="auto" w:fill="FFFFFF" w:themeFill="background1"/>
            <w:vAlign w:val="center"/>
            <w:hideMark/>
          </w:tcPr>
          <w:p w14:paraId="6B11E060"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pPr>
            <w:r>
              <w:t>30</w:t>
            </w:r>
          </w:p>
        </w:tc>
      </w:tr>
      <w:tr w:rsidR="00CE4CC8" w14:paraId="1F8744DC"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651BCB4" w14:textId="77777777" w:rsidR="00CE4CC8" w:rsidRDefault="00CE4CC8">
            <w:pPr>
              <w:jc w:val="left"/>
              <w:rPr>
                <w:rFonts w:ascii="Nunito Sans" w:hAnsi="Nunito Sans"/>
                <w:color w:val="FFFFFF" w:themeColor="background1"/>
                <w:szCs w:val="22"/>
              </w:rPr>
            </w:pPr>
          </w:p>
        </w:tc>
        <w:tc>
          <w:tcPr>
            <w:tcW w:w="6237" w:type="dxa"/>
            <w:tcBorders>
              <w:top w:val="single" w:sz="4" w:space="0" w:color="33CCCC"/>
              <w:left w:val="single" w:sz="4" w:space="0" w:color="FFFFFF" w:themeColor="background1"/>
              <w:bottom w:val="single" w:sz="4" w:space="0" w:color="33CCCC"/>
              <w:right w:val="single" w:sz="4" w:space="0" w:color="33CCCC"/>
            </w:tcBorders>
            <w:shd w:val="clear" w:color="auto" w:fill="BCE1E5" w:themeFill="accent2" w:themeFillTint="66"/>
            <w:hideMark/>
          </w:tcPr>
          <w:p w14:paraId="68C12CF0" w14:textId="77777777" w:rsidR="00CE4CC8" w:rsidRDefault="00CE4CC8">
            <w:pPr>
              <w:jc w:val="left"/>
              <w:cnfStyle w:val="000000000000" w:firstRow="0" w:lastRow="0" w:firstColumn="0" w:lastColumn="0" w:oddVBand="0" w:evenVBand="0" w:oddHBand="0" w:evenHBand="0" w:firstRowFirstColumn="0" w:firstRowLastColumn="0" w:lastRowFirstColumn="0" w:lastRowLastColumn="0"/>
              <w:rPr>
                <w:highlight w:val="yellow"/>
              </w:rPr>
            </w:pPr>
            <w:r>
              <w:rPr>
                <w:rFonts w:ascii="Helvetica,Arial" w:eastAsia="Helvetica,Arial" w:hAnsi="Helvetica,Arial" w:cs="Helvetica,Arial"/>
              </w:rPr>
              <w:t xml:space="preserve">Conduct interviews with relevant personnel, such as operators, system developers, network administrators, information owners, and security officers. Each interview is estimated to take a day. Update the Risk Profile accordingly. Estimated </w:t>
            </w:r>
            <w:r>
              <w:rPr>
                <w:rFonts w:ascii="Helvetica,Arial" w:eastAsia="Helvetica,Arial" w:hAnsi="Helvetica,Arial" w:cs="Helvetica,Arial"/>
                <w:b/>
                <w:bCs/>
              </w:rPr>
              <w:t>10 People</w:t>
            </w:r>
            <w:r>
              <w:rPr>
                <w:rFonts w:ascii="Helvetica,Arial" w:eastAsia="Helvetica,Arial" w:hAnsi="Helvetica,Arial" w:cs="Helvetica,Arial"/>
              </w:rPr>
              <w:t xml:space="preserve"> </w:t>
            </w:r>
          </w:p>
        </w:tc>
        <w:tc>
          <w:tcPr>
            <w:tcW w:w="1540" w:type="dxa"/>
            <w:tcBorders>
              <w:top w:val="single" w:sz="4" w:space="0" w:color="33CCCC"/>
              <w:left w:val="single" w:sz="4" w:space="0" w:color="33CCCC"/>
              <w:bottom w:val="single" w:sz="4" w:space="0" w:color="33CCCC"/>
              <w:right w:val="single" w:sz="4" w:space="0" w:color="33CCCC"/>
            </w:tcBorders>
            <w:shd w:val="clear" w:color="auto" w:fill="BCE1E5" w:themeFill="accent2" w:themeFillTint="66"/>
            <w:vAlign w:val="center"/>
          </w:tcPr>
          <w:p w14:paraId="55E5F470" w14:textId="77777777" w:rsidR="00CE4CC8" w:rsidRDefault="00CE4CC8">
            <w:pPr>
              <w:spacing w:line="254" w:lineRule="auto"/>
              <w:jc w:val="center"/>
              <w:cnfStyle w:val="000000000000" w:firstRow="0" w:lastRow="0" w:firstColumn="0" w:lastColumn="0" w:oddVBand="0" w:evenVBand="0" w:oddHBand="0" w:evenHBand="0" w:firstRowFirstColumn="0" w:firstRowLastColumn="0" w:lastRowFirstColumn="0" w:lastRowLastColumn="0"/>
            </w:pPr>
            <w:r>
              <w:t>8</w:t>
            </w:r>
          </w:p>
          <w:p w14:paraId="71DF5330" w14:textId="77777777" w:rsidR="00CE4CC8" w:rsidRDefault="00CE4CC8">
            <w:pPr>
              <w:jc w:val="center"/>
              <w:cnfStyle w:val="000000000000" w:firstRow="0" w:lastRow="0" w:firstColumn="0" w:lastColumn="0" w:oddVBand="0" w:evenVBand="0" w:oddHBand="0" w:evenHBand="0" w:firstRowFirstColumn="0" w:firstRowLastColumn="0" w:lastRowFirstColumn="0" w:lastRowLastColumn="0"/>
            </w:pPr>
          </w:p>
        </w:tc>
      </w:tr>
      <w:tr w:rsidR="00CE4CC8" w14:paraId="466BDF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3CCCC"/>
            <w:vAlign w:val="center"/>
            <w:hideMark/>
          </w:tcPr>
          <w:p w14:paraId="23697F78" w14:textId="77777777" w:rsidR="00CE4CC8" w:rsidRDefault="00CE4CC8">
            <w:pPr>
              <w:jc w:val="left"/>
              <w:rPr>
                <w:color w:val="FFFFFF" w:themeColor="background1"/>
              </w:rPr>
            </w:pPr>
            <w:r>
              <w:rPr>
                <w:color w:val="FFFFFF" w:themeColor="background1"/>
              </w:rPr>
              <w:t>Phase 4 - Deliver Final Assessment Report.</w:t>
            </w:r>
          </w:p>
        </w:tc>
        <w:tc>
          <w:tcPr>
            <w:tcW w:w="6237" w:type="dxa"/>
            <w:tcBorders>
              <w:top w:val="single" w:sz="4" w:space="0" w:color="33CCCC"/>
              <w:left w:val="single" w:sz="4" w:space="0" w:color="FFFFFF" w:themeColor="background1"/>
              <w:bottom w:val="single" w:sz="4" w:space="0" w:color="33CCCC"/>
              <w:right w:val="single" w:sz="4" w:space="0" w:color="33CCCC"/>
            </w:tcBorders>
            <w:shd w:val="clear" w:color="auto" w:fill="FFFFFF" w:themeFill="background1"/>
            <w:hideMark/>
          </w:tcPr>
          <w:p w14:paraId="214BE661" w14:textId="77777777" w:rsidR="00CE4CC8" w:rsidRDefault="00CE4CC8">
            <w:pPr>
              <w:jc w:val="left"/>
              <w:cnfStyle w:val="000000100000" w:firstRow="0" w:lastRow="0" w:firstColumn="0" w:lastColumn="0" w:oddVBand="0" w:evenVBand="0" w:oddHBand="1" w:evenHBand="0" w:firstRowFirstColumn="0" w:firstRowLastColumn="0" w:lastRowFirstColumn="0" w:lastRowLastColumn="0"/>
              <w:rPr>
                <w:highlight w:val="yellow"/>
              </w:rPr>
            </w:pPr>
            <w:r>
              <w:rPr>
                <w:rFonts w:ascii="Helvetica,Arial" w:eastAsia="Helvetica,Arial" w:hAnsi="Helvetica,Arial" w:cs="Helvetica,Arial"/>
              </w:rPr>
              <w:t>Prepare a detailed draft of the risk assessment report, including identified risks, their potential impacts, and suggested recommendations and mitigation strategies.</w:t>
            </w:r>
          </w:p>
        </w:tc>
        <w:tc>
          <w:tcPr>
            <w:tcW w:w="1540" w:type="dxa"/>
            <w:tcBorders>
              <w:top w:val="single" w:sz="4" w:space="0" w:color="33CCCC"/>
              <w:left w:val="single" w:sz="4" w:space="0" w:color="33CCCC"/>
              <w:bottom w:val="single" w:sz="4" w:space="0" w:color="33CCCC"/>
              <w:right w:val="single" w:sz="4" w:space="0" w:color="33CCCC"/>
            </w:tcBorders>
            <w:shd w:val="clear" w:color="auto" w:fill="FFFFFF" w:themeFill="background1"/>
            <w:vAlign w:val="center"/>
            <w:hideMark/>
          </w:tcPr>
          <w:p w14:paraId="77D1CB29"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pPr>
            <w:r>
              <w:t>10</w:t>
            </w:r>
          </w:p>
        </w:tc>
      </w:tr>
      <w:tr w:rsidR="00CE4CC8" w14:paraId="4D3A95DC"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3654CE7" w14:textId="77777777" w:rsidR="00CE4CC8" w:rsidRDefault="00CE4CC8">
            <w:pPr>
              <w:jc w:val="left"/>
              <w:rPr>
                <w:rFonts w:ascii="Nunito Sans" w:hAnsi="Nunito Sans"/>
                <w:color w:val="FFFFFF" w:themeColor="background1"/>
                <w:szCs w:val="22"/>
              </w:rPr>
            </w:pPr>
          </w:p>
        </w:tc>
        <w:tc>
          <w:tcPr>
            <w:tcW w:w="6237" w:type="dxa"/>
            <w:tcBorders>
              <w:top w:val="single" w:sz="4" w:space="0" w:color="33CCCC"/>
              <w:left w:val="single" w:sz="4" w:space="0" w:color="FFFFFF" w:themeColor="background1"/>
              <w:bottom w:val="single" w:sz="4" w:space="0" w:color="33CCCC"/>
              <w:right w:val="single" w:sz="4" w:space="0" w:color="33CCCC"/>
            </w:tcBorders>
            <w:shd w:val="clear" w:color="auto" w:fill="BCE1E5" w:themeFill="accent2" w:themeFillTint="66"/>
            <w:hideMark/>
          </w:tcPr>
          <w:p w14:paraId="50440A64" w14:textId="77777777" w:rsidR="00CE4CC8" w:rsidRDefault="00CE4CC8">
            <w:pPr>
              <w:jc w:val="left"/>
              <w:cnfStyle w:val="000000000000" w:firstRow="0" w:lastRow="0" w:firstColumn="0" w:lastColumn="0" w:oddVBand="0" w:evenVBand="0" w:oddHBand="0" w:evenHBand="0" w:firstRowFirstColumn="0" w:firstRowLastColumn="0" w:lastRowFirstColumn="0" w:lastRowLastColumn="0"/>
              <w:rPr>
                <w:highlight w:val="yellow"/>
              </w:rPr>
            </w:pPr>
            <w:r>
              <w:rPr>
                <w:rFonts w:ascii="Helvetica,Arial" w:eastAsia="Helvetica,Arial" w:hAnsi="Helvetica,Arial" w:cs="Helvetica,Arial"/>
              </w:rPr>
              <w:t>Conducted an internal review of the draft report, carefully examining content, accuracy, formatting, and compliance with company standards and procedures.</w:t>
            </w:r>
          </w:p>
        </w:tc>
        <w:tc>
          <w:tcPr>
            <w:tcW w:w="1540" w:type="dxa"/>
            <w:tcBorders>
              <w:top w:val="single" w:sz="4" w:space="0" w:color="33CCCC"/>
              <w:left w:val="single" w:sz="4" w:space="0" w:color="33CCCC"/>
              <w:bottom w:val="single" w:sz="4" w:space="0" w:color="33CCCC"/>
              <w:right w:val="single" w:sz="4" w:space="0" w:color="33CCCC"/>
            </w:tcBorders>
            <w:shd w:val="clear" w:color="auto" w:fill="BCE1E5" w:themeFill="accent2" w:themeFillTint="66"/>
            <w:vAlign w:val="center"/>
            <w:hideMark/>
          </w:tcPr>
          <w:p w14:paraId="5D4F7B50" w14:textId="77777777" w:rsidR="00CE4CC8" w:rsidRDefault="00CE4CC8">
            <w:pPr>
              <w:jc w:val="center"/>
              <w:cnfStyle w:val="000000000000" w:firstRow="0" w:lastRow="0" w:firstColumn="0" w:lastColumn="0" w:oddVBand="0" w:evenVBand="0" w:oddHBand="0" w:evenHBand="0" w:firstRowFirstColumn="0" w:firstRowLastColumn="0" w:lastRowFirstColumn="0" w:lastRowLastColumn="0"/>
            </w:pPr>
            <w:r>
              <w:rPr>
                <w:rFonts w:ascii="Helvetica,Arial" w:eastAsia="Helvetica,Arial" w:hAnsi="Helvetica,Arial" w:cs="Helvetica,Arial"/>
              </w:rPr>
              <w:t>1</w:t>
            </w:r>
          </w:p>
        </w:tc>
      </w:tr>
      <w:tr w:rsidR="00CE4CC8" w14:paraId="152EC2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B94050B" w14:textId="77777777" w:rsidR="00CE4CC8" w:rsidRDefault="00CE4CC8">
            <w:pPr>
              <w:jc w:val="left"/>
              <w:rPr>
                <w:rFonts w:ascii="Nunito Sans" w:hAnsi="Nunito Sans"/>
                <w:color w:val="FFFFFF" w:themeColor="background1"/>
                <w:szCs w:val="22"/>
              </w:rPr>
            </w:pPr>
          </w:p>
        </w:tc>
        <w:tc>
          <w:tcPr>
            <w:tcW w:w="6237" w:type="dxa"/>
            <w:tcBorders>
              <w:top w:val="single" w:sz="4" w:space="0" w:color="33CCCC"/>
              <w:left w:val="single" w:sz="4" w:space="0" w:color="FFFFFF" w:themeColor="background1"/>
              <w:bottom w:val="single" w:sz="4" w:space="0" w:color="33CCCC"/>
              <w:right w:val="single" w:sz="4" w:space="0" w:color="33CCCC"/>
            </w:tcBorders>
            <w:shd w:val="clear" w:color="auto" w:fill="FFFFFF" w:themeFill="background1"/>
            <w:hideMark/>
          </w:tcPr>
          <w:p w14:paraId="589254F4" w14:textId="77777777" w:rsidR="00CE4CC8" w:rsidRDefault="00CE4CC8">
            <w:pPr>
              <w:jc w:val="left"/>
              <w:cnfStyle w:val="000000100000" w:firstRow="0" w:lastRow="0" w:firstColumn="0" w:lastColumn="0" w:oddVBand="0" w:evenVBand="0" w:oddHBand="1" w:evenHBand="0" w:firstRowFirstColumn="0" w:firstRowLastColumn="0" w:lastRowFirstColumn="0" w:lastRowLastColumn="0"/>
              <w:rPr>
                <w:highlight w:val="yellow"/>
              </w:rPr>
            </w:pPr>
            <w:r>
              <w:rPr>
                <w:rFonts w:ascii="Helvetica,Arial" w:eastAsia="Helvetica,Arial" w:hAnsi="Helvetica,Arial" w:cs="Helvetica,Arial"/>
              </w:rPr>
              <w:t>Prepare and finalise the report, including all necessary details and findings, and send it to the client for review and consideration.</w:t>
            </w:r>
          </w:p>
        </w:tc>
        <w:tc>
          <w:tcPr>
            <w:tcW w:w="1540" w:type="dxa"/>
            <w:tcBorders>
              <w:top w:val="single" w:sz="4" w:space="0" w:color="33CCCC"/>
              <w:left w:val="single" w:sz="4" w:space="0" w:color="33CCCC"/>
              <w:bottom w:val="single" w:sz="4" w:space="0" w:color="33CCCC"/>
              <w:right w:val="single" w:sz="4" w:space="0" w:color="33CCCC"/>
            </w:tcBorders>
            <w:shd w:val="clear" w:color="auto" w:fill="FFFFFF" w:themeFill="background1"/>
            <w:vAlign w:val="center"/>
            <w:hideMark/>
          </w:tcPr>
          <w:p w14:paraId="00D20C4E"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pPr>
            <w:r>
              <w:t>1</w:t>
            </w:r>
          </w:p>
        </w:tc>
      </w:tr>
      <w:tr w:rsidR="00CE4CC8" w14:paraId="4BA523EC"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DF73AEF" w14:textId="77777777" w:rsidR="00CE4CC8" w:rsidRDefault="00CE4CC8">
            <w:pPr>
              <w:jc w:val="left"/>
              <w:rPr>
                <w:rFonts w:ascii="Nunito Sans" w:hAnsi="Nunito Sans"/>
                <w:color w:val="FFFFFF" w:themeColor="background1"/>
                <w:szCs w:val="22"/>
              </w:rPr>
            </w:pPr>
          </w:p>
        </w:tc>
        <w:tc>
          <w:tcPr>
            <w:tcW w:w="6237" w:type="dxa"/>
            <w:tcBorders>
              <w:top w:val="single" w:sz="4" w:space="0" w:color="33CCCC"/>
              <w:left w:val="single" w:sz="4" w:space="0" w:color="FFFFFF" w:themeColor="background1"/>
              <w:bottom w:val="single" w:sz="4" w:space="0" w:color="33CCCC"/>
              <w:right w:val="single" w:sz="4" w:space="0" w:color="33CCCC"/>
            </w:tcBorders>
            <w:shd w:val="clear" w:color="auto" w:fill="BCE1E5" w:themeFill="accent2" w:themeFillTint="66"/>
            <w:hideMark/>
          </w:tcPr>
          <w:p w14:paraId="509CB834" w14:textId="77777777" w:rsidR="00CE4CC8" w:rsidRDefault="00CE4CC8">
            <w:pPr>
              <w:jc w:val="left"/>
              <w:cnfStyle w:val="000000000000" w:firstRow="0" w:lastRow="0" w:firstColumn="0" w:lastColumn="0" w:oddVBand="0" w:evenVBand="0" w:oddHBand="0" w:evenHBand="0" w:firstRowFirstColumn="0" w:firstRowLastColumn="0" w:lastRowFirstColumn="0" w:lastRowLastColumn="0"/>
              <w:rPr>
                <w:highlight w:val="yellow"/>
              </w:rPr>
            </w:pPr>
            <w:r>
              <w:rPr>
                <w:rFonts w:ascii="Helvetica,Arial" w:eastAsia="Helvetica,Arial" w:hAnsi="Helvetica,Arial" w:cs="Helvetica,Arial"/>
              </w:rPr>
              <w:t>Prepare for and conduct a comprehensive meeting with the client to review the findings of the risk assessment in detail. Discuss the potential risks, their implications, and proposed mitigation strategies. Obtain the client's approval and sign off on the report to ensure alignment with their expectations. Subsequently, the final, detailed report will be issued incorporating all the points discussed and the approved findings.</w:t>
            </w:r>
          </w:p>
        </w:tc>
        <w:tc>
          <w:tcPr>
            <w:tcW w:w="1540" w:type="dxa"/>
            <w:tcBorders>
              <w:top w:val="single" w:sz="4" w:space="0" w:color="33CCCC"/>
              <w:left w:val="single" w:sz="4" w:space="0" w:color="33CCCC"/>
              <w:bottom w:val="single" w:sz="4" w:space="0" w:color="33CCCC"/>
              <w:right w:val="single" w:sz="4" w:space="0" w:color="33CCCC"/>
            </w:tcBorders>
            <w:shd w:val="clear" w:color="auto" w:fill="BCE1E5" w:themeFill="accent2" w:themeFillTint="66"/>
            <w:vAlign w:val="center"/>
            <w:hideMark/>
          </w:tcPr>
          <w:p w14:paraId="27538F17" w14:textId="77777777" w:rsidR="00CE4CC8" w:rsidRDefault="00CE4CC8">
            <w:pPr>
              <w:jc w:val="center"/>
              <w:cnfStyle w:val="000000000000" w:firstRow="0" w:lastRow="0" w:firstColumn="0" w:lastColumn="0" w:oddVBand="0" w:evenVBand="0" w:oddHBand="0" w:evenHBand="0" w:firstRowFirstColumn="0" w:firstRowLastColumn="0" w:lastRowFirstColumn="0" w:lastRowLastColumn="0"/>
            </w:pPr>
            <w:r>
              <w:t>2</w:t>
            </w:r>
          </w:p>
        </w:tc>
      </w:tr>
      <w:tr w:rsidR="00CE4CC8" w14:paraId="74550C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tcBorders>
              <w:top w:val="single" w:sz="4" w:space="0" w:color="FFFFFF" w:themeColor="background1"/>
              <w:left w:val="single" w:sz="4" w:space="0" w:color="33CCCC"/>
              <w:bottom w:val="single" w:sz="4" w:space="0" w:color="33CCCC"/>
              <w:right w:val="single" w:sz="4" w:space="0" w:color="33CCCC"/>
            </w:tcBorders>
            <w:shd w:val="clear" w:color="auto" w:fill="009999"/>
          </w:tcPr>
          <w:p w14:paraId="195FE1EA" w14:textId="77777777" w:rsidR="00CE4CC8" w:rsidRDefault="00CE4CC8">
            <w:pPr>
              <w:ind w:left="962"/>
              <w:jc w:val="center"/>
              <w:rPr>
                <w:color w:val="FFFFFF" w:themeColor="background1"/>
              </w:rPr>
            </w:pPr>
          </w:p>
        </w:tc>
        <w:tc>
          <w:tcPr>
            <w:tcW w:w="6237" w:type="dxa"/>
            <w:tcBorders>
              <w:top w:val="single" w:sz="4" w:space="0" w:color="33CCCC"/>
              <w:left w:val="single" w:sz="4" w:space="0" w:color="33CCCC"/>
              <w:bottom w:val="single" w:sz="4" w:space="0" w:color="33CCCC"/>
              <w:right w:val="single" w:sz="4" w:space="0" w:color="33CCCC"/>
            </w:tcBorders>
            <w:shd w:val="clear" w:color="auto" w:fill="009999"/>
            <w:hideMark/>
          </w:tcPr>
          <w:p w14:paraId="0E6A84EF" w14:textId="77777777" w:rsidR="00CE4CC8" w:rsidRDefault="00CE4CC8">
            <w:pPr>
              <w:jc w:val="right"/>
              <w:cnfStyle w:val="000000100000" w:firstRow="0" w:lastRow="0" w:firstColumn="0" w:lastColumn="0" w:oddVBand="0" w:evenVBand="0" w:oddHBand="1" w:evenHBand="0" w:firstRowFirstColumn="0" w:firstRowLastColumn="0" w:lastRowFirstColumn="0" w:lastRowLastColumn="0"/>
              <w:rPr>
                <w:color w:val="FFFFFF" w:themeColor="background1"/>
              </w:rPr>
            </w:pPr>
            <w:r>
              <w:rPr>
                <w:color w:val="FFFFFF" w:themeColor="background1"/>
              </w:rPr>
              <w:t>Total Number of Days</w:t>
            </w:r>
          </w:p>
          <w:p w14:paraId="277A7DC6" w14:textId="77777777" w:rsidR="00CE4CC8" w:rsidRDefault="00CE4CC8">
            <w:pPr>
              <w:jc w:val="right"/>
              <w:cnfStyle w:val="000000100000" w:firstRow="0" w:lastRow="0" w:firstColumn="0" w:lastColumn="0" w:oddVBand="0" w:evenVBand="0" w:oddHBand="1" w:evenHBand="0" w:firstRowFirstColumn="0" w:firstRowLastColumn="0" w:lastRowFirstColumn="0" w:lastRowLastColumn="0"/>
              <w:rPr>
                <w:i/>
                <w:iCs/>
                <w:color w:val="FFFFFF" w:themeColor="background1"/>
              </w:rPr>
            </w:pPr>
            <w:r>
              <w:rPr>
                <w:i/>
                <w:iCs/>
                <w:color w:val="FFFFFF" w:themeColor="background1"/>
                <w:sz w:val="20"/>
              </w:rPr>
              <w:t>(Dependent on availability of resources)</w:t>
            </w:r>
          </w:p>
        </w:tc>
        <w:tc>
          <w:tcPr>
            <w:tcW w:w="1540" w:type="dxa"/>
            <w:tcBorders>
              <w:top w:val="single" w:sz="4" w:space="0" w:color="33CCCC"/>
              <w:left w:val="single" w:sz="4" w:space="0" w:color="33CCCC"/>
              <w:bottom w:val="single" w:sz="4" w:space="0" w:color="33CCCC"/>
              <w:right w:val="single" w:sz="4" w:space="0" w:color="33CCCC"/>
            </w:tcBorders>
            <w:shd w:val="clear" w:color="auto" w:fill="009999"/>
            <w:vAlign w:val="center"/>
            <w:hideMark/>
          </w:tcPr>
          <w:p w14:paraId="2137CA35"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63</w:t>
            </w:r>
          </w:p>
        </w:tc>
      </w:tr>
    </w:tbl>
    <w:p w14:paraId="7DC79BE7" w14:textId="57AF03AA" w:rsidR="00CE4CC8" w:rsidRPr="000C70D0" w:rsidRDefault="000C70D0" w:rsidP="00341078">
      <w:pPr>
        <w:pStyle w:val="Level1Heading"/>
      </w:pPr>
      <w:bookmarkStart w:id="8" w:name="_Toc236212078"/>
      <w:r w:rsidRPr="000C70D0">
        <w:lastRenderedPageBreak/>
        <w:t>Phase Action Items &amp; Key Tasks</w:t>
      </w:r>
      <w:bookmarkEnd w:id="8"/>
    </w:p>
    <w:tbl>
      <w:tblPr>
        <w:tblStyle w:val="ListTable4-Accent1"/>
        <w:tblW w:w="10348" w:type="dxa"/>
        <w:tblInd w:w="137" w:type="dxa"/>
        <w:tblBorders>
          <w:top w:val="single" w:sz="4" w:space="0" w:color="33CCCC"/>
          <w:left w:val="single" w:sz="4" w:space="0" w:color="33CCCC"/>
          <w:bottom w:val="single" w:sz="4" w:space="0" w:color="33CCCC"/>
          <w:right w:val="single" w:sz="4" w:space="0" w:color="33CCCC"/>
          <w:insideH w:val="single" w:sz="4" w:space="0" w:color="33CCCC"/>
          <w:insideV w:val="single" w:sz="4" w:space="0" w:color="33CCCC"/>
        </w:tblBorders>
        <w:tblCellMar>
          <w:top w:w="57" w:type="dxa"/>
          <w:left w:w="170" w:type="dxa"/>
          <w:bottom w:w="57" w:type="dxa"/>
          <w:right w:w="170" w:type="dxa"/>
        </w:tblCellMar>
        <w:tblLook w:val="04A0" w:firstRow="1" w:lastRow="0" w:firstColumn="1" w:lastColumn="0" w:noHBand="0" w:noVBand="1"/>
      </w:tblPr>
      <w:tblGrid>
        <w:gridCol w:w="1843"/>
        <w:gridCol w:w="8505"/>
      </w:tblGrid>
      <w:tr w:rsidR="00107EBC" w14:paraId="36A9B813" w14:textId="77777777" w:rsidTr="00107E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FFFFFF" w:themeColor="background1"/>
              <w:right w:val="single" w:sz="4" w:space="0" w:color="33CCCC"/>
            </w:tcBorders>
            <w:shd w:val="clear" w:color="auto" w:fill="009999"/>
            <w:vAlign w:val="center"/>
            <w:hideMark/>
          </w:tcPr>
          <w:p w14:paraId="6DB4EA92" w14:textId="77777777" w:rsidR="00107EBC" w:rsidRDefault="00107EBC">
            <w:pPr>
              <w:jc w:val="center"/>
            </w:pPr>
            <w:bookmarkStart w:id="9" w:name="_Hlk167111549"/>
            <w:r>
              <w:t>Phase</w:t>
            </w:r>
          </w:p>
        </w:tc>
        <w:tc>
          <w:tcPr>
            <w:tcW w:w="8505" w:type="dxa"/>
            <w:tcBorders>
              <w:left w:val="single" w:sz="4" w:space="0" w:color="33CCCC"/>
              <w:bottom w:val="single" w:sz="4" w:space="0" w:color="33CCCC"/>
              <w:right w:val="single" w:sz="4" w:space="0" w:color="33CCCC"/>
            </w:tcBorders>
            <w:shd w:val="clear" w:color="auto" w:fill="009999"/>
            <w:vAlign w:val="center"/>
            <w:hideMark/>
          </w:tcPr>
          <w:p w14:paraId="5097D468" w14:textId="1552D76A" w:rsidR="00107EBC" w:rsidRDefault="00107EBC">
            <w:pPr>
              <w:jc w:val="center"/>
              <w:cnfStyle w:val="100000000000" w:firstRow="1" w:lastRow="0" w:firstColumn="0" w:lastColumn="0" w:oddVBand="0" w:evenVBand="0" w:oddHBand="0" w:evenHBand="0" w:firstRowFirstColumn="0" w:firstRowLastColumn="0" w:lastRowFirstColumn="0" w:lastRowLastColumn="0"/>
            </w:pPr>
            <w:r>
              <w:t>Actions</w:t>
            </w:r>
          </w:p>
        </w:tc>
      </w:tr>
      <w:tr w:rsidR="00107EBC" w14:paraId="13BBE515" w14:textId="77777777" w:rsidTr="00107EBC">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3CCCC"/>
            <w:vAlign w:val="center"/>
            <w:hideMark/>
          </w:tcPr>
          <w:p w14:paraId="28077D8E" w14:textId="77777777" w:rsidR="00107EBC" w:rsidRDefault="00107EBC">
            <w:pPr>
              <w:jc w:val="left"/>
              <w:rPr>
                <w:color w:val="FFFFFF" w:themeColor="background1"/>
              </w:rPr>
            </w:pPr>
            <w:r>
              <w:rPr>
                <w:color w:val="FFFFFF" w:themeColor="background1"/>
              </w:rPr>
              <w:t xml:space="preserve">Phase </w:t>
            </w:r>
            <w:proofErr w:type="gramStart"/>
            <w:r>
              <w:rPr>
                <w:color w:val="FFFFFF" w:themeColor="background1"/>
              </w:rPr>
              <w:t>1  -</w:t>
            </w:r>
            <w:proofErr w:type="gramEnd"/>
            <w:r>
              <w:rPr>
                <w:color w:val="FFFFFF" w:themeColor="background1"/>
              </w:rPr>
              <w:t xml:space="preserve"> Planning</w:t>
            </w:r>
          </w:p>
        </w:tc>
        <w:tc>
          <w:tcPr>
            <w:tcW w:w="8505" w:type="dxa"/>
            <w:tcBorders>
              <w:top w:val="single" w:sz="4" w:space="0" w:color="33CCCC"/>
              <w:left w:val="single" w:sz="4" w:space="0" w:color="FFFFFF" w:themeColor="background1"/>
              <w:bottom w:val="single" w:sz="4" w:space="0" w:color="33CCCC"/>
              <w:right w:val="single" w:sz="4" w:space="0" w:color="33CCCC"/>
            </w:tcBorders>
            <w:hideMark/>
          </w:tcPr>
          <w:p w14:paraId="42688375" w14:textId="77777777" w:rsidR="00107EBC" w:rsidRDefault="00107EBC">
            <w:pPr>
              <w:jc w:val="left"/>
              <w:cnfStyle w:val="000000100000" w:firstRow="0" w:lastRow="0" w:firstColumn="0" w:lastColumn="0" w:oddVBand="0" w:evenVBand="0" w:oddHBand="1" w:evenHBand="0" w:firstRowFirstColumn="0" w:firstRowLastColumn="0" w:lastRowFirstColumn="0" w:lastRowLastColumn="0"/>
              <w:rPr>
                <w:rFonts w:ascii="Helvetica,Arial" w:eastAsia="Helvetica,Arial" w:hAnsi="Helvetica,Arial" w:cs="Helvetica,Arial"/>
              </w:rPr>
            </w:pPr>
            <w:r>
              <w:rPr>
                <w:rFonts w:ascii="Helvetica,Arial" w:eastAsia="Helvetica,Arial" w:hAnsi="Helvetica,Arial" w:cs="Helvetica,Arial"/>
              </w:rPr>
              <w:t xml:space="preserve">Planning Meetings to prepare for the analysis period, focus areas, goals, and desired outcomes. </w:t>
            </w:r>
          </w:p>
          <w:p w14:paraId="3E87F54C" w14:textId="7BEF97AC" w:rsidR="00107EBC" w:rsidRDefault="00107EBC">
            <w:pPr>
              <w:jc w:val="left"/>
              <w:cnfStyle w:val="000000100000" w:firstRow="0" w:lastRow="0" w:firstColumn="0" w:lastColumn="0" w:oddVBand="0" w:evenVBand="0" w:oddHBand="1" w:evenHBand="0" w:firstRowFirstColumn="0" w:firstRowLastColumn="0" w:lastRowFirstColumn="0" w:lastRowLastColumn="0"/>
              <w:rPr>
                <w:rFonts w:ascii="Helvetica,Arial" w:eastAsia="Helvetica,Arial" w:hAnsi="Helvetica,Arial" w:cs="Helvetica,Arial"/>
              </w:rPr>
            </w:pPr>
            <w:r>
              <w:rPr>
                <w:rFonts w:ascii="Helvetica,Arial" w:eastAsia="Helvetica,Arial" w:hAnsi="Helvetica,Arial" w:cs="Helvetica,Arial"/>
              </w:rPr>
              <w:t>Prepare a portal guide and give access to the portal share.</w:t>
            </w:r>
          </w:p>
          <w:p w14:paraId="00DA3DA1" w14:textId="36073E3A" w:rsidR="00107EBC" w:rsidRDefault="00107EBC">
            <w:pPr>
              <w:jc w:val="left"/>
              <w:cnfStyle w:val="000000100000" w:firstRow="0" w:lastRow="0" w:firstColumn="0" w:lastColumn="0" w:oddVBand="0" w:evenVBand="0" w:oddHBand="1" w:evenHBand="0" w:firstRowFirstColumn="0" w:firstRowLastColumn="0" w:lastRowFirstColumn="0" w:lastRowLastColumn="0"/>
              <w:rPr>
                <w:rFonts w:ascii="Helvetica,Arial" w:eastAsia="Helvetica,Arial" w:hAnsi="Helvetica,Arial" w:cs="Helvetica,Arial"/>
              </w:rPr>
            </w:pPr>
            <w:r>
              <w:rPr>
                <w:rFonts w:ascii="Helvetica,Arial" w:eastAsia="Helvetica,Arial" w:hAnsi="Helvetica,Arial" w:cs="Helvetica,Arial"/>
              </w:rPr>
              <w:t>Providing support to Staff regarding the Portal.</w:t>
            </w:r>
          </w:p>
          <w:p w14:paraId="4F7AF4DF" w14:textId="77777777" w:rsidR="00107EBC" w:rsidRDefault="00107EBC">
            <w:pPr>
              <w:jc w:val="left"/>
              <w:cnfStyle w:val="000000100000" w:firstRow="0" w:lastRow="0" w:firstColumn="0" w:lastColumn="0" w:oddVBand="0" w:evenVBand="0" w:oddHBand="1" w:evenHBand="0" w:firstRowFirstColumn="0" w:firstRowLastColumn="0" w:lastRowFirstColumn="0" w:lastRowLastColumn="0"/>
              <w:rPr>
                <w:rFonts w:ascii="Nunito Sans" w:eastAsiaTheme="minorEastAsia" w:hAnsi="Nunito Sans" w:cs="Segoe UI Historic"/>
              </w:rPr>
            </w:pPr>
            <w:r>
              <w:rPr>
                <w:rFonts w:ascii="Helvetica,Arial" w:eastAsia="Helvetica,Arial" w:hAnsi="Helvetica,Arial" w:cs="Helvetica,Arial"/>
              </w:rPr>
              <w:t>Agree on the scope of assessment with the client.</w:t>
            </w:r>
          </w:p>
        </w:tc>
      </w:tr>
      <w:tr w:rsidR="00107EBC" w14:paraId="7C379D79" w14:textId="77777777" w:rsidTr="00107EBC">
        <w:trPr>
          <w:trHeight w:val="1364"/>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3CCCC"/>
            <w:vAlign w:val="center"/>
            <w:hideMark/>
          </w:tcPr>
          <w:p w14:paraId="2A501ABE" w14:textId="77777777" w:rsidR="00107EBC" w:rsidRDefault="00107EBC">
            <w:pPr>
              <w:jc w:val="left"/>
              <w:rPr>
                <w:rFonts w:ascii="Nunito Sans" w:eastAsiaTheme="minorEastAsia" w:hAnsi="Nunito Sans" w:cs="Segoe UI Historic"/>
                <w:b w:val="0"/>
                <w:bCs w:val="0"/>
                <w:color w:val="FFFFFF" w:themeColor="background1"/>
              </w:rPr>
            </w:pPr>
            <w:r>
              <w:rPr>
                <w:color w:val="FFFFFF" w:themeColor="background1"/>
              </w:rPr>
              <w:t xml:space="preserve">Phase 2 - </w:t>
            </w:r>
          </w:p>
          <w:p w14:paraId="5E1EA2C5" w14:textId="77777777" w:rsidR="00107EBC" w:rsidRDefault="00107EBC">
            <w:pPr>
              <w:jc w:val="left"/>
              <w:rPr>
                <w:color w:val="FFFFFF" w:themeColor="background1"/>
              </w:rPr>
            </w:pPr>
            <w:r>
              <w:rPr>
                <w:color w:val="FFFFFF" w:themeColor="background1"/>
              </w:rPr>
              <w:t>Information Gathering.</w:t>
            </w:r>
          </w:p>
        </w:tc>
        <w:tc>
          <w:tcPr>
            <w:tcW w:w="8505" w:type="dxa"/>
            <w:tcBorders>
              <w:top w:val="single" w:sz="4" w:space="0" w:color="33CCCC"/>
              <w:left w:val="single" w:sz="4" w:space="0" w:color="FFFFFF" w:themeColor="background1"/>
              <w:bottom w:val="single" w:sz="4" w:space="0" w:color="33CCCC"/>
              <w:right w:val="single" w:sz="4" w:space="0" w:color="33CCCC"/>
            </w:tcBorders>
          </w:tcPr>
          <w:p w14:paraId="346B4D54" w14:textId="77777777" w:rsidR="00107EBC" w:rsidRDefault="00107EBC">
            <w:pPr>
              <w:jc w:val="left"/>
              <w:cnfStyle w:val="000000000000" w:firstRow="0" w:lastRow="0" w:firstColumn="0" w:lastColumn="0" w:oddVBand="0" w:evenVBand="0" w:oddHBand="0" w:evenHBand="0" w:firstRowFirstColumn="0" w:firstRowLastColumn="0" w:lastRowFirstColumn="0" w:lastRowLastColumn="0"/>
              <w:rPr>
                <w:rFonts w:ascii="Helvetica,Arial" w:eastAsia="Helvetica,Arial" w:hAnsi="Helvetica,Arial" w:cs="Helvetica,Arial"/>
              </w:rPr>
            </w:pPr>
          </w:p>
          <w:p w14:paraId="08E069F9" w14:textId="77777777" w:rsidR="00107EBC" w:rsidRDefault="00107EBC">
            <w:pPr>
              <w:jc w:val="left"/>
              <w:cnfStyle w:val="000000000000" w:firstRow="0" w:lastRow="0" w:firstColumn="0" w:lastColumn="0" w:oddVBand="0" w:evenVBand="0" w:oddHBand="0" w:evenHBand="0" w:firstRowFirstColumn="0" w:firstRowLastColumn="0" w:lastRowFirstColumn="0" w:lastRowLastColumn="0"/>
              <w:rPr>
                <w:rFonts w:ascii="Helvetica,Arial" w:eastAsia="Helvetica,Arial" w:hAnsi="Helvetica,Arial" w:cs="Helvetica,Arial"/>
              </w:rPr>
            </w:pPr>
          </w:p>
          <w:p w14:paraId="78182FA8" w14:textId="319A9C11" w:rsidR="00107EBC" w:rsidRDefault="00107EBC">
            <w:pPr>
              <w:jc w:val="left"/>
              <w:cnfStyle w:val="000000000000" w:firstRow="0" w:lastRow="0" w:firstColumn="0" w:lastColumn="0" w:oddVBand="0" w:evenVBand="0" w:oddHBand="0" w:evenHBand="0" w:firstRowFirstColumn="0" w:firstRowLastColumn="0" w:lastRowFirstColumn="0" w:lastRowLastColumn="0"/>
              <w:rPr>
                <w:rFonts w:ascii="Helvetica,Arial" w:eastAsia="Helvetica,Arial" w:hAnsi="Helvetica,Arial" w:cs="Helvetica,Arial"/>
              </w:rPr>
            </w:pPr>
            <w:r>
              <w:rPr>
                <w:rFonts w:ascii="Helvetica,Arial" w:eastAsia="Helvetica,Arial" w:hAnsi="Helvetica,Arial" w:cs="Helvetica,Arial"/>
              </w:rPr>
              <w:t>Create the Evidential Document Request List.</w:t>
            </w:r>
          </w:p>
          <w:p w14:paraId="7DB74B8C" w14:textId="13621850" w:rsidR="00107EBC" w:rsidRPr="00CE4CC8" w:rsidRDefault="00107EBC">
            <w:pPr>
              <w:jc w:val="left"/>
              <w:cnfStyle w:val="000000000000" w:firstRow="0" w:lastRow="0" w:firstColumn="0" w:lastColumn="0" w:oddVBand="0" w:evenVBand="0" w:oddHBand="0" w:evenHBand="0" w:firstRowFirstColumn="0" w:firstRowLastColumn="0" w:lastRowFirstColumn="0" w:lastRowLastColumn="0"/>
              <w:rPr>
                <w:rFonts w:ascii="Helvetica,Arial" w:eastAsia="Helvetica,Arial" w:hAnsi="Helvetica,Arial" w:cs="Helvetica,Arial"/>
              </w:rPr>
            </w:pPr>
            <w:r>
              <w:rPr>
                <w:rFonts w:ascii="Helvetica,Arial" w:eastAsia="Helvetica,Arial" w:hAnsi="Helvetica,Arial" w:cs="Helvetica,Arial"/>
              </w:rPr>
              <w:t>Create Risk Assessment Profile.</w:t>
            </w:r>
          </w:p>
        </w:tc>
      </w:tr>
      <w:tr w:rsidR="00107EBC" w14:paraId="33BDF064" w14:textId="77777777" w:rsidTr="0010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3CCCC"/>
            <w:vAlign w:val="center"/>
            <w:hideMark/>
          </w:tcPr>
          <w:p w14:paraId="7CA12037" w14:textId="77777777" w:rsidR="00107EBC" w:rsidRDefault="00107EBC">
            <w:pPr>
              <w:jc w:val="left"/>
              <w:rPr>
                <w:color w:val="FFFFFF" w:themeColor="background1"/>
              </w:rPr>
            </w:pPr>
            <w:r>
              <w:rPr>
                <w:color w:val="FFFFFF" w:themeColor="background1"/>
              </w:rPr>
              <w:t>Phase 3 - Conduct the Risk Assessment.</w:t>
            </w:r>
          </w:p>
        </w:tc>
        <w:tc>
          <w:tcPr>
            <w:tcW w:w="8505" w:type="dxa"/>
            <w:tcBorders>
              <w:top w:val="single" w:sz="4" w:space="0" w:color="33CCCC"/>
              <w:left w:val="single" w:sz="4" w:space="0" w:color="FFFFFF" w:themeColor="background1"/>
              <w:bottom w:val="single" w:sz="4" w:space="0" w:color="33CCCC"/>
              <w:right w:val="single" w:sz="4" w:space="0" w:color="33CCCC"/>
            </w:tcBorders>
            <w:hideMark/>
          </w:tcPr>
          <w:p w14:paraId="4C5DE886" w14:textId="75B36701" w:rsidR="00107EBC" w:rsidRDefault="00107EBC">
            <w:pPr>
              <w:jc w:val="left"/>
              <w:cnfStyle w:val="000000100000" w:firstRow="0" w:lastRow="0" w:firstColumn="0" w:lastColumn="0" w:oddVBand="0" w:evenVBand="0" w:oddHBand="1" w:evenHBand="0" w:firstRowFirstColumn="0" w:firstRowLastColumn="0" w:lastRowFirstColumn="0" w:lastRowLastColumn="0"/>
              <w:rPr>
                <w:highlight w:val="yellow"/>
              </w:rPr>
            </w:pPr>
            <w:r>
              <w:rPr>
                <w:rFonts w:ascii="Helvetica,Arial" w:eastAsia="Helvetica,Arial" w:hAnsi="Helvetica,Arial" w:cs="Helvetica,Arial"/>
              </w:rPr>
              <w:t xml:space="preserve">Review the documentation provided (half a day per document).  </w:t>
            </w:r>
          </w:p>
        </w:tc>
      </w:tr>
      <w:tr w:rsidR="00107EBC" w14:paraId="0505C366" w14:textId="77777777" w:rsidTr="00107EBC">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8BC0532" w14:textId="77777777" w:rsidR="00107EBC" w:rsidRDefault="00107EBC">
            <w:pPr>
              <w:jc w:val="left"/>
              <w:rPr>
                <w:rFonts w:ascii="Nunito Sans" w:hAnsi="Nunito Sans"/>
                <w:color w:val="FFFFFF" w:themeColor="background1"/>
                <w:szCs w:val="22"/>
              </w:rPr>
            </w:pPr>
          </w:p>
        </w:tc>
        <w:tc>
          <w:tcPr>
            <w:tcW w:w="8505" w:type="dxa"/>
            <w:tcBorders>
              <w:top w:val="single" w:sz="4" w:space="0" w:color="33CCCC"/>
              <w:left w:val="single" w:sz="4" w:space="0" w:color="FFFFFF" w:themeColor="background1"/>
              <w:bottom w:val="single" w:sz="4" w:space="0" w:color="33CCCC"/>
              <w:right w:val="single" w:sz="4" w:space="0" w:color="33CCCC"/>
            </w:tcBorders>
            <w:hideMark/>
          </w:tcPr>
          <w:p w14:paraId="002012FA" w14:textId="1043DF76" w:rsidR="00107EBC" w:rsidRDefault="00107EBC">
            <w:pPr>
              <w:spacing w:line="254" w:lineRule="auto"/>
              <w:jc w:val="left"/>
              <w:cnfStyle w:val="000000000000" w:firstRow="0" w:lastRow="0" w:firstColumn="0" w:lastColumn="0" w:oddVBand="0" w:evenVBand="0" w:oddHBand="0" w:evenHBand="0" w:firstRowFirstColumn="0" w:firstRowLastColumn="0" w:lastRowFirstColumn="0" w:lastRowLastColumn="0"/>
            </w:pPr>
            <w:r>
              <w:rPr>
                <w:rFonts w:ascii="Helvetica,Arial" w:eastAsia="Helvetica,Arial" w:hAnsi="Helvetica,Arial" w:cs="Helvetica,Arial"/>
              </w:rPr>
              <w:t>Conduct interviews with related personnel such as operators, system developers, network administrators, information owners, and security officers. (Half a day per interview)</w:t>
            </w:r>
          </w:p>
          <w:p w14:paraId="6984C30E" w14:textId="77777777" w:rsidR="00107EBC" w:rsidRDefault="00107EBC">
            <w:pPr>
              <w:jc w:val="left"/>
              <w:cnfStyle w:val="000000000000" w:firstRow="0" w:lastRow="0" w:firstColumn="0" w:lastColumn="0" w:oddVBand="0" w:evenVBand="0" w:oddHBand="0" w:evenHBand="0" w:firstRowFirstColumn="0" w:firstRowLastColumn="0" w:lastRowFirstColumn="0" w:lastRowLastColumn="0"/>
              <w:rPr>
                <w:highlight w:val="yellow"/>
              </w:rPr>
            </w:pPr>
            <w:r>
              <w:rPr>
                <w:rFonts w:ascii="Helvetica,Arial" w:eastAsia="Helvetica,Arial" w:hAnsi="Helvetica,Arial" w:cs="Helvetica,Arial"/>
              </w:rPr>
              <w:t xml:space="preserve">Estimated 10 People </w:t>
            </w:r>
          </w:p>
        </w:tc>
      </w:tr>
      <w:tr w:rsidR="00107EBC" w14:paraId="375BC8F2" w14:textId="77777777" w:rsidTr="0010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3CCCC"/>
            <w:vAlign w:val="center"/>
            <w:hideMark/>
          </w:tcPr>
          <w:p w14:paraId="4925C033" w14:textId="2FCF0010" w:rsidR="00107EBC" w:rsidRDefault="00107EBC">
            <w:pPr>
              <w:jc w:val="left"/>
              <w:rPr>
                <w:color w:val="FFFFFF" w:themeColor="background1"/>
              </w:rPr>
            </w:pPr>
            <w:r>
              <w:rPr>
                <w:color w:val="FFFFFF" w:themeColor="background1"/>
              </w:rPr>
              <w:t>Phase 4 - Final Assessment Report.</w:t>
            </w:r>
          </w:p>
        </w:tc>
        <w:tc>
          <w:tcPr>
            <w:tcW w:w="8505" w:type="dxa"/>
            <w:tcBorders>
              <w:top w:val="single" w:sz="4" w:space="0" w:color="33CCCC"/>
              <w:left w:val="single" w:sz="4" w:space="0" w:color="FFFFFF" w:themeColor="background1"/>
              <w:bottom w:val="single" w:sz="4" w:space="0" w:color="33CCCC"/>
              <w:right w:val="single" w:sz="4" w:space="0" w:color="33CCCC"/>
            </w:tcBorders>
            <w:hideMark/>
          </w:tcPr>
          <w:p w14:paraId="484B3B72" w14:textId="3CE6ECC0" w:rsidR="00107EBC" w:rsidRDefault="00107EBC">
            <w:pPr>
              <w:jc w:val="left"/>
              <w:cnfStyle w:val="000000100000" w:firstRow="0" w:lastRow="0" w:firstColumn="0" w:lastColumn="0" w:oddVBand="0" w:evenVBand="0" w:oddHBand="1" w:evenHBand="0" w:firstRowFirstColumn="0" w:firstRowLastColumn="0" w:lastRowFirstColumn="0" w:lastRowLastColumn="0"/>
              <w:rPr>
                <w:highlight w:val="yellow"/>
              </w:rPr>
            </w:pPr>
            <w:r>
              <w:rPr>
                <w:rFonts w:ascii="Helvetica,Arial" w:eastAsia="Helvetica,Arial" w:hAnsi="Helvetica,Arial" w:cs="Helvetica,Arial"/>
              </w:rPr>
              <w:t>Analysis &amp; prepare draft report.</w:t>
            </w:r>
          </w:p>
        </w:tc>
      </w:tr>
      <w:tr w:rsidR="00107EBC" w14:paraId="6C853966" w14:textId="77777777" w:rsidTr="00107EBC">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738AB87" w14:textId="77777777" w:rsidR="00107EBC" w:rsidRDefault="00107EBC">
            <w:pPr>
              <w:jc w:val="left"/>
              <w:rPr>
                <w:rFonts w:ascii="Nunito Sans" w:hAnsi="Nunito Sans"/>
                <w:color w:val="FFFFFF" w:themeColor="background1"/>
                <w:szCs w:val="22"/>
              </w:rPr>
            </w:pPr>
          </w:p>
        </w:tc>
        <w:tc>
          <w:tcPr>
            <w:tcW w:w="8505" w:type="dxa"/>
            <w:tcBorders>
              <w:top w:val="single" w:sz="4" w:space="0" w:color="33CCCC"/>
              <w:left w:val="single" w:sz="4" w:space="0" w:color="FFFFFF" w:themeColor="background1"/>
              <w:bottom w:val="single" w:sz="4" w:space="0" w:color="33CCCC"/>
              <w:right w:val="single" w:sz="4" w:space="0" w:color="33CCCC"/>
            </w:tcBorders>
            <w:hideMark/>
          </w:tcPr>
          <w:p w14:paraId="34193C0D" w14:textId="77777777" w:rsidR="00107EBC" w:rsidRDefault="00107EBC">
            <w:pPr>
              <w:jc w:val="left"/>
              <w:cnfStyle w:val="000000000000" w:firstRow="0" w:lastRow="0" w:firstColumn="0" w:lastColumn="0" w:oddVBand="0" w:evenVBand="0" w:oddHBand="0" w:evenHBand="0" w:firstRowFirstColumn="0" w:firstRowLastColumn="0" w:lastRowFirstColumn="0" w:lastRowLastColumn="0"/>
              <w:rPr>
                <w:highlight w:val="yellow"/>
              </w:rPr>
            </w:pPr>
            <w:r>
              <w:rPr>
                <w:rFonts w:ascii="Helvetica,Arial" w:eastAsia="Helvetica,Arial" w:hAnsi="Helvetica,Arial" w:cs="Helvetica,Arial"/>
              </w:rPr>
              <w:t>Complete Internal document review process.</w:t>
            </w:r>
          </w:p>
        </w:tc>
      </w:tr>
      <w:tr w:rsidR="00107EBC" w14:paraId="1EF6F40B" w14:textId="77777777" w:rsidTr="00107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DF7F51D" w14:textId="77777777" w:rsidR="00107EBC" w:rsidRDefault="00107EBC">
            <w:pPr>
              <w:jc w:val="left"/>
              <w:rPr>
                <w:rFonts w:ascii="Nunito Sans" w:hAnsi="Nunito Sans"/>
                <w:color w:val="FFFFFF" w:themeColor="background1"/>
                <w:szCs w:val="22"/>
              </w:rPr>
            </w:pPr>
          </w:p>
        </w:tc>
        <w:tc>
          <w:tcPr>
            <w:tcW w:w="8505" w:type="dxa"/>
            <w:tcBorders>
              <w:top w:val="single" w:sz="4" w:space="0" w:color="33CCCC"/>
              <w:left w:val="single" w:sz="4" w:space="0" w:color="FFFFFF" w:themeColor="background1"/>
              <w:bottom w:val="single" w:sz="4" w:space="0" w:color="33CCCC"/>
              <w:right w:val="single" w:sz="4" w:space="0" w:color="33CCCC"/>
            </w:tcBorders>
            <w:hideMark/>
          </w:tcPr>
          <w:p w14:paraId="3C834B80" w14:textId="77777777" w:rsidR="00107EBC" w:rsidRDefault="00107EBC">
            <w:pPr>
              <w:jc w:val="left"/>
              <w:cnfStyle w:val="000000100000" w:firstRow="0" w:lastRow="0" w:firstColumn="0" w:lastColumn="0" w:oddVBand="0" w:evenVBand="0" w:oddHBand="1" w:evenHBand="0" w:firstRowFirstColumn="0" w:firstRowLastColumn="0" w:lastRowFirstColumn="0" w:lastRowLastColumn="0"/>
              <w:rPr>
                <w:highlight w:val="yellow"/>
              </w:rPr>
            </w:pPr>
            <w:r>
              <w:rPr>
                <w:rFonts w:ascii="Helvetica,Arial" w:eastAsia="Helvetica,Arial" w:hAnsi="Helvetica,Arial" w:cs="Helvetica,Arial"/>
              </w:rPr>
              <w:t>Final Report sent to the client.</w:t>
            </w:r>
          </w:p>
        </w:tc>
      </w:tr>
      <w:tr w:rsidR="00107EBC" w14:paraId="2F5AD55C" w14:textId="77777777" w:rsidTr="00107EBC">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2FD1DC5" w14:textId="77777777" w:rsidR="00107EBC" w:rsidRDefault="00107EBC">
            <w:pPr>
              <w:jc w:val="left"/>
              <w:rPr>
                <w:rFonts w:ascii="Nunito Sans" w:hAnsi="Nunito Sans"/>
                <w:color w:val="FFFFFF" w:themeColor="background1"/>
                <w:szCs w:val="22"/>
              </w:rPr>
            </w:pPr>
          </w:p>
        </w:tc>
        <w:tc>
          <w:tcPr>
            <w:tcW w:w="8505" w:type="dxa"/>
            <w:tcBorders>
              <w:top w:val="single" w:sz="4" w:space="0" w:color="33CCCC"/>
              <w:left w:val="single" w:sz="4" w:space="0" w:color="FFFFFF" w:themeColor="background1"/>
              <w:bottom w:val="single" w:sz="4" w:space="0" w:color="33CCCC"/>
              <w:right w:val="single" w:sz="4" w:space="0" w:color="33CCCC"/>
            </w:tcBorders>
            <w:hideMark/>
          </w:tcPr>
          <w:p w14:paraId="436BC4E4" w14:textId="77777777" w:rsidR="00107EBC" w:rsidRDefault="00107EBC">
            <w:pPr>
              <w:jc w:val="left"/>
              <w:cnfStyle w:val="000000000000" w:firstRow="0" w:lastRow="0" w:firstColumn="0" w:lastColumn="0" w:oddVBand="0" w:evenVBand="0" w:oddHBand="0" w:evenHBand="0" w:firstRowFirstColumn="0" w:firstRowLastColumn="0" w:lastRowFirstColumn="0" w:lastRowLastColumn="0"/>
              <w:rPr>
                <w:highlight w:val="yellow"/>
              </w:rPr>
            </w:pPr>
            <w:r>
              <w:rPr>
                <w:rFonts w:ascii="Helvetica,Arial" w:eastAsia="Helvetica,Arial" w:hAnsi="Helvetica,Arial" w:cs="Helvetica,Arial"/>
              </w:rPr>
              <w:t>Meeting with the client to discuss findings.</w:t>
            </w:r>
          </w:p>
        </w:tc>
      </w:tr>
      <w:tr w:rsidR="00107EBC" w14:paraId="1AAFB779" w14:textId="77777777" w:rsidTr="00BE0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FFFFFF" w:themeColor="background1"/>
              <w:left w:val="single" w:sz="4" w:space="0" w:color="33CCCC"/>
              <w:bottom w:val="single" w:sz="4" w:space="0" w:color="33CCCC"/>
              <w:right w:val="single" w:sz="4" w:space="0" w:color="33CCCC"/>
            </w:tcBorders>
            <w:shd w:val="clear" w:color="auto" w:fill="009999"/>
          </w:tcPr>
          <w:p w14:paraId="4AB7FDD1" w14:textId="77777777" w:rsidR="00107EBC" w:rsidRDefault="00107EBC">
            <w:pPr>
              <w:ind w:left="962"/>
              <w:jc w:val="center"/>
              <w:rPr>
                <w:color w:val="FFFFFF" w:themeColor="background1"/>
              </w:rPr>
            </w:pPr>
          </w:p>
        </w:tc>
        <w:tc>
          <w:tcPr>
            <w:tcW w:w="8505" w:type="dxa"/>
            <w:tcBorders>
              <w:top w:val="single" w:sz="4" w:space="0" w:color="33CCCC"/>
              <w:left w:val="single" w:sz="4" w:space="0" w:color="33CCCC"/>
              <w:bottom w:val="single" w:sz="4" w:space="0" w:color="33CCCC"/>
              <w:right w:val="single" w:sz="4" w:space="0" w:color="33CCCC"/>
            </w:tcBorders>
            <w:shd w:val="clear" w:color="auto" w:fill="009999"/>
          </w:tcPr>
          <w:p w14:paraId="0F911B23" w14:textId="49A21BF5" w:rsidR="00107EBC" w:rsidRDefault="00107EBC">
            <w:pPr>
              <w:jc w:val="right"/>
              <w:cnfStyle w:val="000000100000" w:firstRow="0" w:lastRow="0" w:firstColumn="0" w:lastColumn="0" w:oddVBand="0" w:evenVBand="0" w:oddHBand="1" w:evenHBand="0" w:firstRowFirstColumn="0" w:firstRowLastColumn="0" w:lastRowFirstColumn="0" w:lastRowLastColumn="0"/>
              <w:rPr>
                <w:i/>
                <w:iCs/>
                <w:color w:val="FFFFFF" w:themeColor="background1"/>
              </w:rPr>
            </w:pPr>
          </w:p>
        </w:tc>
      </w:tr>
      <w:bookmarkEnd w:id="9"/>
    </w:tbl>
    <w:p w14:paraId="621E64A9" w14:textId="77777777" w:rsidR="00CE4CC8" w:rsidRDefault="00CE4CC8" w:rsidP="00CE4CC8">
      <w:pPr>
        <w:rPr>
          <w:rFonts w:ascii="Nunito Sans" w:hAnsi="Nunito Sans" w:cs="Segoe UI Historic"/>
          <w:szCs w:val="22"/>
        </w:rPr>
      </w:pPr>
    </w:p>
    <w:p w14:paraId="4308A114" w14:textId="77777777" w:rsidR="00CE4CC8" w:rsidRDefault="00CE4CC8" w:rsidP="00CE4CC8">
      <w:pPr>
        <w:spacing w:line="276" w:lineRule="auto"/>
        <w:jc w:val="left"/>
        <w:rPr>
          <w:rFonts w:ascii="Nunito Sans Light" w:eastAsiaTheme="majorEastAsia" w:hAnsi="Nunito Sans Light" w:cstheme="majorBidi"/>
          <w:b/>
          <w:color w:val="009999"/>
          <w:sz w:val="32"/>
          <w:szCs w:val="40"/>
        </w:rPr>
      </w:pPr>
      <w:r>
        <w:br w:type="page"/>
      </w:r>
    </w:p>
    <w:p w14:paraId="3D185581" w14:textId="77777777" w:rsidR="00CE4CC8" w:rsidRDefault="00CE4CC8" w:rsidP="00CE4CC8">
      <w:pPr>
        <w:pStyle w:val="Level1Heading"/>
        <w:rPr>
          <w:rFonts w:ascii="Nunito Sans Light" w:eastAsiaTheme="majorEastAsia" w:hAnsi="Nunito Sans Light" w:cstheme="majorBidi"/>
          <w:color w:val="009999"/>
          <w:szCs w:val="40"/>
        </w:rPr>
      </w:pPr>
      <w:bookmarkStart w:id="10" w:name="_Toc167110002"/>
      <w:bookmarkStart w:id="11" w:name="_Toc236212079"/>
      <w:r>
        <w:lastRenderedPageBreak/>
        <w:t>Costs</w:t>
      </w:r>
      <w:bookmarkEnd w:id="10"/>
      <w:r>
        <w:t xml:space="preserve"> Table</w:t>
      </w:r>
      <w:bookmarkEnd w:id="11"/>
    </w:p>
    <w:p>
      <w:r>
        <w:rPr>
          <w:b/>
          <w:color w:val="C00000"/>
        </w:rPr>
        <w:t xml:space="preserve">[Internal note — do not print in Technical Proposal: this tender uses two separately sealed envelopes. All pricing in this section must be removed from the Technical Proposal and submitted only within the Financial Proposal forms FIN-1 to FIN-5. Reconcile the fee basis with the master response workbook (resource-loaded USD 354,605.55 incl. profit and SSCL) before finalising FIN-3 per-expert rates.]</w:t>
      </w:r>
    </w:p>
    <w:p w14:paraId="69951C83" w14:textId="77777777" w:rsidR="00CE4CC8" w:rsidRDefault="00CE4CC8" w:rsidP="00CE4CC8">
      <w:r>
        <w:t xml:space="preserve">Costs to provide the risk assessment as detailed in the </w:t>
      </w:r>
      <w:r>
        <w:fldChar w:fldCharType="begin"/>
      </w:r>
      <w:r>
        <w:instrText xml:space="preserve"> REF _Ref148518027 \h </w:instrText>
      </w:r>
      <w:r>
        <w:fldChar w:fldCharType="separate"/>
      </w:r>
      <w:r>
        <w:t>Project Plan</w:t>
      </w:r>
      <w:r>
        <w:fldChar w:fldCharType="end"/>
      </w:r>
      <w:r>
        <w:t xml:space="preserve"> and Delivery Table:</w:t>
      </w:r>
    </w:p>
    <w:p w14:paraId="2564B381" w14:textId="77777777" w:rsidR="00107EBC" w:rsidRDefault="00107EBC" w:rsidP="00CE4CC8"/>
    <w:p w14:paraId="0CEE854A" w14:textId="3DC1C483" w:rsidR="00107EBC" w:rsidRPr="00107EBC" w:rsidRDefault="00107EBC" w:rsidP="00107EBC">
      <w:r w:rsidRPr="00107EBC">
        <w:rPr>
          <w:b/>
          <w:bCs/>
        </w:rPr>
        <w:t>Daily Team Cost:</w:t>
      </w:r>
      <w:r w:rsidRPr="00107EBC">
        <w:t xml:space="preserve"> $5,500 / day (5 personnel @ $1,100/day per resource)</w:t>
      </w:r>
    </w:p>
    <w:p w14:paraId="357C3031" w14:textId="7BD727B7" w:rsidR="00107EBC" w:rsidRPr="00107EBC" w:rsidRDefault="00107EBC" w:rsidP="00107EBC">
      <w:r>
        <w:rPr>
          <w:b/>
          <w:bCs/>
        </w:rPr>
        <w:t>T</w:t>
      </w:r>
      <w:r w:rsidRPr="00107EBC">
        <w:rPr>
          <w:b/>
          <w:bCs/>
        </w:rPr>
        <w:t>otal Effort:</w:t>
      </w:r>
      <w:r w:rsidRPr="00107EBC">
        <w:t xml:space="preserve"> 315 Person-Days</w:t>
      </w:r>
    </w:p>
    <w:p w14:paraId="78518623" w14:textId="7DC1C175" w:rsidR="00107EBC" w:rsidRPr="00107EBC" w:rsidRDefault="00107EBC" w:rsidP="00107EBC">
      <w:r w:rsidRPr="00107EBC">
        <w:rPr>
          <w:b/>
          <w:bCs/>
        </w:rPr>
        <w:t>Total Fee:</w:t>
      </w:r>
      <w:r w:rsidRPr="00107EBC">
        <w:t xml:space="preserve"> $346,500</w:t>
      </w:r>
    </w:p>
    <w:p w14:paraId="7B070D0A" w14:textId="77777777" w:rsidR="00107EBC" w:rsidRDefault="00107EBC" w:rsidP="00CE4CC8"/>
    <w:tbl>
      <w:tblPr>
        <w:tblStyle w:val="ListTable4-Accent1"/>
        <w:tblW w:w="10348" w:type="dxa"/>
        <w:tblInd w:w="137" w:type="dxa"/>
        <w:tblCellMar>
          <w:top w:w="28" w:type="dxa"/>
          <w:bottom w:w="28" w:type="dxa"/>
        </w:tblCellMar>
        <w:tblLook w:val="04A0" w:firstRow="1" w:lastRow="0" w:firstColumn="1" w:lastColumn="0" w:noHBand="0" w:noVBand="1"/>
      </w:tblPr>
      <w:tblGrid>
        <w:gridCol w:w="5930"/>
        <w:gridCol w:w="992"/>
        <w:gridCol w:w="1576"/>
        <w:gridCol w:w="1850"/>
      </w:tblGrid>
      <w:tr w:rsidR="00CE4CC8" w14:paraId="6FB0BCC9" w14:textId="77777777" w:rsidTr="00F15D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009999"/>
              <w:left w:val="single" w:sz="4" w:space="0" w:color="009999"/>
              <w:bottom w:val="single" w:sz="4" w:space="0" w:color="009999"/>
              <w:right w:val="single" w:sz="4" w:space="0" w:color="FFFFFF" w:themeColor="background1"/>
            </w:tcBorders>
            <w:shd w:val="clear" w:color="auto" w:fill="009999"/>
            <w:vAlign w:val="center"/>
            <w:hideMark/>
          </w:tcPr>
          <w:p w14:paraId="1873C7F3" w14:textId="053BC67C" w:rsidR="00CE4CC8" w:rsidRDefault="00D35CAF">
            <w:pPr>
              <w:jc w:val="center"/>
            </w:pPr>
            <w:r>
              <w:t xml:space="preserve">Platinum High Integrity Technologies Limited (Malta) and EML </w:t>
            </w:r>
            <w:r w:rsidR="00BE0EB0">
              <w:t xml:space="preserve">Consultants </w:t>
            </w:r>
            <w:proofErr w:type="gramStart"/>
            <w:r w:rsidR="00BE0EB0">
              <w:t xml:space="preserve">PLC </w:t>
            </w:r>
            <w:r w:rsidR="00CE4CC8">
              <w:t xml:space="preserve"> Service</w:t>
            </w:r>
            <w:proofErr w:type="gramEnd"/>
          </w:p>
        </w:tc>
        <w:tc>
          <w:tcPr>
            <w:tcW w:w="4418" w:type="dxa"/>
            <w:gridSpan w:val="3"/>
            <w:tcBorders>
              <w:top w:val="single" w:sz="4" w:space="0" w:color="009999"/>
              <w:left w:val="single" w:sz="4" w:space="0" w:color="FFFFFF" w:themeColor="background1"/>
              <w:bottom w:val="single" w:sz="4" w:space="0" w:color="009999"/>
              <w:right w:val="single" w:sz="4" w:space="0" w:color="009999"/>
            </w:tcBorders>
            <w:shd w:val="clear" w:color="auto" w:fill="009999"/>
            <w:hideMark/>
          </w:tcPr>
          <w:p w14:paraId="2CCA8082" w14:textId="77777777" w:rsidR="00CE4CC8" w:rsidRDefault="00CE4CC8">
            <w:pPr>
              <w:ind w:left="40"/>
              <w:jc w:val="center"/>
              <w:cnfStyle w:val="100000000000" w:firstRow="1" w:lastRow="0" w:firstColumn="0" w:lastColumn="0" w:oddVBand="0" w:evenVBand="0" w:oddHBand="0" w:evenHBand="0" w:firstRowFirstColumn="0" w:firstRowLastColumn="0" w:lastRowFirstColumn="0" w:lastRowLastColumn="0"/>
              <w:rPr>
                <w:b w:val="0"/>
                <w:bCs w:val="0"/>
              </w:rPr>
            </w:pPr>
            <w:r>
              <w:t>Cost Per Day</w:t>
            </w:r>
          </w:p>
        </w:tc>
      </w:tr>
      <w:tr w:rsidR="00CE4CC8" w14:paraId="2843A477" w14:textId="77777777" w:rsidTr="00F1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009999"/>
              <w:left w:val="single" w:sz="4" w:space="0" w:color="009999"/>
              <w:bottom w:val="single" w:sz="4" w:space="0" w:color="FFFFFF" w:themeColor="background1"/>
              <w:right w:val="single" w:sz="4" w:space="0" w:color="009999"/>
            </w:tcBorders>
          </w:tcPr>
          <w:p w14:paraId="6A4768BF" w14:textId="77777777" w:rsidR="00CE4CC8" w:rsidRDefault="00CE4CC8">
            <w:pPr>
              <w:jc w:val="left"/>
              <w:rPr>
                <w:b w:val="0"/>
              </w:rPr>
            </w:pPr>
            <w:r>
              <w:rPr>
                <w:b w:val="0"/>
              </w:rPr>
              <w:t xml:space="preserve">Cyber Security Risk Assessment </w:t>
            </w:r>
          </w:p>
          <w:p w14:paraId="508A5FCC" w14:textId="0675138B" w:rsidR="00CE4CC8" w:rsidRDefault="00CE4CC8">
            <w:pPr>
              <w:jc w:val="left"/>
              <w:rPr>
                <w:b w:val="0"/>
              </w:rPr>
            </w:pPr>
            <w:r>
              <w:rPr>
                <w:b w:val="0"/>
              </w:rPr>
              <w:t>(</w:t>
            </w:r>
            <w:r>
              <w:rPr>
                <w:b w:val="0"/>
                <w:i/>
                <w:iCs/>
                <w:sz w:val="20"/>
              </w:rPr>
              <w:t>N people for N days o</w:t>
            </w:r>
            <w:r w:rsidR="00090039">
              <w:rPr>
                <w:b w:val="0"/>
                <w:i/>
                <w:iCs/>
                <w:sz w:val="20"/>
              </w:rPr>
              <w:t>n project</w:t>
            </w:r>
            <w:r>
              <w:rPr>
                <w:b w:val="0"/>
                <w:i/>
                <w:iCs/>
                <w:sz w:val="20"/>
              </w:rPr>
              <w:t>, N days preparation and reporting</w:t>
            </w:r>
            <w:r>
              <w:rPr>
                <w:b w:val="0"/>
              </w:rPr>
              <w:t>)</w:t>
            </w:r>
          </w:p>
          <w:p w14:paraId="6789EAFA" w14:textId="77777777" w:rsidR="00CE4CC8" w:rsidRDefault="00CE4CC8">
            <w:pPr>
              <w:ind w:left="962"/>
              <w:jc w:val="left"/>
              <w:rPr>
                <w:highlight w:val="yellow"/>
              </w:rPr>
            </w:pPr>
          </w:p>
        </w:tc>
        <w:tc>
          <w:tcPr>
            <w:tcW w:w="4418" w:type="dxa"/>
            <w:gridSpan w:val="3"/>
            <w:tcBorders>
              <w:top w:val="single" w:sz="4" w:space="0" w:color="009999"/>
              <w:left w:val="single" w:sz="4" w:space="0" w:color="009999"/>
              <w:bottom w:val="single" w:sz="4" w:space="0" w:color="FFFFFF" w:themeColor="background1"/>
              <w:right w:val="single" w:sz="4" w:space="0" w:color="009999"/>
            </w:tcBorders>
            <w:vAlign w:val="center"/>
            <w:hideMark/>
          </w:tcPr>
          <w:p w14:paraId="30041FEA" w14:textId="70B97827" w:rsidR="00CE4CC8" w:rsidRDefault="00CE4CC8">
            <w:pPr>
              <w:ind w:left="173"/>
              <w:jc w:val="center"/>
              <w:cnfStyle w:val="000000100000" w:firstRow="0" w:lastRow="0" w:firstColumn="0" w:lastColumn="0" w:oddVBand="0" w:evenVBand="0" w:oddHBand="1" w:evenHBand="0" w:firstRowFirstColumn="0" w:firstRowLastColumn="0" w:lastRowFirstColumn="0" w:lastRowLastColumn="0"/>
              <w:rPr>
                <w:b/>
                <w:bCs/>
              </w:rPr>
            </w:pPr>
            <w:r>
              <w:rPr>
                <w:b/>
                <w:bCs/>
              </w:rPr>
              <w:t xml:space="preserve">$ </w:t>
            </w:r>
            <w:r w:rsidR="00F328B2">
              <w:rPr>
                <w:b/>
                <w:bCs/>
              </w:rPr>
              <w:t>5500</w:t>
            </w:r>
          </w:p>
          <w:p w14:paraId="310858CE" w14:textId="42EF05E8" w:rsidR="00F15D67" w:rsidRDefault="00F15D67">
            <w:pPr>
              <w:ind w:left="173"/>
              <w:jc w:val="center"/>
              <w:cnfStyle w:val="000000100000" w:firstRow="0" w:lastRow="0" w:firstColumn="0" w:lastColumn="0" w:oddVBand="0" w:evenVBand="0" w:oddHBand="1" w:evenHBand="0" w:firstRowFirstColumn="0" w:firstRowLastColumn="0" w:lastRowFirstColumn="0" w:lastRowLastColumn="0"/>
              <w:rPr>
                <w:b/>
                <w:bCs/>
              </w:rPr>
            </w:pPr>
          </w:p>
        </w:tc>
      </w:tr>
      <w:tr w:rsidR="00CE4CC8" w14:paraId="433EF76A" w14:textId="77777777" w:rsidTr="00F15D67">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hideMark/>
          </w:tcPr>
          <w:p w14:paraId="46092399" w14:textId="77777777" w:rsidR="00CE4CC8" w:rsidRDefault="00CE4CC8">
            <w:pPr>
              <w:jc w:val="center"/>
              <w:rPr>
                <w:color w:val="FFFFFF" w:themeColor="background1"/>
              </w:rPr>
            </w:pPr>
            <w:r>
              <w:rPr>
                <w:color w:val="FFFFFF" w:themeColor="background1"/>
              </w:rPr>
              <w:t xml:space="preserve">Phase </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hideMark/>
          </w:tcPr>
          <w:p w14:paraId="67A79187" w14:textId="77777777" w:rsidR="00CE4CC8" w:rsidRDefault="00CE4CC8">
            <w:pPr>
              <w:ind w:left="173"/>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Days</w:t>
            </w:r>
          </w:p>
        </w:tc>
        <w:tc>
          <w:tcPr>
            <w:tcW w:w="1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hideMark/>
          </w:tcPr>
          <w:p w14:paraId="2286C5EE" w14:textId="77777777" w:rsidR="00CE4CC8" w:rsidRDefault="00CE4CC8">
            <w:pPr>
              <w:ind w:left="173"/>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Percentage</w:t>
            </w:r>
          </w:p>
        </w:tc>
        <w:tc>
          <w:tcPr>
            <w:tcW w:w="1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hideMark/>
          </w:tcPr>
          <w:p w14:paraId="276405CB" w14:textId="77777777" w:rsidR="00CE4CC8" w:rsidRDefault="00CE4CC8">
            <w:pPr>
              <w:ind w:left="173"/>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Cost USD</w:t>
            </w:r>
          </w:p>
        </w:tc>
      </w:tr>
      <w:tr w:rsidR="00CE4CC8" w14:paraId="3D214CCB" w14:textId="77777777" w:rsidTr="00F1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FFFFFF" w:themeColor="background1"/>
              <w:left w:val="single" w:sz="4" w:space="0" w:color="009999"/>
              <w:bottom w:val="single" w:sz="4" w:space="0" w:color="009999"/>
              <w:right w:val="single" w:sz="4" w:space="0" w:color="009999"/>
            </w:tcBorders>
            <w:hideMark/>
          </w:tcPr>
          <w:p w14:paraId="61A67FF6" w14:textId="77777777" w:rsidR="00CE4CC8" w:rsidRDefault="00CE4CC8">
            <w:pPr>
              <w:jc w:val="left"/>
              <w:rPr>
                <w:b w:val="0"/>
                <w:bCs w:val="0"/>
              </w:rPr>
            </w:pPr>
            <w:r>
              <w:rPr>
                <w:b w:val="0"/>
                <w:bCs w:val="0"/>
              </w:rPr>
              <w:t>Phase 1: Planning</w:t>
            </w:r>
          </w:p>
        </w:tc>
        <w:tc>
          <w:tcPr>
            <w:tcW w:w="992" w:type="dxa"/>
            <w:tcBorders>
              <w:top w:val="single" w:sz="4" w:space="0" w:color="FFFFFF" w:themeColor="background1"/>
              <w:left w:val="single" w:sz="4" w:space="0" w:color="009999"/>
              <w:bottom w:val="single" w:sz="4" w:space="0" w:color="009999"/>
              <w:right w:val="single" w:sz="4" w:space="0" w:color="009999"/>
            </w:tcBorders>
            <w:vAlign w:val="center"/>
            <w:hideMark/>
          </w:tcPr>
          <w:p w14:paraId="4B87F422"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pPr>
            <w:r>
              <w:t>6</w:t>
            </w:r>
          </w:p>
        </w:tc>
        <w:tc>
          <w:tcPr>
            <w:tcW w:w="1576" w:type="dxa"/>
            <w:tcBorders>
              <w:top w:val="single" w:sz="4" w:space="0" w:color="FFFFFF" w:themeColor="background1"/>
              <w:left w:val="single" w:sz="4" w:space="0" w:color="009999"/>
              <w:bottom w:val="single" w:sz="4" w:space="0" w:color="009999"/>
              <w:right w:val="single" w:sz="4" w:space="0" w:color="009999"/>
            </w:tcBorders>
            <w:hideMark/>
          </w:tcPr>
          <w:p w14:paraId="39AD882E" w14:textId="01965B74" w:rsidR="00CE4CC8" w:rsidRDefault="000C70D0">
            <w:pPr>
              <w:jc w:val="center"/>
              <w:cnfStyle w:val="000000100000" w:firstRow="0" w:lastRow="0" w:firstColumn="0" w:lastColumn="0" w:oddVBand="0" w:evenVBand="0" w:oddHBand="1" w:evenHBand="0" w:firstRowFirstColumn="0" w:firstRowLastColumn="0" w:lastRowFirstColumn="0" w:lastRowLastColumn="0"/>
            </w:pPr>
            <w:r>
              <w:t>9.52</w:t>
            </w:r>
            <w:r w:rsidR="00CE4CC8">
              <w:t>%</w:t>
            </w:r>
          </w:p>
        </w:tc>
        <w:tc>
          <w:tcPr>
            <w:tcW w:w="1850" w:type="dxa"/>
            <w:tcBorders>
              <w:top w:val="single" w:sz="4" w:space="0" w:color="FFFFFF" w:themeColor="background1"/>
              <w:left w:val="single" w:sz="4" w:space="0" w:color="009999"/>
              <w:bottom w:val="single" w:sz="4" w:space="0" w:color="009999"/>
              <w:right w:val="single" w:sz="4" w:space="0" w:color="009999"/>
            </w:tcBorders>
            <w:vAlign w:val="center"/>
            <w:hideMark/>
          </w:tcPr>
          <w:p w14:paraId="514E1FA8" w14:textId="7AFF98B0" w:rsidR="00CE4CC8" w:rsidRDefault="00CE4CC8">
            <w:pPr>
              <w:jc w:val="center"/>
              <w:cnfStyle w:val="000000100000" w:firstRow="0" w:lastRow="0" w:firstColumn="0" w:lastColumn="0" w:oddVBand="0" w:evenVBand="0" w:oddHBand="1" w:evenHBand="0" w:firstRowFirstColumn="0" w:firstRowLastColumn="0" w:lastRowFirstColumn="0" w:lastRowLastColumn="0"/>
            </w:pPr>
            <w:r>
              <w:t xml:space="preserve">$ </w:t>
            </w:r>
            <w:r w:rsidR="00F328B2">
              <w:t>33000</w:t>
            </w:r>
          </w:p>
        </w:tc>
      </w:tr>
      <w:tr w:rsidR="00CE4CC8" w14:paraId="43934DCE" w14:textId="77777777" w:rsidTr="00F15D67">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009999"/>
              <w:left w:val="single" w:sz="4" w:space="0" w:color="009999"/>
              <w:bottom w:val="single" w:sz="4" w:space="0" w:color="009999"/>
              <w:right w:val="single" w:sz="4" w:space="0" w:color="009999"/>
            </w:tcBorders>
            <w:hideMark/>
          </w:tcPr>
          <w:p w14:paraId="418BDCA4" w14:textId="77777777" w:rsidR="00CE4CC8" w:rsidRDefault="00CE4CC8">
            <w:pPr>
              <w:jc w:val="left"/>
              <w:rPr>
                <w:b w:val="0"/>
                <w:bCs w:val="0"/>
              </w:rPr>
            </w:pPr>
            <w:r>
              <w:rPr>
                <w:b w:val="0"/>
                <w:bCs w:val="0"/>
              </w:rPr>
              <w:t>Phase 2: Information Gathering</w:t>
            </w:r>
          </w:p>
        </w:tc>
        <w:tc>
          <w:tcPr>
            <w:tcW w:w="992" w:type="dxa"/>
            <w:tcBorders>
              <w:top w:val="single" w:sz="4" w:space="0" w:color="009999"/>
              <w:left w:val="single" w:sz="4" w:space="0" w:color="009999"/>
              <w:bottom w:val="single" w:sz="4" w:space="0" w:color="009999"/>
              <w:right w:val="single" w:sz="4" w:space="0" w:color="009999"/>
            </w:tcBorders>
            <w:vAlign w:val="center"/>
            <w:hideMark/>
          </w:tcPr>
          <w:p w14:paraId="2D9C51B3" w14:textId="77777777" w:rsidR="00CE4CC8" w:rsidRDefault="00CE4CC8">
            <w:pPr>
              <w:jc w:val="center"/>
              <w:cnfStyle w:val="000000000000" w:firstRow="0" w:lastRow="0" w:firstColumn="0" w:lastColumn="0" w:oddVBand="0" w:evenVBand="0" w:oddHBand="0" w:evenHBand="0" w:firstRowFirstColumn="0" w:firstRowLastColumn="0" w:lastRowFirstColumn="0" w:lastRowLastColumn="0"/>
            </w:pPr>
            <w:r>
              <w:t>5</w:t>
            </w:r>
          </w:p>
        </w:tc>
        <w:tc>
          <w:tcPr>
            <w:tcW w:w="1576" w:type="dxa"/>
            <w:tcBorders>
              <w:top w:val="single" w:sz="4" w:space="0" w:color="009999"/>
              <w:left w:val="single" w:sz="4" w:space="0" w:color="009999"/>
              <w:bottom w:val="single" w:sz="4" w:space="0" w:color="009999"/>
              <w:right w:val="single" w:sz="4" w:space="0" w:color="009999"/>
            </w:tcBorders>
            <w:hideMark/>
          </w:tcPr>
          <w:p w14:paraId="60F71CDD" w14:textId="678476FB" w:rsidR="00CE4CC8" w:rsidRDefault="00BF5FCF">
            <w:pPr>
              <w:jc w:val="center"/>
              <w:cnfStyle w:val="000000000000" w:firstRow="0" w:lastRow="0" w:firstColumn="0" w:lastColumn="0" w:oddVBand="0" w:evenVBand="0" w:oddHBand="0" w:evenHBand="0" w:firstRowFirstColumn="0" w:firstRowLastColumn="0" w:lastRowFirstColumn="0" w:lastRowLastColumn="0"/>
            </w:pPr>
            <w:r>
              <w:t>7.94</w:t>
            </w:r>
            <w:r w:rsidR="00CE4CC8">
              <w:t>%</w:t>
            </w:r>
          </w:p>
        </w:tc>
        <w:tc>
          <w:tcPr>
            <w:tcW w:w="1850" w:type="dxa"/>
            <w:tcBorders>
              <w:top w:val="single" w:sz="4" w:space="0" w:color="009999"/>
              <w:left w:val="single" w:sz="4" w:space="0" w:color="009999"/>
              <w:bottom w:val="single" w:sz="4" w:space="0" w:color="009999"/>
              <w:right w:val="single" w:sz="4" w:space="0" w:color="009999"/>
            </w:tcBorders>
            <w:vAlign w:val="center"/>
            <w:hideMark/>
          </w:tcPr>
          <w:p w14:paraId="031B2627" w14:textId="65FD590D" w:rsidR="00CE4CC8" w:rsidRDefault="00CE4CC8">
            <w:pPr>
              <w:jc w:val="center"/>
              <w:cnfStyle w:val="000000000000" w:firstRow="0" w:lastRow="0" w:firstColumn="0" w:lastColumn="0" w:oddVBand="0" w:evenVBand="0" w:oddHBand="0" w:evenHBand="0" w:firstRowFirstColumn="0" w:firstRowLastColumn="0" w:lastRowFirstColumn="0" w:lastRowLastColumn="0"/>
            </w:pPr>
            <w:r>
              <w:t xml:space="preserve">$ </w:t>
            </w:r>
            <w:r w:rsidR="00F328B2">
              <w:t>27500</w:t>
            </w:r>
          </w:p>
        </w:tc>
      </w:tr>
      <w:tr w:rsidR="00CE4CC8" w14:paraId="3B2801CA" w14:textId="77777777" w:rsidTr="00F15D6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009999"/>
              <w:left w:val="single" w:sz="4" w:space="0" w:color="009999"/>
              <w:bottom w:val="single" w:sz="4" w:space="0" w:color="009999"/>
              <w:right w:val="single" w:sz="4" w:space="0" w:color="009999"/>
            </w:tcBorders>
            <w:hideMark/>
          </w:tcPr>
          <w:p w14:paraId="051CB50E" w14:textId="77777777" w:rsidR="00CE4CC8" w:rsidRDefault="00CE4CC8">
            <w:pPr>
              <w:jc w:val="left"/>
              <w:rPr>
                <w:b w:val="0"/>
                <w:bCs w:val="0"/>
              </w:rPr>
            </w:pPr>
            <w:r>
              <w:rPr>
                <w:b w:val="0"/>
                <w:bCs w:val="0"/>
              </w:rPr>
              <w:t>Phase 3: A Review of Documentation</w:t>
            </w:r>
          </w:p>
        </w:tc>
        <w:tc>
          <w:tcPr>
            <w:tcW w:w="992" w:type="dxa"/>
            <w:tcBorders>
              <w:top w:val="single" w:sz="4" w:space="0" w:color="009999"/>
              <w:left w:val="single" w:sz="4" w:space="0" w:color="009999"/>
              <w:bottom w:val="single" w:sz="4" w:space="0" w:color="009999"/>
              <w:right w:val="single" w:sz="4" w:space="0" w:color="009999"/>
            </w:tcBorders>
            <w:vAlign w:val="center"/>
            <w:hideMark/>
          </w:tcPr>
          <w:p w14:paraId="395A7CB4"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pPr>
            <w:r>
              <w:t>30</w:t>
            </w:r>
          </w:p>
        </w:tc>
        <w:tc>
          <w:tcPr>
            <w:tcW w:w="1576" w:type="dxa"/>
            <w:tcBorders>
              <w:top w:val="single" w:sz="4" w:space="0" w:color="009999"/>
              <w:left w:val="single" w:sz="4" w:space="0" w:color="009999"/>
              <w:bottom w:val="single" w:sz="4" w:space="0" w:color="009999"/>
              <w:right w:val="single" w:sz="4" w:space="0" w:color="009999"/>
            </w:tcBorders>
            <w:hideMark/>
          </w:tcPr>
          <w:p w14:paraId="5F6EDC15" w14:textId="523355B2" w:rsidR="00CE4CC8" w:rsidRDefault="00CE4CC8">
            <w:pPr>
              <w:jc w:val="center"/>
              <w:cnfStyle w:val="000000100000" w:firstRow="0" w:lastRow="0" w:firstColumn="0" w:lastColumn="0" w:oddVBand="0" w:evenVBand="0" w:oddHBand="1" w:evenHBand="0" w:firstRowFirstColumn="0" w:firstRowLastColumn="0" w:lastRowFirstColumn="0" w:lastRowLastColumn="0"/>
            </w:pPr>
            <w:r>
              <w:t>47.</w:t>
            </w:r>
            <w:r w:rsidR="000C70D0">
              <w:t>62</w:t>
            </w:r>
            <w:r>
              <w:t>%</w:t>
            </w:r>
          </w:p>
        </w:tc>
        <w:tc>
          <w:tcPr>
            <w:tcW w:w="1850" w:type="dxa"/>
            <w:tcBorders>
              <w:top w:val="single" w:sz="4" w:space="0" w:color="009999"/>
              <w:left w:val="single" w:sz="4" w:space="0" w:color="009999"/>
              <w:bottom w:val="single" w:sz="4" w:space="0" w:color="009999"/>
              <w:right w:val="single" w:sz="4" w:space="0" w:color="009999"/>
            </w:tcBorders>
            <w:vAlign w:val="center"/>
            <w:hideMark/>
          </w:tcPr>
          <w:p w14:paraId="3AFDF18A" w14:textId="23FF7DFD" w:rsidR="00CE4CC8" w:rsidRDefault="00CE4CC8">
            <w:pPr>
              <w:jc w:val="center"/>
              <w:cnfStyle w:val="000000100000" w:firstRow="0" w:lastRow="0" w:firstColumn="0" w:lastColumn="0" w:oddVBand="0" w:evenVBand="0" w:oddHBand="1" w:evenHBand="0" w:firstRowFirstColumn="0" w:firstRowLastColumn="0" w:lastRowFirstColumn="0" w:lastRowLastColumn="0"/>
            </w:pPr>
            <w:r>
              <w:t xml:space="preserve">$ </w:t>
            </w:r>
            <w:r w:rsidR="00F328B2">
              <w:t>165000</w:t>
            </w:r>
          </w:p>
        </w:tc>
      </w:tr>
      <w:tr w:rsidR="00CE4CC8" w14:paraId="24D9538D" w14:textId="77777777" w:rsidTr="00F15D67">
        <w:trPr>
          <w:trHeight w:val="300"/>
        </w:trPr>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009999"/>
              <w:left w:val="single" w:sz="4" w:space="0" w:color="009999"/>
              <w:bottom w:val="single" w:sz="4" w:space="0" w:color="009999"/>
              <w:right w:val="single" w:sz="4" w:space="0" w:color="009999"/>
            </w:tcBorders>
            <w:hideMark/>
          </w:tcPr>
          <w:p w14:paraId="08D9873D" w14:textId="77777777" w:rsidR="00CE4CC8" w:rsidRDefault="00CE4CC8">
            <w:pPr>
              <w:jc w:val="left"/>
              <w:rPr>
                <w:b w:val="0"/>
                <w:bCs w:val="0"/>
              </w:rPr>
            </w:pPr>
            <w:r>
              <w:rPr>
                <w:b w:val="0"/>
                <w:bCs w:val="0"/>
              </w:rPr>
              <w:t xml:space="preserve">                B Interviews</w:t>
            </w:r>
          </w:p>
        </w:tc>
        <w:tc>
          <w:tcPr>
            <w:tcW w:w="992" w:type="dxa"/>
            <w:tcBorders>
              <w:top w:val="single" w:sz="4" w:space="0" w:color="009999"/>
              <w:left w:val="single" w:sz="4" w:space="0" w:color="009999"/>
              <w:bottom w:val="single" w:sz="4" w:space="0" w:color="009999"/>
              <w:right w:val="single" w:sz="4" w:space="0" w:color="009999"/>
            </w:tcBorders>
            <w:vAlign w:val="center"/>
            <w:hideMark/>
          </w:tcPr>
          <w:p w14:paraId="1C25F55F" w14:textId="77777777" w:rsidR="00CE4CC8" w:rsidRDefault="00CE4CC8">
            <w:pPr>
              <w:jc w:val="center"/>
              <w:cnfStyle w:val="000000000000" w:firstRow="0" w:lastRow="0" w:firstColumn="0" w:lastColumn="0" w:oddVBand="0" w:evenVBand="0" w:oddHBand="0" w:evenHBand="0" w:firstRowFirstColumn="0" w:firstRowLastColumn="0" w:lastRowFirstColumn="0" w:lastRowLastColumn="0"/>
            </w:pPr>
            <w:r>
              <w:t>8</w:t>
            </w:r>
          </w:p>
        </w:tc>
        <w:tc>
          <w:tcPr>
            <w:tcW w:w="1576" w:type="dxa"/>
            <w:tcBorders>
              <w:top w:val="single" w:sz="4" w:space="0" w:color="009999"/>
              <w:left w:val="single" w:sz="4" w:space="0" w:color="009999"/>
              <w:bottom w:val="single" w:sz="4" w:space="0" w:color="009999"/>
              <w:right w:val="single" w:sz="4" w:space="0" w:color="009999"/>
            </w:tcBorders>
            <w:hideMark/>
          </w:tcPr>
          <w:p w14:paraId="7742F88D" w14:textId="30467EDB" w:rsidR="00CE4CC8" w:rsidRDefault="00CE4CC8">
            <w:pPr>
              <w:jc w:val="center"/>
              <w:cnfStyle w:val="000000000000" w:firstRow="0" w:lastRow="0" w:firstColumn="0" w:lastColumn="0" w:oddVBand="0" w:evenVBand="0" w:oddHBand="0" w:evenHBand="0" w:firstRowFirstColumn="0" w:firstRowLastColumn="0" w:lastRowFirstColumn="0" w:lastRowLastColumn="0"/>
            </w:pPr>
            <w:r>
              <w:t>12.</w:t>
            </w:r>
            <w:r w:rsidR="000C70D0">
              <w:t>7</w:t>
            </w:r>
            <w:r>
              <w:t>%</w:t>
            </w:r>
          </w:p>
        </w:tc>
        <w:tc>
          <w:tcPr>
            <w:tcW w:w="1850" w:type="dxa"/>
            <w:tcBorders>
              <w:top w:val="single" w:sz="4" w:space="0" w:color="009999"/>
              <w:left w:val="single" w:sz="4" w:space="0" w:color="009999"/>
              <w:bottom w:val="single" w:sz="4" w:space="0" w:color="009999"/>
              <w:right w:val="single" w:sz="4" w:space="0" w:color="009999"/>
            </w:tcBorders>
            <w:vAlign w:val="center"/>
            <w:hideMark/>
          </w:tcPr>
          <w:p w14:paraId="5F463E85" w14:textId="2DC6C087" w:rsidR="00CE4CC8" w:rsidRDefault="00CE4CC8">
            <w:pPr>
              <w:jc w:val="center"/>
              <w:cnfStyle w:val="000000000000" w:firstRow="0" w:lastRow="0" w:firstColumn="0" w:lastColumn="0" w:oddVBand="0" w:evenVBand="0" w:oddHBand="0" w:evenHBand="0" w:firstRowFirstColumn="0" w:firstRowLastColumn="0" w:lastRowFirstColumn="0" w:lastRowLastColumn="0"/>
            </w:pPr>
            <w:r>
              <w:t xml:space="preserve">$ </w:t>
            </w:r>
            <w:r w:rsidR="00F328B2">
              <w:t>44000</w:t>
            </w:r>
          </w:p>
        </w:tc>
      </w:tr>
      <w:tr w:rsidR="00CE4CC8" w14:paraId="33E1814D" w14:textId="77777777" w:rsidTr="00F1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009999"/>
              <w:left w:val="single" w:sz="4" w:space="0" w:color="009999"/>
              <w:bottom w:val="single" w:sz="4" w:space="0" w:color="009999"/>
              <w:right w:val="single" w:sz="4" w:space="0" w:color="009999"/>
            </w:tcBorders>
            <w:hideMark/>
          </w:tcPr>
          <w:p w14:paraId="40671CE4" w14:textId="77777777" w:rsidR="00CE4CC8" w:rsidRDefault="00CE4CC8">
            <w:pPr>
              <w:jc w:val="left"/>
              <w:rPr>
                <w:b w:val="0"/>
                <w:bCs w:val="0"/>
              </w:rPr>
            </w:pPr>
            <w:r>
              <w:rPr>
                <w:b w:val="0"/>
                <w:bCs w:val="0"/>
              </w:rPr>
              <w:t>Phase 4: Final Assessment Report</w:t>
            </w:r>
          </w:p>
        </w:tc>
        <w:tc>
          <w:tcPr>
            <w:tcW w:w="992" w:type="dxa"/>
            <w:tcBorders>
              <w:top w:val="single" w:sz="4" w:space="0" w:color="009999"/>
              <w:left w:val="single" w:sz="4" w:space="0" w:color="009999"/>
              <w:bottom w:val="single" w:sz="4" w:space="0" w:color="009999"/>
              <w:right w:val="single" w:sz="4" w:space="0" w:color="009999"/>
            </w:tcBorders>
            <w:vAlign w:val="center"/>
            <w:hideMark/>
          </w:tcPr>
          <w:p w14:paraId="4ECC3A68" w14:textId="77777777" w:rsidR="00CE4CC8" w:rsidRDefault="00CE4CC8">
            <w:pPr>
              <w:jc w:val="center"/>
              <w:cnfStyle w:val="000000100000" w:firstRow="0" w:lastRow="0" w:firstColumn="0" w:lastColumn="0" w:oddVBand="0" w:evenVBand="0" w:oddHBand="1" w:evenHBand="0" w:firstRowFirstColumn="0" w:firstRowLastColumn="0" w:lastRowFirstColumn="0" w:lastRowLastColumn="0"/>
            </w:pPr>
            <w:r>
              <w:t>14</w:t>
            </w:r>
          </w:p>
        </w:tc>
        <w:tc>
          <w:tcPr>
            <w:tcW w:w="1576" w:type="dxa"/>
            <w:tcBorders>
              <w:top w:val="single" w:sz="4" w:space="0" w:color="009999"/>
              <w:left w:val="single" w:sz="4" w:space="0" w:color="009999"/>
              <w:bottom w:val="single" w:sz="4" w:space="0" w:color="009999"/>
              <w:right w:val="single" w:sz="4" w:space="0" w:color="009999"/>
            </w:tcBorders>
            <w:hideMark/>
          </w:tcPr>
          <w:p w14:paraId="0BE990FC" w14:textId="14F34123" w:rsidR="00CE4CC8" w:rsidRDefault="00CE4CC8">
            <w:pPr>
              <w:jc w:val="center"/>
              <w:cnfStyle w:val="000000100000" w:firstRow="0" w:lastRow="0" w:firstColumn="0" w:lastColumn="0" w:oddVBand="0" w:evenVBand="0" w:oddHBand="1" w:evenHBand="0" w:firstRowFirstColumn="0" w:firstRowLastColumn="0" w:lastRowFirstColumn="0" w:lastRowLastColumn="0"/>
            </w:pPr>
            <w:r>
              <w:t>22</w:t>
            </w:r>
            <w:r w:rsidR="00BF5FCF">
              <w:t>.22</w:t>
            </w:r>
            <w:r>
              <w:t>%</w:t>
            </w:r>
          </w:p>
        </w:tc>
        <w:tc>
          <w:tcPr>
            <w:tcW w:w="1850" w:type="dxa"/>
            <w:tcBorders>
              <w:top w:val="single" w:sz="4" w:space="0" w:color="009999"/>
              <w:left w:val="single" w:sz="4" w:space="0" w:color="009999"/>
              <w:bottom w:val="single" w:sz="4" w:space="0" w:color="009999"/>
              <w:right w:val="single" w:sz="4" w:space="0" w:color="009999"/>
            </w:tcBorders>
            <w:vAlign w:val="center"/>
            <w:hideMark/>
          </w:tcPr>
          <w:p w14:paraId="1A6BC7ED" w14:textId="087DD61D" w:rsidR="00CE4CC8" w:rsidRDefault="00CE4CC8">
            <w:pPr>
              <w:jc w:val="center"/>
              <w:cnfStyle w:val="000000100000" w:firstRow="0" w:lastRow="0" w:firstColumn="0" w:lastColumn="0" w:oddVBand="0" w:evenVBand="0" w:oddHBand="1" w:evenHBand="0" w:firstRowFirstColumn="0" w:firstRowLastColumn="0" w:lastRowFirstColumn="0" w:lastRowLastColumn="0"/>
            </w:pPr>
            <w:r>
              <w:t xml:space="preserve">$ </w:t>
            </w:r>
            <w:r w:rsidR="00F328B2">
              <w:t>77000</w:t>
            </w:r>
          </w:p>
        </w:tc>
      </w:tr>
      <w:tr w:rsidR="00CE4CC8" w14:paraId="452559AF" w14:textId="77777777" w:rsidTr="00F15D67">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009999"/>
              <w:left w:val="single" w:sz="4" w:space="0" w:color="009999"/>
              <w:bottom w:val="single" w:sz="4" w:space="0" w:color="FFFFFF" w:themeColor="background1"/>
              <w:right w:val="single" w:sz="4" w:space="0" w:color="FFFFFF" w:themeColor="background1"/>
            </w:tcBorders>
            <w:shd w:val="clear" w:color="auto" w:fill="009999"/>
            <w:hideMark/>
          </w:tcPr>
          <w:p w14:paraId="6D2A3545" w14:textId="77777777" w:rsidR="00CE4CC8" w:rsidRDefault="00CE4CC8">
            <w:pPr>
              <w:ind w:left="962"/>
              <w:jc w:val="right"/>
              <w:rPr>
                <w:color w:val="FFFFFF" w:themeColor="background1"/>
              </w:rPr>
            </w:pPr>
            <w:r>
              <w:rPr>
                <w:color w:val="FFFFFF" w:themeColor="background1"/>
              </w:rPr>
              <w:t xml:space="preserve">TOTAL </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hideMark/>
          </w:tcPr>
          <w:p w14:paraId="074A9128" w14:textId="77777777" w:rsidR="00CE4CC8" w:rsidRDefault="00CE4CC8">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63</w:t>
            </w:r>
          </w:p>
        </w:tc>
        <w:tc>
          <w:tcPr>
            <w:tcW w:w="1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tcPr>
          <w:p w14:paraId="52AF4D06" w14:textId="0B356BEA" w:rsidR="00CE4CC8" w:rsidRDefault="00107EBC">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 xml:space="preserve">X $5,500/Day </w:t>
            </w:r>
          </w:p>
        </w:tc>
        <w:tc>
          <w:tcPr>
            <w:tcW w:w="1850" w:type="dxa"/>
            <w:tcBorders>
              <w:top w:val="single" w:sz="4" w:space="0" w:color="009999"/>
              <w:left w:val="single" w:sz="4" w:space="0" w:color="FFFFFF" w:themeColor="background1"/>
              <w:bottom w:val="single" w:sz="4" w:space="0" w:color="FFFFFF" w:themeColor="background1"/>
              <w:right w:val="single" w:sz="4" w:space="0" w:color="009999"/>
            </w:tcBorders>
            <w:shd w:val="clear" w:color="auto" w:fill="009999"/>
            <w:vAlign w:val="center"/>
            <w:hideMark/>
          </w:tcPr>
          <w:p w14:paraId="2A2AC070" w14:textId="56D8FA0D" w:rsidR="00CE4CC8" w:rsidRDefault="00CE4CC8">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 xml:space="preserve">$ </w:t>
            </w:r>
            <w:r w:rsidR="00F328B2">
              <w:rPr>
                <w:b/>
                <w:bCs/>
                <w:color w:val="FFFFFF" w:themeColor="background1"/>
              </w:rPr>
              <w:t>346500</w:t>
            </w:r>
          </w:p>
        </w:tc>
      </w:tr>
      <w:tr w:rsidR="00CE4CC8" w14:paraId="34F27907" w14:textId="77777777" w:rsidTr="00F1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FFFFFF" w:themeColor="background1"/>
              <w:left w:val="single" w:sz="4" w:space="0" w:color="009999"/>
              <w:bottom w:val="single" w:sz="4" w:space="0" w:color="FFFFFF" w:themeColor="background1"/>
              <w:right w:val="single" w:sz="4" w:space="0" w:color="FFFFFF" w:themeColor="background1"/>
            </w:tcBorders>
            <w:shd w:val="clear" w:color="auto" w:fill="009999"/>
            <w:hideMark/>
          </w:tcPr>
          <w:p w14:paraId="44EE75FA" w14:textId="77777777" w:rsidR="00CE4CC8" w:rsidRDefault="00CE4CC8">
            <w:pPr>
              <w:ind w:left="962"/>
              <w:jc w:val="right"/>
              <w:rPr>
                <w:b w:val="0"/>
                <w:bCs w:val="0"/>
                <w:color w:val="FFFFFF" w:themeColor="background1"/>
              </w:rPr>
            </w:pPr>
            <w:r>
              <w:rPr>
                <w:b w:val="0"/>
                <w:bCs w:val="0"/>
                <w:color w:val="FFFFFF" w:themeColor="background1"/>
              </w:rPr>
              <w:t>Maximum Expenses</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tcPr>
          <w:p w14:paraId="0B30C4C6" w14:textId="77777777" w:rsidR="00CE4CC8" w:rsidRDefault="00CE4CC8">
            <w:pPr>
              <w:ind w:left="173"/>
              <w:cnfStyle w:val="000000100000" w:firstRow="0" w:lastRow="0" w:firstColumn="0" w:lastColumn="0" w:oddVBand="0" w:evenVBand="0" w:oddHBand="1" w:evenHBand="0" w:firstRowFirstColumn="0" w:firstRowLastColumn="0" w:lastRowFirstColumn="0" w:lastRowLastColumn="0"/>
              <w:rPr>
                <w:color w:val="FFFFFF" w:themeColor="background1"/>
              </w:rPr>
            </w:pPr>
          </w:p>
        </w:tc>
        <w:tc>
          <w:tcPr>
            <w:tcW w:w="1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tcPr>
          <w:p w14:paraId="68F9A84F" w14:textId="77777777" w:rsidR="00CE4CC8" w:rsidRDefault="00CE4CC8">
            <w:pPr>
              <w:ind w:left="173"/>
              <w:cnfStyle w:val="000000100000" w:firstRow="0" w:lastRow="0" w:firstColumn="0" w:lastColumn="0" w:oddVBand="0" w:evenVBand="0" w:oddHBand="1" w:evenHBand="0" w:firstRowFirstColumn="0" w:firstRowLastColumn="0" w:lastRowFirstColumn="0" w:lastRowLastColumn="0"/>
              <w:rPr>
                <w:color w:val="FFFFFF" w:themeColor="background1"/>
              </w:rPr>
            </w:pPr>
          </w:p>
        </w:tc>
        <w:tc>
          <w:tcPr>
            <w:tcW w:w="1850" w:type="dxa"/>
            <w:tcBorders>
              <w:top w:val="single" w:sz="4" w:space="0" w:color="FFFFFF" w:themeColor="background1"/>
              <w:left w:val="single" w:sz="4" w:space="0" w:color="FFFFFF" w:themeColor="background1"/>
              <w:bottom w:val="single" w:sz="4" w:space="0" w:color="FFFFFF" w:themeColor="background1"/>
              <w:right w:val="single" w:sz="4" w:space="0" w:color="009999"/>
            </w:tcBorders>
            <w:shd w:val="clear" w:color="auto" w:fill="009999"/>
          </w:tcPr>
          <w:p w14:paraId="4CBACA5F" w14:textId="77777777" w:rsidR="00CE4CC8" w:rsidRDefault="00CE4CC8">
            <w:pPr>
              <w:ind w:left="173"/>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F15D67" w14:paraId="7DA7DB46" w14:textId="77777777" w:rsidTr="00F15D67">
        <w:tc>
          <w:tcPr>
            <w:cnfStyle w:val="001000000000" w:firstRow="0" w:lastRow="0" w:firstColumn="1" w:lastColumn="0" w:oddVBand="0" w:evenVBand="0" w:oddHBand="0" w:evenHBand="0" w:firstRowFirstColumn="0" w:firstRowLastColumn="0" w:lastRowFirstColumn="0" w:lastRowLastColumn="0"/>
            <w:tcW w:w="5930" w:type="dxa"/>
            <w:tcBorders>
              <w:top w:val="single" w:sz="4" w:space="0" w:color="FFFFFF" w:themeColor="background1"/>
              <w:left w:val="single" w:sz="4" w:space="0" w:color="009999"/>
              <w:bottom w:val="single" w:sz="4" w:space="0" w:color="009999"/>
              <w:right w:val="single" w:sz="4" w:space="0" w:color="FFFFFF" w:themeColor="background1"/>
            </w:tcBorders>
            <w:shd w:val="clear" w:color="auto" w:fill="009999"/>
          </w:tcPr>
          <w:p w14:paraId="10A03067" w14:textId="174C5A77" w:rsidR="00F15D67" w:rsidRPr="00F15D67" w:rsidRDefault="00F15D67" w:rsidP="00F15D67">
            <w:pPr>
              <w:ind w:left="962"/>
              <w:jc w:val="right"/>
              <w:rPr>
                <w:color w:val="FFFFFF" w:themeColor="background1"/>
                <w:sz w:val="16"/>
                <w:szCs w:val="16"/>
              </w:rPr>
            </w:pPr>
            <w:proofErr w:type="gramStart"/>
            <w:r w:rsidRPr="00F15D67">
              <w:rPr>
                <w:color w:val="FFFFFF" w:themeColor="background1"/>
                <w:sz w:val="16"/>
                <w:szCs w:val="16"/>
              </w:rPr>
              <w:t>Note :</w:t>
            </w:r>
            <w:proofErr w:type="gramEnd"/>
            <w:r w:rsidRPr="00F15D67">
              <w:rPr>
                <w:color w:val="FFFFFF" w:themeColor="background1"/>
                <w:sz w:val="16"/>
                <w:szCs w:val="16"/>
              </w:rPr>
              <w:t xml:space="preserve"> - </w:t>
            </w:r>
            <w:r w:rsidRPr="00F15D67">
              <w:rPr>
                <w:color w:val="FFFFFF" w:themeColor="background1"/>
                <w:sz w:val="16"/>
                <w:szCs w:val="16"/>
              </w:rPr>
              <w:t>schedule assumed 5 people working concurrently over 63 calendar days, the total workload is 315 person-days (</w:t>
            </w:r>
            <m:oMath>
              <m:r>
                <m:rPr>
                  <m:sty m:val="bi"/>
                </m:rPr>
                <w:rPr>
                  <w:rFonts w:ascii="Cambria Math" w:hAnsi="Cambria Math"/>
                  <w:color w:val="FFFFFF" w:themeColor="background1"/>
                  <w:sz w:val="16"/>
                  <w:szCs w:val="16"/>
                </w:rPr>
                <m:t>63</m:t>
              </m:r>
              <m:r>
                <m:rPr>
                  <m:nor/>
                </m:rPr>
                <w:rPr>
                  <w:color w:val="FFFFFF" w:themeColor="background1"/>
                  <w:sz w:val="16"/>
                  <w:szCs w:val="16"/>
                </w:rPr>
                <m:t> days</m:t>
              </m:r>
              <m:r>
                <m:rPr>
                  <m:sty m:val="bi"/>
                </m:rPr>
                <w:rPr>
                  <w:rFonts w:ascii="Cambria Math" w:hAnsi="Cambria Math"/>
                  <w:color w:val="FFFFFF" w:themeColor="background1"/>
                  <w:sz w:val="16"/>
                  <w:szCs w:val="16"/>
                </w:rPr>
                <m:t>×5</m:t>
              </m:r>
              <m:r>
                <m:rPr>
                  <m:nor/>
                </m:rPr>
                <w:rPr>
                  <w:color w:val="FFFFFF" w:themeColor="background1"/>
                  <w:sz w:val="16"/>
                  <w:szCs w:val="16"/>
                </w:rPr>
                <m:t> people</m:t>
              </m:r>
            </m:oMath>
            <w:r w:rsidRPr="00F15D67">
              <w:rPr>
                <w:color w:val="FFFFFF" w:themeColor="background1"/>
                <w:sz w:val="16"/>
                <w:szCs w:val="16"/>
              </w:rPr>
              <w:t>).</w:t>
            </w:r>
          </w:p>
          <w:p w14:paraId="4E09514F" w14:textId="6C6DA2C7" w:rsidR="00F15D67" w:rsidRDefault="00F15D67">
            <w:pPr>
              <w:ind w:left="962"/>
              <w:jc w:val="right"/>
              <w:rPr>
                <w:color w:val="FFFFFF" w:themeColor="background1"/>
              </w:rPr>
            </w:pP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tcPr>
          <w:p w14:paraId="568127E1" w14:textId="77777777" w:rsidR="00F15D67" w:rsidRDefault="00F15D67">
            <w:pPr>
              <w:ind w:left="173"/>
              <w:cnfStyle w:val="000000000000" w:firstRow="0" w:lastRow="0" w:firstColumn="0" w:lastColumn="0" w:oddVBand="0" w:evenVBand="0" w:oddHBand="0" w:evenHBand="0" w:firstRowFirstColumn="0" w:firstRowLastColumn="0" w:lastRowFirstColumn="0" w:lastRowLastColumn="0"/>
              <w:rPr>
                <w:color w:val="FFFFFF" w:themeColor="background1"/>
              </w:rPr>
            </w:pPr>
          </w:p>
        </w:tc>
        <w:tc>
          <w:tcPr>
            <w:tcW w:w="1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tcPr>
          <w:p w14:paraId="33E3B6F5" w14:textId="77777777" w:rsidR="00F15D67" w:rsidRDefault="00F15D67">
            <w:pPr>
              <w:ind w:left="173"/>
              <w:cnfStyle w:val="000000000000" w:firstRow="0" w:lastRow="0" w:firstColumn="0" w:lastColumn="0" w:oddVBand="0" w:evenVBand="0" w:oddHBand="0" w:evenHBand="0" w:firstRowFirstColumn="0" w:firstRowLastColumn="0" w:lastRowFirstColumn="0" w:lastRowLastColumn="0"/>
              <w:rPr>
                <w:color w:val="FFFFFF" w:themeColor="background1"/>
              </w:rPr>
            </w:pPr>
          </w:p>
        </w:tc>
        <w:tc>
          <w:tcPr>
            <w:tcW w:w="1850" w:type="dxa"/>
            <w:tcBorders>
              <w:top w:val="single" w:sz="4" w:space="0" w:color="FFFFFF" w:themeColor="background1"/>
              <w:left w:val="single" w:sz="4" w:space="0" w:color="FFFFFF" w:themeColor="background1"/>
              <w:bottom w:val="single" w:sz="4" w:space="0" w:color="009999"/>
              <w:right w:val="single" w:sz="4" w:space="0" w:color="009999"/>
            </w:tcBorders>
            <w:shd w:val="clear" w:color="auto" w:fill="009999"/>
          </w:tcPr>
          <w:p w14:paraId="41EEB523" w14:textId="77777777" w:rsidR="00F15D67" w:rsidRDefault="00F15D67">
            <w:pPr>
              <w:ind w:left="173"/>
              <w:cnfStyle w:val="000000000000" w:firstRow="0" w:lastRow="0" w:firstColumn="0" w:lastColumn="0" w:oddVBand="0" w:evenVBand="0" w:oddHBand="0" w:evenHBand="0" w:firstRowFirstColumn="0" w:firstRowLastColumn="0" w:lastRowFirstColumn="0" w:lastRowLastColumn="0"/>
              <w:rPr>
                <w:color w:val="FFFFFF" w:themeColor="background1"/>
              </w:rPr>
            </w:pPr>
          </w:p>
        </w:tc>
      </w:tr>
    </w:tbl>
    <w:p w14:paraId="5519C534" w14:textId="77777777" w:rsidR="00CE4CC8" w:rsidRDefault="00CE4CC8" w:rsidP="00CE4CC8">
      <w:pPr>
        <w:pStyle w:val="ListParagraph"/>
        <w:widowControl w:val="0"/>
        <w:tabs>
          <w:tab w:val="left" w:pos="993"/>
        </w:tabs>
        <w:autoSpaceDE w:val="0"/>
        <w:autoSpaceDN w:val="0"/>
        <w:spacing w:before="120" w:after="120" w:line="240" w:lineRule="auto"/>
        <w:ind w:left="720" w:hanging="360"/>
        <w:rPr>
          <w:rFonts w:ascii="Nunito Sans" w:hAnsi="Nunito Sans" w:cs="Segoe UI Historic"/>
          <w:szCs w:val="22"/>
        </w:rPr>
      </w:pPr>
      <w:r>
        <w:t>Payment is to be completed after each phase and sub phase is completed, equalling to 5 payments in total.</w:t>
      </w:r>
    </w:p>
    <w:p w14:paraId="58AF368D" w14:textId="77777777" w:rsidR="00CE4CC8" w:rsidRDefault="00CE4CC8" w:rsidP="00CE4CC8">
      <w:pPr>
        <w:pStyle w:val="ListParagraph"/>
        <w:widowControl w:val="0"/>
        <w:tabs>
          <w:tab w:val="left" w:pos="993"/>
        </w:tabs>
        <w:autoSpaceDE w:val="0"/>
        <w:autoSpaceDN w:val="0"/>
        <w:spacing w:before="120" w:after="120" w:line="240" w:lineRule="auto"/>
        <w:ind w:left="720" w:hanging="360"/>
      </w:pPr>
      <w:r>
        <w:t xml:space="preserve">Any expenses that occur will be pre-authorised with the Client @cost + 20% </w:t>
      </w:r>
    </w:p>
    <w:p w14:paraId="54CCB72F" w14:textId="1019D210" w:rsidR="00CE4CC8" w:rsidRDefault="00CE4CC8" w:rsidP="00CE4CC8">
      <w:pPr>
        <w:shd w:val="clear" w:color="auto" w:fill="33CCCC"/>
        <w:rPr>
          <w:i/>
          <w:iCs/>
          <w:sz w:val="20"/>
        </w:rPr>
      </w:pPr>
      <w:r>
        <w:rPr>
          <w:i/>
          <w:iCs/>
          <w:sz w:val="20"/>
        </w:rPr>
        <w:t xml:space="preserve">Note: </w:t>
      </w:r>
      <w:r w:rsidR="00D35CAF">
        <w:rPr>
          <w:i/>
          <w:iCs/>
          <w:sz w:val="20"/>
        </w:rPr>
        <w:t xml:space="preserve">Platinum High Integrity Technologies Limited (Malta) and EML </w:t>
      </w:r>
      <w:r w:rsidR="00BE0EB0">
        <w:rPr>
          <w:i/>
          <w:iCs/>
          <w:sz w:val="20"/>
        </w:rPr>
        <w:t xml:space="preserve">Consultants </w:t>
      </w:r>
      <w:proofErr w:type="gramStart"/>
      <w:r w:rsidR="00BE0EB0">
        <w:rPr>
          <w:i/>
          <w:iCs/>
          <w:sz w:val="20"/>
        </w:rPr>
        <w:t xml:space="preserve">PLC </w:t>
      </w:r>
      <w:r>
        <w:rPr>
          <w:i/>
          <w:iCs/>
          <w:sz w:val="20"/>
        </w:rPr>
        <w:t xml:space="preserve"> prices</w:t>
      </w:r>
      <w:proofErr w:type="gramEnd"/>
      <w:r>
        <w:rPr>
          <w:i/>
          <w:iCs/>
          <w:sz w:val="20"/>
        </w:rPr>
        <w:t xml:space="preserve"> will be held for 90 days.</w:t>
      </w:r>
    </w:p>
    <w:p w14:paraId="4C9C587F" w14:textId="77777777" w:rsidR="00CE4CC8" w:rsidRDefault="00CE4CC8" w:rsidP="00CE4CC8">
      <w:pPr>
        <w:shd w:val="clear" w:color="auto" w:fill="33CCCC"/>
        <w:rPr>
          <w:i/>
          <w:iCs/>
          <w:sz w:val="20"/>
        </w:rPr>
      </w:pPr>
      <w:r>
        <w:rPr>
          <w:i/>
          <w:iCs/>
          <w:sz w:val="20"/>
        </w:rPr>
        <w:t>Expenses for on-site work will not exceed the abovementioned amount and will be charged on project completion.</w:t>
      </w:r>
    </w:p>
    <w:p w14:paraId="53290BA6" w14:textId="77777777" w:rsidR="008A4F76" w:rsidRDefault="008A4F76" w:rsidP="003C7A47"/>
    <w:p w14:paraId="633F908C" w14:textId="2FFEA947" w:rsidR="003C7A47" w:rsidRDefault="003C7A47" w:rsidP="00484681">
      <w:pPr>
        <w:pStyle w:val="Level2Number"/>
      </w:pPr>
      <w:r>
        <w:t>Timelines</w:t>
      </w:r>
    </w:p>
    <w:p w14:paraId="7E6B0601" w14:textId="1CD00006" w:rsidR="003C7A47" w:rsidRDefault="001C4D65" w:rsidP="003C7A47">
      <w:r>
        <w:t xml:space="preserve"> </w:t>
      </w:r>
      <w:r w:rsidR="00090039" w:rsidRPr="00090039">
        <w:t>Detailed project schedules will be discussed and mutually agreed upon upon contract award.</w:t>
      </w:r>
    </w:p>
    <w:p w14:paraId="6AD24EF2" w14:textId="578BD1EB" w:rsidR="003C7A47" w:rsidRDefault="003C7A47" w:rsidP="00484681">
      <w:pPr>
        <w:pStyle w:val="Level2Number"/>
      </w:pPr>
      <w:r>
        <w:t xml:space="preserve">Project </w:t>
      </w:r>
      <w:r w:rsidRPr="00484681">
        <w:t>Management</w:t>
      </w:r>
    </w:p>
    <w:p w14:paraId="212B7A0D" w14:textId="77777777" w:rsidR="003C7A47" w:rsidRDefault="003C7A47" w:rsidP="003C7A47">
      <w:r>
        <w:t xml:space="preserve">It is envisaged that the tasks associated with the project will include, </w:t>
      </w:r>
    </w:p>
    <w:p w14:paraId="1BF5FA00" w14:textId="3942C8B8" w:rsidR="003C7A47" w:rsidRDefault="003C7A47" w:rsidP="000A46A6">
      <w:pPr>
        <w:pStyle w:val="ListParagraph"/>
        <w:numPr>
          <w:ilvl w:val="0"/>
          <w:numId w:val="25"/>
        </w:numPr>
      </w:pPr>
      <w:r>
        <w:t xml:space="preserve">Participate as a member of the </w:t>
      </w:r>
      <w:r w:rsidR="004032BF">
        <w:t>PUCSL</w:t>
      </w:r>
      <w:r>
        <w:t xml:space="preserve"> project team (roles to be determined);</w:t>
      </w:r>
    </w:p>
    <w:p w14:paraId="46848B18" w14:textId="5F79DE9D" w:rsidR="003C7A47" w:rsidRDefault="003C7A47" w:rsidP="000A46A6">
      <w:pPr>
        <w:pStyle w:val="ListParagraph"/>
        <w:numPr>
          <w:ilvl w:val="0"/>
          <w:numId w:val="25"/>
        </w:numPr>
      </w:pPr>
      <w:r>
        <w:t xml:space="preserve">Provide weekly exception reports </w:t>
      </w:r>
      <w:r w:rsidR="000A46A6">
        <w:t>and other reports as requested throughout the project timeframe</w:t>
      </w:r>
      <w:r>
        <w:t>.</w:t>
      </w:r>
    </w:p>
    <w:p w14:paraId="65D9014A" w14:textId="77777777" w:rsidR="003C7A47" w:rsidRDefault="003C7A47" w:rsidP="000A46A6">
      <w:pPr>
        <w:pStyle w:val="ListParagraph"/>
        <w:numPr>
          <w:ilvl w:val="0"/>
          <w:numId w:val="25"/>
        </w:numPr>
      </w:pPr>
      <w:r>
        <w:t>Achieve Practical Completion within the allocated time frame and budget.</w:t>
      </w:r>
    </w:p>
    <w:p w14:paraId="2A566039" w14:textId="77777777" w:rsidR="000C70D0" w:rsidRDefault="000C70D0" w:rsidP="000A46A6">
      <w:pPr>
        <w:pStyle w:val="ListParagraph"/>
        <w:numPr>
          <w:ilvl w:val="0"/>
          <w:numId w:val="25"/>
        </w:numPr>
      </w:pPr>
    </w:p>
    <w:p w14:paraId="51137176" w14:textId="230275CC" w:rsidR="003C7A47" w:rsidRDefault="003C7A47" w:rsidP="000A46A6">
      <w:r>
        <w:t xml:space="preserve">Please note that specific task responsibilities will be confirmed as part of </w:t>
      </w:r>
      <w:r w:rsidR="00484681">
        <w:t xml:space="preserve">the </w:t>
      </w:r>
      <w:r>
        <w:t xml:space="preserve">scope definition during phase </w:t>
      </w:r>
      <w:proofErr w:type="spellStart"/>
      <w:proofErr w:type="gramStart"/>
      <w:r w:rsidR="000C70D0">
        <w:t>1:Planning</w:t>
      </w:r>
      <w:proofErr w:type="spellEnd"/>
      <w:proofErr w:type="gramEnd"/>
    </w:p>
    <w:p w14:paraId="22A84B6B" w14:textId="77777777" w:rsidR="00BE0EB0" w:rsidRDefault="00BE0EB0" w:rsidP="000A46A6"/>
    <w:p w14:paraId="25EB34DD" w14:textId="77777777" w:rsidR="00BE0EB0" w:rsidRDefault="00BE0EB0" w:rsidP="000A46A6"/>
    <w:p w14:paraId="71F4A630" w14:textId="71262602" w:rsidR="003C7A47" w:rsidRDefault="003C7A47" w:rsidP="00484681">
      <w:pPr>
        <w:pStyle w:val="Level2Number"/>
      </w:pPr>
      <w:r>
        <w:t>Project Liaison</w:t>
      </w:r>
    </w:p>
    <w:p w14:paraId="519875F9" w14:textId="750C22B3" w:rsidR="003C7A47" w:rsidRDefault="003C7A47" w:rsidP="003C7A47">
      <w:r>
        <w:lastRenderedPageBreak/>
        <w:t xml:space="preserve">The project </w:t>
      </w:r>
      <w:r w:rsidR="000A46A6">
        <w:t>will</w:t>
      </w:r>
      <w:r>
        <w:t xml:space="preserve"> be delivered </w:t>
      </w:r>
      <w:r w:rsidR="00484681">
        <w:t>cooperatively</w:t>
      </w:r>
      <w:r>
        <w:t xml:space="preserve"> between </w:t>
      </w:r>
      <w:r w:rsidR="004032BF">
        <w:t>PUCSL</w:t>
      </w:r>
      <w:r>
        <w:t xml:space="preserve"> and the </w:t>
      </w:r>
      <w:r w:rsidR="000A46A6">
        <w:t>PHIT consultant</w:t>
      </w:r>
      <w:r>
        <w:t xml:space="preserve">. </w:t>
      </w:r>
    </w:p>
    <w:p w14:paraId="60F2B915" w14:textId="51506317" w:rsidR="003C7A47" w:rsidRDefault="003C7A47" w:rsidP="003C7A47">
      <w:r>
        <w:t xml:space="preserve">All </w:t>
      </w:r>
      <w:r w:rsidR="000A46A6">
        <w:t>enquiries</w:t>
      </w:r>
      <w:r>
        <w:t xml:space="preserve"> and correspondence should be directed to the Project Manager for this project</w:t>
      </w:r>
      <w:r w:rsidR="000A46A6">
        <w:t>,</w:t>
      </w:r>
      <w:r>
        <w:t xml:space="preserve"> with email being the preferred method:</w:t>
      </w:r>
      <w:r w:rsidR="00F328B2">
        <w:t xml:space="preserve"> &lt;&lt;TBA&gt;&gt;</w:t>
      </w:r>
    </w:p>
    <w:p w14:paraId="16F8713A" w14:textId="14E5082E" w:rsidR="003C7A47" w:rsidRDefault="003C7A47" w:rsidP="00484681">
      <w:pPr>
        <w:pStyle w:val="Level2Number"/>
      </w:pPr>
      <w:r>
        <w:t>Conduct of the Project</w:t>
      </w:r>
    </w:p>
    <w:p w14:paraId="541C7EF5" w14:textId="1904BED7" w:rsidR="003C7A47" w:rsidRDefault="00204C42" w:rsidP="003C7A47">
      <w:r>
        <w:t>The PHIT consultant to</w:t>
      </w:r>
      <w:r w:rsidR="003C7A47">
        <w:t xml:space="preserve"> work during </w:t>
      </w:r>
      <w:r w:rsidR="000A46A6">
        <w:t>regular</w:t>
      </w:r>
      <w:r w:rsidR="003C7A47">
        <w:t xml:space="preserve"> </w:t>
      </w:r>
      <w:r w:rsidR="004032BF">
        <w:t>PUCSL</w:t>
      </w:r>
      <w:r w:rsidR="003C7A47">
        <w:t xml:space="preserve"> business hours</w:t>
      </w:r>
      <w:r w:rsidR="00484681">
        <w:t>.</w:t>
      </w:r>
    </w:p>
    <w:p w14:paraId="715FA5BC" w14:textId="77777777" w:rsidR="000A46A6" w:rsidRDefault="000A46A6" w:rsidP="003C7A47"/>
    <w:p w14:paraId="643F6261" w14:textId="49C6F821" w:rsidR="003C7A47" w:rsidRDefault="003C7A47" w:rsidP="003C7A47">
      <w:r>
        <w:t xml:space="preserve">The </w:t>
      </w:r>
      <w:r w:rsidR="00D35CAF">
        <w:t xml:space="preserve">Platinum High Integrity Technologies Limited (Malta) </w:t>
      </w:r>
      <w:r w:rsidR="00BE0EB0">
        <w:t>(</w:t>
      </w:r>
      <w:proofErr w:type="spellStart"/>
      <w:r w:rsidR="00BE0EB0">
        <w:t>PHIT</w:t>
      </w:r>
      <w:proofErr w:type="spellEnd"/>
      <w:r w:rsidR="00BE0EB0">
        <w:t xml:space="preserve">) </w:t>
      </w:r>
      <w:r w:rsidR="00D35CAF">
        <w:t xml:space="preserve">and EML </w:t>
      </w:r>
      <w:r w:rsidR="00BE0EB0">
        <w:t xml:space="preserve">Consultants </w:t>
      </w:r>
      <w:proofErr w:type="gramStart"/>
      <w:r w:rsidR="00BE0EB0">
        <w:t xml:space="preserve">PLC </w:t>
      </w:r>
      <w:r>
        <w:t xml:space="preserve"> is</w:t>
      </w:r>
      <w:proofErr w:type="gramEnd"/>
      <w:r>
        <w:t xml:space="preserve"> expected to provide a team of subject matter experts, at least one of which will be dedicated 100% to the task</w:t>
      </w:r>
      <w:r w:rsidR="00484681">
        <w:t>s, d</w:t>
      </w:r>
      <w:r>
        <w:t xml:space="preserve">ocumenting and writing the </w:t>
      </w:r>
      <w:r w:rsidR="00484681">
        <w:t>SRA</w:t>
      </w:r>
      <w:r>
        <w:t xml:space="preserve"> </w:t>
      </w:r>
      <w:r w:rsidR="00484681">
        <w:t>and findings</w:t>
      </w:r>
      <w:r>
        <w:t>, etc</w:t>
      </w:r>
      <w:r w:rsidR="00484681">
        <w:t>, which</w:t>
      </w:r>
      <w:r>
        <w:t xml:space="preserve"> will be the </w:t>
      </w:r>
      <w:r w:rsidR="000A46A6">
        <w:t>PHIT consultant's primary responsibility</w:t>
      </w:r>
      <w:r>
        <w:t>.</w:t>
      </w:r>
    </w:p>
    <w:p w14:paraId="6EAE1A39" w14:textId="77777777" w:rsidR="003C7A47" w:rsidRDefault="003C7A47" w:rsidP="003C7A47">
      <w:r>
        <w:t xml:space="preserve"> </w:t>
      </w:r>
    </w:p>
    <w:p w14:paraId="2830E7A2" w14:textId="77777777" w:rsidR="003C7A47" w:rsidRDefault="003C7A47" w:rsidP="003C7A47">
      <w:r>
        <w:t xml:space="preserve">Tasks may include, but are not limited to, </w:t>
      </w:r>
    </w:p>
    <w:p w14:paraId="7732ED1E" w14:textId="27A058E2" w:rsidR="003C7A47" w:rsidRDefault="003C7A47" w:rsidP="00484681">
      <w:pPr>
        <w:pStyle w:val="Level4Number"/>
      </w:pPr>
      <w:r>
        <w:t xml:space="preserve">Review and analysis of provided client documentation, including Threat Assessments, Security Reviews, Incident Reports, Security Instructions, network and SCADA/EMS architecture documentation, etc.</w:t>
      </w:r>
    </w:p>
    <w:p w14:paraId="0A60A49C" w14:textId="0CDFAC99" w:rsidR="003C7A47" w:rsidRDefault="003C7A47" w:rsidP="00484681">
      <w:pPr>
        <w:pStyle w:val="Level4Number"/>
      </w:pPr>
      <w:r>
        <w:t xml:space="preserve">Interviews with </w:t>
      </w:r>
      <w:r w:rsidR="004032BF">
        <w:t>PUCSL</w:t>
      </w:r>
      <w:r>
        <w:t xml:space="preserve"> managers and staff.</w:t>
      </w:r>
    </w:p>
    <w:p w14:paraId="2D8D864E" w14:textId="77777777" w:rsidR="003C7A47" w:rsidRDefault="003C7A47" w:rsidP="00484681">
      <w:pPr>
        <w:pStyle w:val="Level4Number"/>
      </w:pPr>
      <w:r>
        <w:t>Consultation with internal and external stakeholders.</w:t>
      </w:r>
    </w:p>
    <w:p w14:paraId="09AD867C" w14:textId="1C78A1D0" w:rsidR="003C7A47" w:rsidRDefault="00F86F75" w:rsidP="00F86F75">
      <w:pPr>
        <w:pStyle w:val="Level1Heading"/>
      </w:pPr>
      <w:bookmarkStart w:id="12" w:name="_Toc236212080"/>
      <w:r>
        <w:t>The Security Risk Assessment</w:t>
      </w:r>
      <w:bookmarkEnd w:id="12"/>
    </w:p>
    <w:p w14:paraId="1F8AA65A" w14:textId="6BC0F7CB" w:rsidR="00107EBC" w:rsidRDefault="00107EBC" w:rsidP="00107EBC">
      <w:r w:rsidRPr="00107EBC">
        <w:t xml:space="preserve">The core maturity model will utilize DOE </w:t>
      </w:r>
      <w:proofErr w:type="spellStart"/>
      <w:r w:rsidRPr="00107EBC">
        <w:t>C2M2</w:t>
      </w:r>
      <w:proofErr w:type="spellEnd"/>
      <w:r w:rsidRPr="00107EBC">
        <w:t xml:space="preserve"> </w:t>
      </w:r>
      <w:proofErr w:type="spellStart"/>
      <w:r w:rsidRPr="00107EBC">
        <w:t>v2.1</w:t>
      </w:r>
      <w:proofErr w:type="spellEnd"/>
      <w:r w:rsidRPr="00107EBC">
        <w:t>, with risk assessment methodology executed according to ISO 31000:2018 and cross-referenced against the Secure Controls Framework (</w:t>
      </w:r>
      <w:proofErr w:type="spellStart"/>
      <w:r w:rsidRPr="00107EBC">
        <w:t>SCF</w:t>
      </w:r>
      <w:proofErr w:type="spellEnd"/>
      <w:r w:rsidRPr="00107EBC">
        <w:t>).</w:t>
      </w:r>
    </w:p>
    <w:p w14:paraId="42ADECF1" w14:textId="77777777" w:rsidR="00107EBC" w:rsidRPr="00107EBC" w:rsidRDefault="00107EBC" w:rsidP="00107EBC"/>
    <w:p w14:paraId="610CFC71" w14:textId="61693C4A" w:rsidR="003C7A47" w:rsidRDefault="00F86F75" w:rsidP="003C7A47">
      <w:r>
        <w:t>The SRA methodology will use the Secure Controls Framework Cyber Security and Data Privacy Risk model, be compliant with ISO31000:2018 Risk Management Standard, and</w:t>
      </w:r>
      <w:r w:rsidR="003C7A47">
        <w:t xml:space="preserve"> identify and address other relevant guidelines/standards.</w:t>
      </w:r>
    </w:p>
    <w:p w14:paraId="1B0643A6" w14:textId="77777777" w:rsidR="00F86F75" w:rsidRDefault="00F86F75" w:rsidP="003C7A47"/>
    <w:p w14:paraId="4A3D5A22" w14:textId="5DDBA7C8" w:rsidR="003C7A47" w:rsidRDefault="003C7A47" w:rsidP="003C7A47">
      <w:r>
        <w:t xml:space="preserve">The SRA will address the </w:t>
      </w:r>
      <w:r w:rsidR="00F86F75">
        <w:t xml:space="preserve">organisation's collective operations, considering differing conditions and business environments across the network to minimise the possibility of harm to staff, visitors, assets, and information in all situations and anticipated events. Regional and local input is critical to any threat assessment </w:t>
      </w:r>
      <w:r>
        <w:t xml:space="preserve">to ensure accurate risk ratings are ascertained.  </w:t>
      </w:r>
    </w:p>
    <w:p w14:paraId="753DEAA6" w14:textId="77777777" w:rsidR="00F86F75" w:rsidRDefault="00F86F75" w:rsidP="003C7A47"/>
    <w:p w14:paraId="2EB7B773" w14:textId="5189653E" w:rsidR="003C7A47" w:rsidRDefault="003C7A47" w:rsidP="003C7A47">
      <w:r>
        <w:t xml:space="preserve">There </w:t>
      </w:r>
      <w:r w:rsidR="00F86F75">
        <w:t xml:space="preserve">will </w:t>
      </w:r>
      <w:r>
        <w:t xml:space="preserve">be a conscious effort to maximise </w:t>
      </w:r>
      <w:r w:rsidR="00F86F75">
        <w:t xml:space="preserve">the </w:t>
      </w:r>
      <w:r>
        <w:t xml:space="preserve">transparency of the SRA methodology to ensure that the functionality of </w:t>
      </w:r>
      <w:r w:rsidR="004032BF">
        <w:t>PUCSL</w:t>
      </w:r>
      <w:r>
        <w:t xml:space="preserve">  operations is maintained at an optimum. </w:t>
      </w:r>
      <w:r w:rsidR="00F86F75">
        <w:t>Notwithstanding</w:t>
      </w:r>
      <w:r>
        <w:t xml:space="preserve"> this, it is also recognised that security and safety be maintained at a level that will identify and comply with relevant standards and operational requirements.</w:t>
      </w:r>
    </w:p>
    <w:p>
      <w:pPr>
        <w:pStyle w:val="Level1Heading"/>
      </w:pPr>
      <w:r>
        <w:t xml:space="preserve">Cybersecurity Audit Framework Development</w:t>
      </w:r>
    </w:p>
    <w:p>
      <w:r>
        <w:t xml:space="preserve">The second core deliverable of the Terms of Reference is a PUCSL-specific Cybersecurity Audit Framework enabling the regulator to audit licensees' cybersecurity on a repeatable, defensible basis. The framework comprises:</w:t>
      </w:r>
    </w:p>
    <w:p>
      <w:pPr>
        <w:numPr>
          <w:ilvl w:val="0"/>
          <w:numId w:val="29"/>
        </w:numPr>
      </w:pPr>
      <w:r>
        <w:t xml:space="preserve">Audit universe &amp; scoping model — which entities, systems and facilities are auditable, with criticality-based tiering (grid operations, SCADA/EMS, generation control, market systems).</w:t>
      </w:r>
    </w:p>
    <w:p>
      <w:pPr>
        <w:numPr>
          <w:ilvl w:val="0"/>
          <w:numId w:val="29"/>
        </w:numPr>
      </w:pPr>
      <w:r>
        <w:t xml:space="preserve">Control catalogue — mapped to C2M2 domains, IEC 62443 and NIST CSF, tailored to Sri Lankan grid operations.</w:t>
      </w:r>
    </w:p>
    <w:p>
      <w:pPr>
        <w:numPr>
          <w:ilvl w:val="0"/>
          <w:numId w:val="29"/>
        </w:numPr>
      </w:pPr>
      <w:r>
        <w:t xml:space="preserve">Audit procedures &amp; evidence requirements per control — what an auditor asks, observes, tests and collects.</w:t>
      </w:r>
    </w:p>
    <w:p>
      <w:pPr>
        <w:numPr>
          <w:ilvl w:val="0"/>
          <w:numId w:val="29"/>
        </w:numPr>
      </w:pPr>
      <w:r>
        <w:t xml:space="preserve">Maturity-based scoring &amp; reporting templates — consistent scoring, findings classification and board/regulator-level reporting formats.</w:t>
      </w:r>
    </w:p>
    <w:p>
      <w:pPr>
        <w:numPr>
          <w:ilvl w:val="0"/>
          <w:numId w:val="29"/>
        </w:numPr>
      </w:pPr>
      <w:r>
        <w:t xml:space="preserve">Audit cycle &amp; escalation model — frequency by criticality tier, follow-up and remediation tracking, regulatory escalation.</w:t>
      </w:r>
    </w:p>
    <w:p>
      <w:pPr>
        <w:numPr>
          <w:ilvl w:val="0"/>
          <w:numId w:val="29"/>
        </w:numPr>
      </w:pPr>
      <w:r>
        <w:t xml:space="preserve">Auditor competency requirements — skills, training and certification expectations for PUCSL audit staff.</w:t>
      </w:r>
    </w:p>
    <w:p>
      <w:pPr>
        <w:numPr>
          <w:ilvl w:val="0"/>
          <w:numId w:val="29"/>
        </w:numPr>
      </w:pPr>
      <w:r>
        <w:t xml:space="preserve">RACI matrices and standardised audit checklists for every audit procedure, with target maturity indicator levels (MILs) defined per asset class.</w:t>
      </w:r>
    </w:p>
    <w:p>
      <w:pPr>
        <w:numPr>
          <w:ilvl w:val="0"/>
          <w:numId w:val="29"/>
        </w:numPr>
      </w:pPr>
      <w:r>
        <w:t xml:space="preserve">Benchmarking methodology with defined KPIs, enabling PUCSL to track sector-wide capability maturity over successive audit cycles.</w:t>
      </w:r>
    </w:p>
    <w:p>
      <w:r>
        <w:t xml:space="preserve">Local SOPs and regulatory guidance notes are co-developed with EML, drafted to operate under current Sri Lankan law while remaining forward-compatible with anticipated national cyber/CNI legislation.</w:t>
      </w:r>
    </w:p>
    <w:p>
      <w:pPr>
        <w:pStyle w:val="Level1Heading"/>
      </w:pPr>
      <w:r>
        <w:t xml:space="preserve">Capacity Building &amp; Knowledge Transfer</w:t>
      </w:r>
    </w:p>
    <w:p>
      <w:r>
        <w:t xml:space="preserve">Four workshops are delivered (local delivery by EML, content by Abatis), with all training materials handed over for PUCSL's continued use. Alongside the workshops we deliver practical operational toolkits to the NSO, the Transmission Network Operator and PUCSL: risk registers, incident-response templates, monitoring dashboards, SOPs and regulatory compliance guides.</w:t>
      </w:r>
    </w:p>
    <w:tbl>
      <w:tblPr>
        <w:tblStyle w:val="TableGrid"/>
        <w:tblW w:w="9360" w:type="dxa"/>
        <w:tblLayout w:type="fixed"/>
      </w:tblPr>
      <w:tblGrid>
        <w:gridCol w:w="3800"/>
        <w:gridCol w:w="5560"/>
      </w:tblGrid>
      <w:tr>
        <w:tc>
          <w:tcPr>
            <w:tcW w:w="3800" w:type="dxa"/>
          </w:tcPr>
          <w:p>
            <w:r>
              <w:rPr>
                <w:b/>
              </w:rPr>
              <w:t xml:space="preserve">Workshop</w:t>
            </w:r>
          </w:p>
        </w:tc>
        <w:tc>
          <w:tcPr>
            <w:tcW w:w="5560" w:type="dxa"/>
          </w:tcPr>
          <w:p>
            <w:r>
              <w:rPr>
                <w:b/>
              </w:rPr>
              <w:t xml:space="preserve">Purpose</w:t>
            </w:r>
          </w:p>
        </w:tc>
      </w:tr>
      <w:tr>
        <w:tc>
          <w:tcPr>
            <w:tcW w:w="3800" w:type="dxa"/>
          </w:tcPr>
          <w:p>
            <w:r>
              <w:t xml:space="preserve">Project Kick-off Workshop</w:t>
            </w:r>
          </w:p>
        </w:tc>
        <w:tc>
          <w:tcPr>
            <w:tcW w:w="5560" w:type="dxa"/>
          </w:tcPr>
          <w:p>
            <w:r>
              <w:t xml:space="preserve">Scope, expectations, data-collection mobilisation.</w:t>
            </w:r>
          </w:p>
        </w:tc>
      </w:tr>
      <w:tr>
        <w:tc>
          <w:tcPr>
            <w:tcW w:w="3800" w:type="dxa"/>
          </w:tcPr>
          <w:p>
            <w:r>
              <w:t xml:space="preserve">Technical Findings &amp; Governance Framework Workshop</w:t>
            </w:r>
          </w:p>
        </w:tc>
        <w:tc>
          <w:tcPr>
            <w:tcW w:w="5560" w:type="dxa"/>
          </w:tcPr>
          <w:p>
            <w:r>
              <w:t xml:space="preserve">Validation of assessment findings and draft framework with stakeholders.</w:t>
            </w:r>
          </w:p>
        </w:tc>
      </w:tr>
      <w:tr>
        <w:tc>
          <w:tcPr>
            <w:tcW w:w="3800" w:type="dxa"/>
          </w:tcPr>
          <w:p>
            <w:r>
              <w:t xml:space="preserve">Knowledge Transfer Workshop</w:t>
            </w:r>
          </w:p>
        </w:tc>
        <w:tc>
          <w:tcPr>
            <w:tcW w:w="5560" w:type="dxa"/>
          </w:tcPr>
          <w:p>
            <w:r>
              <w:t xml:space="preserve">Auditor enablement: operating the audit framework, C2M2 re-assessment, continuous monitoring; train-the-trainer materials.</w:t>
            </w:r>
          </w:p>
        </w:tc>
      </w:tr>
      <w:tr>
        <w:tc>
          <w:tcPr>
            <w:tcW w:w="3800" w:type="dxa"/>
          </w:tcPr>
          <w:p>
            <w:r>
              <w:t xml:space="preserve">Executive Presentation &amp; Final Workshop</w:t>
            </w:r>
          </w:p>
        </w:tc>
        <w:tc>
          <w:tcPr>
            <w:tcW w:w="5560" w:type="dxa"/>
          </w:tcPr>
          <w:p>
            <w:r>
              <w:t xml:space="preserve">Leadership briefing on findings, roadmap and framework adoption.</w:t>
            </w:r>
          </w:p>
        </w:tc>
      </w:tr>
    </w:tbl>
    <w:p/>
    <w:p>
      <w:pPr>
        <w:pStyle w:val="Level1Heading"/>
      </w:pPr>
      <w:r>
        <w:t xml:space="preserve">Team Composition &amp; Responsibility Matrix</w:t>
      </w:r>
    </w:p>
    <w:p>
      <w:r>
        <w:t xml:space="preserve">The Joint Venture fields the following team (TECH-5 detail and signed CVs per expert to follow; one CV per position):</w:t>
      </w:r>
    </w:p>
    <w:tbl>
      <w:tblPr>
        <w:tblStyle w:val="TableGrid"/>
        <w:tblW w:w="9360" w:type="dxa"/>
        <w:tblLayout w:type="fixed"/>
      </w:tblPr>
      <w:tblGrid>
        <w:gridCol w:w="3100"/>
        <w:gridCol w:w="900"/>
        <w:gridCol w:w="1100"/>
        <w:gridCol w:w="4260"/>
      </w:tblGrid>
      <w:tr>
        <w:tc>
          <w:tcPr>
            <w:tcW w:w="3100" w:type="dxa"/>
          </w:tcPr>
          <w:p>
            <w:r>
              <w:rPr>
                <w:b/>
              </w:rPr>
              <w:t xml:space="preserve">Role</w:t>
            </w:r>
          </w:p>
        </w:tc>
        <w:tc>
          <w:tcPr>
            <w:tcW w:w="900" w:type="dxa"/>
          </w:tcPr>
          <w:p>
            <w:r>
              <w:rPr>
                <w:b/>
              </w:rPr>
              <w:t xml:space="preserve">Party</w:t>
            </w:r>
          </w:p>
        </w:tc>
        <w:tc>
          <w:tcPr>
            <w:tcW w:w="1100" w:type="dxa"/>
          </w:tcPr>
          <w:p>
            <w:r>
              <w:rPr>
                <w:b/>
              </w:rPr>
              <w:t xml:space="preserve">Man-Days</w:t>
            </w:r>
          </w:p>
        </w:tc>
        <w:tc>
          <w:tcPr>
            <w:tcW w:w="4260" w:type="dxa"/>
          </w:tcPr>
          <w:p>
            <w:r>
              <w:rPr>
                <w:b/>
              </w:rPr>
              <w:t xml:space="preserve">Key Responsibilities</w:t>
            </w:r>
          </w:p>
        </w:tc>
      </w:tr>
      <w:tr>
        <w:tc>
          <w:tcPr>
            <w:tcW w:w="3100" w:type="dxa"/>
          </w:tcPr>
          <w:p>
            <w:r>
              <w:t xml:space="preserve">Team Leader</w:t>
            </w:r>
          </w:p>
        </w:tc>
        <w:tc>
          <w:tcPr>
            <w:tcW w:w="900" w:type="dxa"/>
          </w:tcPr>
          <w:p>
            <w:r>
              <w:t xml:space="preserve">Abatis</w:t>
            </w:r>
          </w:p>
        </w:tc>
        <w:tc>
          <w:tcPr>
            <w:tcW w:w="1100" w:type="dxa"/>
          </w:tcPr>
          <w:p>
            <w:r>
              <w:t xml:space="preserve">60</w:t>
            </w:r>
          </w:p>
        </w:tc>
        <w:tc>
          <w:tcPr>
            <w:tcW w:w="4260" w:type="dxa"/>
          </w:tcPr>
          <w:p>
            <w:r>
              <w:t xml:space="preserve">Technical direction; risk assessment; maturity scoring; recommendations</w:t>
            </w:r>
          </w:p>
        </w:tc>
      </w:tr>
      <w:tr>
        <w:tc>
          <w:tcPr>
            <w:tcW w:w="3100" w:type="dxa"/>
          </w:tcPr>
          <w:p>
            <w:r>
              <w:t xml:space="preserve">Senior OT/ICS Cybersecurity Specialist</w:t>
            </w:r>
          </w:p>
        </w:tc>
        <w:tc>
          <w:tcPr>
            <w:tcW w:w="900" w:type="dxa"/>
          </w:tcPr>
          <w:p>
            <w:r>
              <w:t xml:space="preserve">Abatis</w:t>
            </w:r>
          </w:p>
        </w:tc>
        <w:tc>
          <w:tcPr>
            <w:tcW w:w="1100" w:type="dxa"/>
          </w:tcPr>
          <w:p>
            <w:r>
              <w:t xml:space="preserve">60</w:t>
            </w:r>
          </w:p>
        </w:tc>
        <w:tc>
          <w:tcPr>
            <w:tcW w:w="4260" w:type="dxa"/>
          </w:tcPr>
          <w:p>
            <w:r>
              <w:t xml:space="preserve">SCADA/EMS/DCS assessment; threat analysis; site assessments</w:t>
            </w:r>
          </w:p>
        </w:tc>
      </w:tr>
      <w:tr>
        <w:tc>
          <w:tcPr>
            <w:tcW w:w="3100" w:type="dxa"/>
          </w:tcPr>
          <w:p>
            <w:r>
              <w:t xml:space="preserve">Cybersecurity Governance Specialist</w:t>
            </w:r>
          </w:p>
        </w:tc>
        <w:tc>
          <w:tcPr>
            <w:tcW w:w="900" w:type="dxa"/>
          </w:tcPr>
          <w:p>
            <w:r>
              <w:t xml:space="preserve">Abatis</w:t>
            </w:r>
          </w:p>
        </w:tc>
        <w:tc>
          <w:tcPr>
            <w:tcW w:w="1100" w:type="dxa"/>
          </w:tcPr>
          <w:p>
            <w:r>
              <w:t xml:space="preserve">40</w:t>
            </w:r>
          </w:p>
        </w:tc>
        <w:tc>
          <w:tcPr>
            <w:tcW w:w="4260" w:type="dxa"/>
          </w:tcPr>
          <w:p>
            <w:r>
              <w:t xml:space="preserve">Governance &amp; compliance framework; policy review</w:t>
            </w:r>
          </w:p>
        </w:tc>
      </w:tr>
      <w:tr>
        <w:tc>
          <w:tcPr>
            <w:tcW w:w="3100" w:type="dxa"/>
          </w:tcPr>
          <w:p>
            <w:r>
              <w:t xml:space="preserve">IEC 62443 / C2M2 Specialist</w:t>
            </w:r>
          </w:p>
        </w:tc>
        <w:tc>
          <w:tcPr>
            <w:tcW w:w="900" w:type="dxa"/>
          </w:tcPr>
          <w:p>
            <w:r>
              <w:t xml:space="preserve">Abatis</w:t>
            </w:r>
          </w:p>
        </w:tc>
        <w:tc>
          <w:tcPr>
            <w:tcW w:w="1100" w:type="dxa"/>
          </w:tcPr>
          <w:p>
            <w:r>
              <w:t xml:space="preserve">20</w:t>
            </w:r>
          </w:p>
        </w:tc>
        <w:tc>
          <w:tcPr>
            <w:tcW w:w="4260" w:type="dxa"/>
          </w:tcPr>
          <w:p>
            <w:r>
              <w:t xml:space="preserve">Standards mapping; C2M2 scoring; audit framework controls</w:t>
            </w:r>
          </w:p>
        </w:tc>
      </w:tr>
      <w:tr>
        <w:tc>
          <w:tcPr>
            <w:tcW w:w="3100" w:type="dxa"/>
          </w:tcPr>
          <w:p>
            <w:r>
              <w:t xml:space="preserve">Training &amp; Capacity Building Specialist</w:t>
            </w:r>
          </w:p>
        </w:tc>
        <w:tc>
          <w:tcPr>
            <w:tcW w:w="900" w:type="dxa"/>
          </w:tcPr>
          <w:p>
            <w:r>
              <w:t xml:space="preserve">Abatis</w:t>
            </w:r>
          </w:p>
        </w:tc>
        <w:tc>
          <w:tcPr>
            <w:tcW w:w="1100" w:type="dxa"/>
          </w:tcPr>
          <w:p>
            <w:r>
              <w:t xml:space="preserve">20</w:t>
            </w:r>
          </w:p>
        </w:tc>
        <w:tc>
          <w:tcPr>
            <w:tcW w:w="4260" w:type="dxa"/>
          </w:tcPr>
          <w:p>
            <w:r>
              <w:t xml:space="preserve">Workshops content; toolkits; knowledge transfer</w:t>
            </w:r>
          </w:p>
        </w:tc>
      </w:tr>
      <w:tr>
        <w:tc>
          <w:tcPr>
            <w:tcW w:w="3100" w:type="dxa"/>
          </w:tcPr>
          <w:p>
            <w:r>
              <w:t xml:space="preserve">Power Systems / SCADA Engineer (Deputy PM)</w:t>
            </w:r>
          </w:p>
        </w:tc>
        <w:tc>
          <w:tcPr>
            <w:tcW w:w="900" w:type="dxa"/>
          </w:tcPr>
          <w:p>
            <w:r>
              <w:t xml:space="preserve">EML</w:t>
            </w:r>
          </w:p>
        </w:tc>
        <w:tc>
          <w:tcPr>
            <w:tcW w:w="1100" w:type="dxa"/>
          </w:tcPr>
          <w:p>
            <w:r>
              <w:t xml:space="preserve">100</w:t>
            </w:r>
          </w:p>
        </w:tc>
        <w:tc>
          <w:tcPr>
            <w:tcW w:w="4260" w:type="dxa"/>
          </w:tcPr>
          <w:p>
            <w:r>
              <w:t xml:space="preserve">Local project management; SCADA engineering; site programmes</w:t>
            </w:r>
          </w:p>
        </w:tc>
      </w:tr>
      <w:tr>
        <w:tc>
          <w:tcPr>
            <w:tcW w:w="3100" w:type="dxa"/>
          </w:tcPr>
          <w:p>
            <w:r>
              <w:t xml:space="preserve">Local Electrical Engineer</w:t>
            </w:r>
          </w:p>
        </w:tc>
        <w:tc>
          <w:tcPr>
            <w:tcW w:w="900" w:type="dxa"/>
          </w:tcPr>
          <w:p>
            <w:r>
              <w:t xml:space="preserve">EML</w:t>
            </w:r>
          </w:p>
        </w:tc>
        <w:tc>
          <w:tcPr>
            <w:tcW w:w="1100" w:type="dxa"/>
          </w:tcPr>
          <w:p>
            <w:r>
              <w:t xml:space="preserve">50</w:t>
            </w:r>
          </w:p>
        </w:tc>
        <w:tc>
          <w:tcPr>
            <w:tcW w:w="4260" w:type="dxa"/>
          </w:tcPr>
          <w:p>
            <w:r>
              <w:t xml:space="preserve">Electrical engineering; field assessment support</w:t>
            </w:r>
          </w:p>
        </w:tc>
      </w:tr>
      <w:tr>
        <w:tc>
          <w:tcPr>
            <w:tcW w:w="3100" w:type="dxa"/>
          </w:tcPr>
          <w:p>
            <w:r>
              <w:t xml:space="preserve">Stakeholder Engagement Specialist</w:t>
            </w:r>
          </w:p>
        </w:tc>
        <w:tc>
          <w:tcPr>
            <w:tcW w:w="900" w:type="dxa"/>
          </w:tcPr>
          <w:p>
            <w:r>
              <w:t xml:space="preserve">EML</w:t>
            </w:r>
          </w:p>
        </w:tc>
        <w:tc>
          <w:tcPr>
            <w:tcW w:w="1100" w:type="dxa"/>
          </w:tcPr>
          <w:p>
            <w:r>
              <w:t xml:space="preserve">15</w:t>
            </w:r>
          </w:p>
        </w:tc>
        <w:tc>
          <w:tcPr>
            <w:tcW w:w="4260" w:type="dxa"/>
          </w:tcPr>
          <w:p>
            <w:r>
              <w:t xml:space="preserve">PUCSL/utility coordination; workshop logistics</w:t>
            </w:r>
          </w:p>
        </w:tc>
      </w:tr>
      <w:tr>
        <w:tc>
          <w:tcPr>
            <w:tcW w:w="3100" w:type="dxa"/>
          </w:tcPr>
          <w:p>
            <w:r>
              <w:t xml:space="preserve">QA/QC Manager</w:t>
            </w:r>
          </w:p>
        </w:tc>
        <w:tc>
          <w:tcPr>
            <w:tcW w:w="900" w:type="dxa"/>
          </w:tcPr>
          <w:p>
            <w:r>
              <w:t xml:space="preserve">EML</w:t>
            </w:r>
          </w:p>
        </w:tc>
        <w:tc>
          <w:tcPr>
            <w:tcW w:w="1100" w:type="dxa"/>
          </w:tcPr>
          <w:p>
            <w:r>
              <w:t xml:space="preserve">10</w:t>
            </w:r>
          </w:p>
        </w:tc>
        <w:tc>
          <w:tcPr>
            <w:tcW w:w="4260" w:type="dxa"/>
          </w:tcPr>
          <w:p>
            <w:r>
              <w:t xml:space="preserve">Quality assurance under ISO 9001:2015-certified system</w:t>
            </w:r>
          </w:p>
        </w:tc>
      </w:tr>
      <w:tr>
        <w:tc>
          <w:tcPr>
            <w:tcW w:w="3100" w:type="dxa"/>
          </w:tcPr>
          <w:p>
            <w:r>
              <w:t xml:space="preserve">Technical Report Coordinator</w:t>
            </w:r>
          </w:p>
        </w:tc>
        <w:tc>
          <w:tcPr>
            <w:tcW w:w="900" w:type="dxa"/>
          </w:tcPr>
          <w:p>
            <w:r>
              <w:t xml:space="preserve">EML</w:t>
            </w:r>
          </w:p>
        </w:tc>
        <w:tc>
          <w:tcPr>
            <w:tcW w:w="1100" w:type="dxa"/>
          </w:tcPr>
          <w:p>
            <w:r>
              <w:t xml:space="preserve">15</w:t>
            </w:r>
          </w:p>
        </w:tc>
        <w:tc>
          <w:tcPr>
            <w:tcW w:w="4260" w:type="dxa"/>
          </w:tcPr>
          <w:p>
            <w:r>
              <w:t xml:space="preserve">Deliverable production &amp; document control</w:t>
            </w:r>
          </w:p>
        </w:tc>
      </w:tr>
      <w:tr>
        <w:tc>
          <w:tcPr>
            <w:tcW w:w="3100" w:type="dxa"/>
          </w:tcPr>
          <w:p>
            <w:r>
              <w:t xml:space="preserve">Project Administrator</w:t>
            </w:r>
          </w:p>
        </w:tc>
        <w:tc>
          <w:tcPr>
            <w:tcW w:w="900" w:type="dxa"/>
          </w:tcPr>
          <w:p>
            <w:r>
              <w:t xml:space="preserve">EML</w:t>
            </w:r>
          </w:p>
        </w:tc>
        <w:tc>
          <w:tcPr>
            <w:tcW w:w="1100" w:type="dxa"/>
          </w:tcPr>
          <w:p>
            <w:r>
              <w:t xml:space="preserve">30</w:t>
            </w:r>
          </w:p>
        </w:tc>
        <w:tc>
          <w:tcPr>
            <w:tcW w:w="4260" w:type="dxa"/>
          </w:tcPr>
          <w:p>
            <w:r>
              <w:t xml:space="preserve">Administration, logistics, correspondence</w:t>
            </w:r>
          </w:p>
        </w:tc>
      </w:tr>
    </w:tbl>
    <w:p/>
    <w:p>
      <w:r>
        <w:t xml:space="preserve">Professional credentials include Full Membership of the Chartered Institute of Information Security (MCIIS) and full membership of the IISP; academically credentialed specialists (including first-class Mathematics, Cambridge; MA Cyber Security, Royal Holloway) are fielded where the evaluation requires. [Named experts and signed CVs — TBC]</w:t>
      </w:r>
    </w:p>
    <w:p>
      <w:pPr>
        <w:pStyle w:val="Level1Heading"/>
      </w:pPr>
      <w:r>
        <w:t xml:space="preserve">Quality Assurance &amp; Information Security</w:t>
      </w:r>
    </w:p>
    <w:p>
      <w:pPr>
        <w:numPr>
          <w:ilvl w:val="0"/>
          <w:numId w:val="29"/>
        </w:numPr>
      </w:pPr>
      <w:r>
        <w:t xml:space="preserve">Governance: the Abatis Team Leader directs the technical programme; the EML Deputy Project Manager manages local delivery; joint weekly progress reviews; both parties copied on all PUCSL correspondence.</w:t>
      </w:r>
    </w:p>
    <w:p>
      <w:pPr>
        <w:numPr>
          <w:ilvl w:val="0"/>
          <w:numId w:val="29"/>
        </w:numPr>
      </w:pPr>
      <w:r>
        <w:t xml:space="preserve">Dual QA: Abatis technical peer review of every specialist deliverable; EML QA/QC Manager operating under its ISO 9001:2015-certified system; neither party amends the other's contribution without prior agreement.</w:t>
      </w:r>
    </w:p>
    <w:p>
      <w:pPr>
        <w:numPr>
          <w:ilvl w:val="0"/>
          <w:numId w:val="29"/>
        </w:numPr>
      </w:pPr>
      <w:r>
        <w:t xml:space="preserve">Information security: secure artefact-collection portal for all assessment evidence; strict confidentiality handling; in-country retention of sensitive material where required by PUCSL.</w:t>
      </w:r>
    </w:p>
    <w:p>
      <w:pPr>
        <w:pStyle w:val="Level1Heading"/>
      </w:pPr>
      <w:r>
        <w:t xml:space="preserve">Comments on the Terms of Reference (TECH-3)</w:t>
      </w:r>
    </w:p>
    <w:p>
      <w:pPr>
        <w:numPr>
          <w:ilvl w:val="0"/>
          <w:numId w:val="29"/>
        </w:numPr>
      </w:pPr>
      <w:r>
        <w:t xml:space="preserve">Secure document exchange: we recommend, and will provide, a secured artefact-collection portal for assessment evidence for the duration of the engagement.</w:t>
      </w:r>
    </w:p>
    <w:p>
      <w:pPr>
        <w:numPr>
          <w:ilvl w:val="0"/>
          <w:numId w:val="29"/>
        </w:numPr>
      </w:pPr>
      <w:r>
        <w:t xml:space="preserve">Scope confirmation: we request confirmation of the final list of generation facilities and substations in scope to firm up the site-visit programme.</w:t>
      </w:r>
    </w:p>
    <w:p>
      <w:pPr>
        <w:numPr>
          <w:ilvl w:val="0"/>
          <w:numId w:val="29"/>
        </w:numPr>
      </w:pPr>
      <w:r>
        <w:t xml:space="preserve">Counterpart facilities: we request PUCSL nominate counterpart staff, provide access to relevant documentation and facilitate site access approvals with system operators.</w:t>
      </w:r>
    </w:p>
    <w:p>
      <w:pPr>
        <w:numPr>
          <w:ilvl w:val="0"/>
          <w:numId w:val="29"/>
        </w:numPr>
      </w:pPr>
      <w:r>
        <w:t xml:space="preserve">Legislative context: the audit framework will operate under current Sri Lankan law while remaining forward-compatible with anticipated CNI legislation; the JV can support subsequent legislative drafting as follow-on advisory.</w:t>
      </w:r>
    </w:p>
    <w:p w14:paraId="427BF23F" w14:textId="32AD5791" w:rsidR="003C7A47" w:rsidRDefault="003C7A47" w:rsidP="00F86F75">
      <w:pPr>
        <w:pStyle w:val="Level1Heading"/>
      </w:pPr>
      <w:bookmarkStart w:id="13" w:name="_Toc236212081"/>
      <w:r>
        <w:t>Reference Documents</w:t>
      </w:r>
      <w:bookmarkEnd w:id="13"/>
    </w:p>
    <w:p w14:paraId="28093CAC" w14:textId="44109662" w:rsidR="003C7A47" w:rsidRDefault="003C7A47" w:rsidP="003C7A47">
      <w:r>
        <w:t xml:space="preserve">Throughout the project, the </w:t>
      </w:r>
      <w:r w:rsidR="00D35CAF">
        <w:t>Platinum High Integrity Technologies Limited (Malta) and EML Consultants PLC</w:t>
      </w:r>
      <w:r w:rsidR="00F86F75">
        <w:t>-</w:t>
      </w:r>
      <w:r w:rsidR="000A46A6">
        <w:t>HIT consultant</w:t>
      </w:r>
      <w:r>
        <w:t xml:space="preserve"> is expected to obtain all relevant documents, information</w:t>
      </w:r>
      <w:r w:rsidR="00F86F75">
        <w:t>, and reports required to conduct it</w:t>
      </w:r>
      <w:r>
        <w:t xml:space="preserve"> and prepare and justify the final outputs with </w:t>
      </w:r>
      <w:r w:rsidR="00204C42">
        <w:t xml:space="preserve">high </w:t>
      </w:r>
      <w:r>
        <w:t xml:space="preserve">professionalism and certified quality. </w:t>
      </w:r>
    </w:p>
    <w:p w14:paraId="06E49620" w14:textId="77777777" w:rsidR="00F86F75" w:rsidRDefault="00F86F75" w:rsidP="003C7A47"/>
    <w:p w14:paraId="75052841" w14:textId="214FCD38" w:rsidR="00F86F75" w:rsidRDefault="003C7A47" w:rsidP="003C7A47">
      <w:r>
        <w:t xml:space="preserve">Any relevant </w:t>
      </w:r>
      <w:r w:rsidR="004032BF">
        <w:t>PUCSL</w:t>
      </w:r>
      <w:r>
        <w:t xml:space="preserve"> documents may be loaned to the successful </w:t>
      </w:r>
      <w:r w:rsidR="00D35CAF">
        <w:t>Platinum High Integrity Technologies Limited (Malta) and EML Consultants PLC</w:t>
      </w:r>
      <w:r w:rsidR="00F86F75">
        <w:t xml:space="preserve">-HIT </w:t>
      </w:r>
      <w:r w:rsidR="000A46A6">
        <w:t>consultant</w:t>
      </w:r>
      <w:r>
        <w:t xml:space="preserve"> on a confidential basis.  </w:t>
      </w:r>
    </w:p>
    <w:p w14:paraId="57BE2F5E" w14:textId="77777777" w:rsidR="00F86F75" w:rsidRDefault="00F86F75" w:rsidP="003C7A47"/>
    <w:p w14:paraId="0569478A" w14:textId="760E65EF" w:rsidR="003C7A47" w:rsidRDefault="004032BF" w:rsidP="003C7A47">
      <w:r>
        <w:lastRenderedPageBreak/>
        <w:t>PUCSL</w:t>
      </w:r>
      <w:r w:rsidR="003C7A47">
        <w:t xml:space="preserve"> documents </w:t>
      </w:r>
      <w:r w:rsidR="00F86F75">
        <w:t>must not</w:t>
      </w:r>
      <w:r w:rsidR="003C7A47">
        <w:t xml:space="preserve"> be copied and must be returned upon </w:t>
      </w:r>
      <w:r w:rsidR="00F86F75">
        <w:t>completing</w:t>
      </w:r>
      <w:r w:rsidR="003C7A47">
        <w:t xml:space="preserve"> the Brief.</w:t>
      </w:r>
    </w:p>
    <w:p w14:paraId="32EA1D53" w14:textId="6CB8C9F6" w:rsidR="003C7A47" w:rsidRDefault="000C70D0" w:rsidP="00204C42">
      <w:pPr>
        <w:pStyle w:val="Level1Heading"/>
      </w:pPr>
      <w:bookmarkStart w:id="14" w:name="_Toc236212082"/>
      <w:r w:rsidRPr="000C70D0">
        <w:t>Key Project Outputs &amp; Expected Outcomes</w:t>
      </w:r>
      <w:bookmarkEnd w:id="14"/>
    </w:p>
    <w:p w14:paraId="5A73C8BA" w14:textId="77777777" w:rsidR="003C7A47" w:rsidRDefault="003C7A47" w:rsidP="003C7A47">
      <w:r>
        <w:t>Outcomes of the consultancy project will include:</w:t>
      </w:r>
    </w:p>
    <w:p>
      <w:pPr>
        <w:numPr>
          <w:ilvl w:val="0"/>
          <w:numId w:val="29"/>
        </w:numPr>
      </w:pPr>
      <w:r>
        <w:t xml:space="preserve">Inception Report — confirmed scope, stakeholder map, data-request register and detailed schedule.</w:t>
      </w:r>
    </w:p>
    <w:p>
      <w:pPr>
        <w:numPr>
          <w:ilvl w:val="0"/>
          <w:numId w:val="29"/>
        </w:numPr>
      </w:pPr>
      <w:r>
        <w:t xml:space="preserve">Cybersecurity Readiness Assessment Report — C2M2 v2.1 maturity profile ('Point Zero' baseline, MIL scores per domain), Evidence Ledger, threat &amp; risk assessment and prioritised, cost-aware remediation roadmap.</w:t>
      </w:r>
    </w:p>
    <w:p>
      <w:pPr>
        <w:numPr>
          <w:ilvl w:val="0"/>
          <w:numId w:val="29"/>
        </w:numPr>
      </w:pPr>
      <w:r>
        <w:t xml:space="preserve">Cybersecurity Audit Framework — control catalogue, audit procedures, RACI matrices, scoring and reporting templates, audit cycle and auditor competency requirements, ready for PUCSL adoption.</w:t>
      </w:r>
    </w:p>
    <w:p>
      <w:pPr>
        <w:numPr>
          <w:ilvl w:val="0"/>
          <w:numId w:val="29"/>
        </w:numPr>
      </w:pPr>
      <w:r>
        <w:t xml:space="preserve">Standard Operating Procedures (SOPs) and regulatory guidance notes localised for Sri Lankan utilities.</w:t>
      </w:r>
    </w:p>
    <w:p>
      <w:pPr>
        <w:numPr>
          <w:ilvl w:val="0"/>
          <w:numId w:val="29"/>
        </w:numPr>
      </w:pPr>
      <w:r>
        <w:t xml:space="preserve">Training materials, workshop reports and operational toolkits (risk registers, incident-response templates, monitoring dashboards) for the NSO, Transmission Network Operator and PUCSL.</w:t>
      </w:r>
    </w:p>
    <w:p>
      <w:pPr>
        <w:numPr>
          <w:ilvl w:val="0"/>
          <w:numId w:val="29"/>
        </w:numPr>
      </w:pPr>
      <w:r>
        <w:t xml:space="preserve">Final Report and Executive Presentation, including framework adoption plan and follow-on roadmap.</w:t>
      </w:r>
    </w:p>
    <w:p w14:paraId="1D7FCBDE" w14:textId="6BD6B933" w:rsidR="003C7A47" w:rsidRDefault="003C7A47" w:rsidP="00204C42">
      <w:pPr>
        <w:pStyle w:val="Level1Heading"/>
      </w:pPr>
      <w:bookmarkStart w:id="15" w:name="_Toc236212083"/>
      <w:r>
        <w:t>Indicative Terms of Reference</w:t>
      </w:r>
      <w:bookmarkEnd w:id="15"/>
    </w:p>
    <w:p w14:paraId="4ABCBD91" w14:textId="2AD317F2" w:rsidR="003C7A47" w:rsidRDefault="003C7A47" w:rsidP="003C7A47">
      <w:r>
        <w:t>The report and methodology</w:t>
      </w:r>
      <w:r w:rsidR="00F86F75">
        <w:t xml:space="preserve"> will</w:t>
      </w:r>
      <w:r>
        <w:t xml:space="preserve"> include all documentation relevant to the </w:t>
      </w:r>
      <w:r w:rsidR="00484681">
        <w:t>SRA</w:t>
      </w:r>
      <w:r>
        <w:t xml:space="preserve"> and</w:t>
      </w:r>
      <w:r w:rsidR="00F86F75">
        <w:t>,</w:t>
      </w:r>
      <w:r>
        <w:t xml:space="preserve"> in particular</w:t>
      </w:r>
      <w:r w:rsidR="00F86F75">
        <w:t>,</w:t>
      </w:r>
      <w:r>
        <w:t xml:space="preserve"> </w:t>
      </w:r>
      <w:r w:rsidR="00F86F75">
        <w:t xml:space="preserve">will </w:t>
      </w:r>
      <w:r>
        <w:t>identify, examine and document the following:</w:t>
      </w:r>
    </w:p>
    <w:p w14:paraId="47194F70" w14:textId="4AE290C9" w:rsidR="00F86F75" w:rsidRDefault="003C7A47" w:rsidP="003C7A47">
      <w:pPr>
        <w:pStyle w:val="Number"/>
        <w:numPr>
          <w:ilvl w:val="0"/>
          <w:numId w:val="28"/>
        </w:numPr>
      </w:pPr>
      <w:r>
        <w:t>Assets at risk, sources of risk, and the how, when, where and why incidents may occur</w:t>
      </w:r>
      <w:r w:rsidR="00F86F75">
        <w:t>,</w:t>
      </w:r>
      <w:r>
        <w:t xml:space="preserve"> including the </w:t>
      </w:r>
      <w:r w:rsidR="00F86F75">
        <w:t>surrounding circumstances</w:t>
      </w:r>
      <w:r>
        <w:t>.</w:t>
      </w:r>
    </w:p>
    <w:p w14:paraId="302D8584" w14:textId="1BD91E08" w:rsidR="00F86F75" w:rsidRDefault="00204C42" w:rsidP="003C7A47">
      <w:pPr>
        <w:pStyle w:val="Number"/>
        <w:numPr>
          <w:ilvl w:val="0"/>
          <w:numId w:val="28"/>
        </w:numPr>
      </w:pPr>
      <w:r>
        <w:t>Provide a detailed</w:t>
      </w:r>
      <w:r w:rsidR="003C7A47">
        <w:t xml:space="preserve"> list of vulnerabilities and threats</w:t>
      </w:r>
      <w:r w:rsidR="00F86F75">
        <w:t>,</w:t>
      </w:r>
      <w:r w:rsidR="003C7A47">
        <w:t xml:space="preserve"> including whether any weakness in the system or method of control is likely to cause or contribute to an incident.</w:t>
      </w:r>
    </w:p>
    <w:p w14:paraId="3197F718" w14:textId="601E9516" w:rsidR="00F86F75" w:rsidRDefault="003C7A47" w:rsidP="003C7A47">
      <w:pPr>
        <w:pStyle w:val="Number"/>
        <w:numPr>
          <w:ilvl w:val="0"/>
          <w:numId w:val="28"/>
        </w:numPr>
      </w:pPr>
      <w:r>
        <w:t xml:space="preserve">Remedial or other action </w:t>
      </w:r>
      <w:r w:rsidR="00F86F75">
        <w:t>is necessary to ensure adequate security risk management,</w:t>
      </w:r>
      <w:r>
        <w:t xml:space="preserve"> including </w:t>
      </w:r>
      <w:r w:rsidR="00F86F75">
        <w:t>modifying operating instructions, systems, procedures, training, infrastructure, or equipment and identifying</w:t>
      </w:r>
      <w:r>
        <w:t xml:space="preserve"> indicative budgets and responsible </w:t>
      </w:r>
      <w:r w:rsidR="00F86F75">
        <w:t>actioners</w:t>
      </w:r>
      <w:r>
        <w:t>.</w:t>
      </w:r>
    </w:p>
    <w:p w14:paraId="3B15BBF2" w14:textId="47E27C17" w:rsidR="00204C42" w:rsidRDefault="003C7A47" w:rsidP="003C7A47">
      <w:pPr>
        <w:pStyle w:val="Number"/>
        <w:numPr>
          <w:ilvl w:val="0"/>
          <w:numId w:val="28"/>
        </w:numPr>
      </w:pPr>
      <w:r>
        <w:t xml:space="preserve">Reference relevant standards, legislation, and </w:t>
      </w:r>
      <w:r w:rsidR="004032BF">
        <w:t>PUCSL</w:t>
      </w:r>
      <w:r>
        <w:t xml:space="preserve"> specific operational requirements and identify mandatory standards.</w:t>
      </w:r>
    </w:p>
    <w:p w14:paraId="49A377A7" w14:textId="7CCC0CD8" w:rsidR="003C7A47" w:rsidRDefault="003C7A47" w:rsidP="003C7A47">
      <w:pPr>
        <w:pStyle w:val="Number"/>
        <w:numPr>
          <w:ilvl w:val="0"/>
          <w:numId w:val="28"/>
        </w:numPr>
      </w:pPr>
      <w:r>
        <w:t xml:space="preserve">Related issues such as natural disasters, physical resilience and safety interfaces within the context of cybersecurity risk management.</w:t>
      </w:r>
    </w:p>
    <w:p w14:paraId="3F18E21D" w14:textId="77777777" w:rsidR="00D5348B" w:rsidRDefault="00D5348B" w:rsidP="00D5348B">
      <w:pPr>
        <w:pStyle w:val="Number"/>
        <w:numPr>
          <w:ilvl w:val="0"/>
          <w:numId w:val="0"/>
        </w:numPr>
        <w:ind w:left="720" w:hanging="360"/>
      </w:pPr>
    </w:p>
    <w:p w14:paraId="2210B1B7" w14:textId="77777777" w:rsidR="00D5348B" w:rsidRDefault="00D5348B" w:rsidP="00D5348B">
      <w:pPr>
        <w:ind w:left="709"/>
      </w:pPr>
    </w:p>
    <w:p>
      <w:pPr>
        <w:pStyle w:val="Level1Heading"/>
      </w:pPr>
      <w:r>
        <w:t xml:space="preserve">Annex — Submission Compliance Checklist</w:t>
      </w:r>
    </w:p>
    <w:tbl>
      <w:tblPr>
        <w:tblStyle w:val="TableGrid"/>
        <w:tblW w:w="9360" w:type="dxa"/>
        <w:tblLayout w:type="fixed"/>
      </w:tblPr>
      <w:tblGrid>
        <w:gridCol w:w="1300"/>
        <w:gridCol w:w="5060"/>
        <w:gridCol w:w="3000"/>
      </w:tblGrid>
      <w:tr>
        <w:tc>
          <w:tcPr>
            <w:tcW w:w="1300" w:type="dxa"/>
          </w:tcPr>
          <w:p>
            <w:r>
              <w:rPr>
                <w:b/>
              </w:rPr>
              <w:t xml:space="preserve">Form</w:t>
            </w:r>
          </w:p>
        </w:tc>
        <w:tc>
          <w:tcPr>
            <w:tcW w:w="5060" w:type="dxa"/>
          </w:tcPr>
          <w:p>
            <w:r>
              <w:rPr>
                <w:b/>
              </w:rPr>
              <w:t xml:space="preserve">Requirement</w:t>
            </w:r>
          </w:p>
        </w:tc>
        <w:tc>
          <w:tcPr>
            <w:tcW w:w="3000" w:type="dxa"/>
          </w:tcPr>
          <w:p>
            <w:r>
              <w:rPr>
                <w:b/>
              </w:rPr>
              <w:t xml:space="preserve">Status</w:t>
            </w:r>
          </w:p>
        </w:tc>
      </w:tr>
      <w:tr>
        <w:tc>
          <w:tcPr>
            <w:tcW w:w="1300" w:type="dxa"/>
          </w:tcPr>
          <w:p>
            <w:r>
              <w:t xml:space="preserve">TECH-1</w:t>
            </w:r>
          </w:p>
        </w:tc>
        <w:tc>
          <w:tcPr>
            <w:tcW w:w="5060" w:type="dxa"/>
          </w:tcPr>
          <w:p>
            <w:r>
              <w:t xml:space="preserve">Technical Proposal Submission Form, signed by authorised signatory</w:t>
            </w:r>
          </w:p>
        </w:tc>
        <w:tc>
          <w:tcPr>
            <w:tcW w:w="3000" w:type="dxa"/>
          </w:tcPr>
          <w:p>
            <w:r>
              <w:t xml:space="preserve">Drafted — signature &amp; PoA required</w:t>
            </w:r>
          </w:p>
        </w:tc>
      </w:tr>
      <w:tr>
        <w:tc>
          <w:tcPr>
            <w:tcW w:w="1300" w:type="dxa"/>
          </w:tcPr>
          <w:p>
            <w:r>
              <w:t xml:space="preserve">TECH-2</w:t>
            </w:r>
          </w:p>
        </w:tc>
        <w:tc>
          <w:tcPr>
            <w:tcW w:w="5060" w:type="dxa"/>
          </w:tcPr>
          <w:p>
            <w:r>
              <w:t xml:space="preserve">Organisation &amp; experience incl. BR certificates, turnover ≥ Rs. 60M/yr audited</w:t>
            </w:r>
          </w:p>
        </w:tc>
        <w:tc>
          <w:tcPr>
            <w:tcW w:w="3000" w:type="dxa"/>
          </w:tcPr>
          <w:p>
            <w:r>
              <w:t xml:space="preserve">Partially complete — turnover figures &amp; Malta documents outstanding</w:t>
            </w:r>
          </w:p>
        </w:tc>
      </w:tr>
      <w:tr>
        <w:tc>
          <w:tcPr>
            <w:tcW w:w="1300" w:type="dxa"/>
          </w:tcPr>
          <w:p>
            <w:r>
              <w:t xml:space="preserve">TECH-3</w:t>
            </w:r>
          </w:p>
        </w:tc>
        <w:tc>
          <w:tcPr>
            <w:tcW w:w="5060" w:type="dxa"/>
          </w:tcPr>
          <w:p>
            <w:r>
              <w:t xml:space="preserve">Comments on TOR (optional)</w:t>
            </w:r>
          </w:p>
        </w:tc>
        <w:tc>
          <w:tcPr>
            <w:tcW w:w="3000" w:type="dxa"/>
          </w:tcPr>
          <w:p>
            <w:r>
              <w:t xml:space="preserve">Included in this document</w:t>
            </w:r>
          </w:p>
        </w:tc>
      </w:tr>
      <w:tr>
        <w:tc>
          <w:tcPr>
            <w:tcW w:w="1300" w:type="dxa"/>
          </w:tcPr>
          <w:p>
            <w:r>
              <w:t xml:space="preserve">TECH-4</w:t>
            </w:r>
          </w:p>
        </w:tc>
        <w:tc>
          <w:tcPr>
            <w:tcW w:w="5060" w:type="dxa"/>
          </w:tcPr>
          <w:p>
            <w:r>
              <w:t xml:space="preserve">Methodology: approach, C2M2, IEC 62443, NIST CSF, governance &amp; audit framework, work plan, organisation</w:t>
            </w:r>
          </w:p>
        </w:tc>
        <w:tc>
          <w:tcPr>
            <w:tcW w:w="3000" w:type="dxa"/>
          </w:tcPr>
          <w:p>
            <w:r>
              <w:t xml:space="preserve">Included in this document</w:t>
            </w:r>
          </w:p>
        </w:tc>
      </w:tr>
      <w:tr>
        <w:tc>
          <w:tcPr>
            <w:tcW w:w="1300" w:type="dxa"/>
          </w:tcPr>
          <w:p>
            <w:r>
              <w:t xml:space="preserve">TECH-5</w:t>
            </w:r>
          </w:p>
        </w:tc>
        <w:tc>
          <w:tcPr>
            <w:tcW w:w="5060" w:type="dxa"/>
          </w:tcPr>
          <w:p>
            <w:r>
              <w:t xml:space="preserve">Team composition &amp; task assignments</w:t>
            </w:r>
          </w:p>
        </w:tc>
        <w:tc>
          <w:tcPr>
            <w:tcW w:w="3000" w:type="dxa"/>
          </w:tcPr>
          <w:p>
            <w:r>
              <w:t xml:space="preserve">Included — named experts to be confirmed</w:t>
            </w:r>
          </w:p>
        </w:tc>
      </w:tr>
      <w:tr>
        <w:tc>
          <w:tcPr>
            <w:tcW w:w="1300" w:type="dxa"/>
          </w:tcPr>
          <w:p>
            <w:r>
              <w:t xml:space="preserve">TECH-6</w:t>
            </w:r>
          </w:p>
        </w:tc>
        <w:tc>
          <w:tcPr>
            <w:tcW w:w="5060" w:type="dxa"/>
          </w:tcPr>
          <w:p>
            <w:r>
              <w:t xml:space="preserve">Signed CVs, one per position</w:t>
            </w:r>
          </w:p>
        </w:tc>
        <w:tc>
          <w:tcPr>
            <w:tcW w:w="3000" w:type="dxa"/>
          </w:tcPr>
          <w:p>
            <w:r>
              <w:t xml:space="preserve">Outstanding</w:t>
            </w:r>
          </w:p>
        </w:tc>
      </w:tr>
      <w:tr>
        <w:tc>
          <w:tcPr>
            <w:tcW w:w="1300" w:type="dxa"/>
          </w:tcPr>
          <w:p>
            <w:r>
              <w:t xml:space="preserve">TECH-7</w:t>
            </w:r>
          </w:p>
        </w:tc>
        <w:tc>
          <w:tcPr>
            <w:tcW w:w="5060" w:type="dxa"/>
          </w:tcPr>
          <w:p>
            <w:r>
              <w:t xml:space="preserve">Staffing schedule bar chart (office/field, local/foreign, staff-months)</w:t>
            </w:r>
          </w:p>
        </w:tc>
        <w:tc>
          <w:tcPr>
            <w:tcW w:w="3000" w:type="dxa"/>
          </w:tcPr>
          <w:p>
            <w:r>
              <w:t xml:space="preserve">To be produced from Team Composition table</w:t>
            </w:r>
          </w:p>
        </w:tc>
      </w:tr>
      <w:tr>
        <w:tc>
          <w:tcPr>
            <w:tcW w:w="1300" w:type="dxa"/>
          </w:tcPr>
          <w:p>
            <w:r>
              <w:t xml:space="preserve">TECH-8</w:t>
            </w:r>
          </w:p>
        </w:tc>
        <w:tc>
          <w:tcPr>
            <w:tcW w:w="5060" w:type="dxa"/>
          </w:tcPr>
          <w:p>
            <w:r>
              <w:t xml:space="preserve">Work schedule Gantt with deliverables &amp; milestones</w:t>
            </w:r>
          </w:p>
        </w:tc>
        <w:tc>
          <w:tcPr>
            <w:tcW w:w="3000" w:type="dxa"/>
          </w:tcPr>
          <w:p>
            <w:r>
              <w:t xml:space="preserve">Per Project Timeframe Summary — to be formatted</w:t>
            </w:r>
          </w:p>
        </w:tc>
      </w:tr>
      <w:tr>
        <w:tc>
          <w:tcPr>
            <w:tcW w:w="1300" w:type="dxa"/>
          </w:tcPr>
          <w:p>
            <w:r>
              <w:t xml:space="preserve">FIN-1 to FIN-5</w:t>
            </w:r>
          </w:p>
        </w:tc>
        <w:tc>
          <w:tcPr>
            <w:tcW w:w="5060" w:type="dxa"/>
          </w:tcPr>
          <w:p>
            <w:r>
              <w:t xml:space="preserve">Financial forms incl. per-expert remuneration and breakdown of cost by activity</w:t>
            </w:r>
          </w:p>
        </w:tc>
        <w:tc>
          <w:tcPr>
            <w:tcW w:w="3000" w:type="dxa"/>
          </w:tcPr>
          <w:p>
            <w:r>
              <w:t xml:space="preserve">Separate sealed envelope — see internal note at Costs Table</w:t>
            </w:r>
          </w:p>
        </w:tc>
      </w:tr>
      <w:tr>
        <w:tc>
          <w:tcPr>
            <w:tcW w:w="1300" w:type="dxa"/>
          </w:tcPr>
          <w:p>
            <w:r>
              <w:t xml:space="preserve">Packaging</w:t>
            </w:r>
          </w:p>
        </w:tc>
        <w:tc>
          <w:tcPr>
            <w:tcW w:w="5060" w:type="dxa"/>
          </w:tcPr>
          <w:p>
            <w:r>
              <w:t xml:space="preserve">1 original + 2 copies technical, 1 original financial, USB soft copy, two sealed envelopes in one outer</w:t>
            </w:r>
          </w:p>
        </w:tc>
        <w:tc>
          <w:tcPr>
            <w:tcW w:w="3000" w:type="dxa"/>
          </w:tcPr>
          <w:p>
            <w:r>
              <w:t xml:space="preserve">Noted for submission</w:t>
            </w:r>
          </w:p>
        </w:tc>
      </w:tr>
    </w:tbl>
    <w:p/>
    <w:p w14:paraId="757E8F58" w14:textId="09F47A47" w:rsidR="00D5348B" w:rsidRDefault="00D5348B" w:rsidP="00D5348B">
      <w:pPr>
        <w:ind w:left="709"/>
      </w:pPr>
      <w:r>
        <w:t xml:space="preserve">SIGNED for and on behalf of </w:t>
      </w:r>
      <w:r w:rsidR="00D35CAF">
        <w:t xml:space="preserve">Platinum High Integrity Technologies Limited (Malta) and EML </w:t>
      </w:r>
      <w:r w:rsidR="00BE0EB0">
        <w:t xml:space="preserve">Consultants </w:t>
      </w:r>
      <w:proofErr w:type="gramStart"/>
      <w:r w:rsidR="00BE0EB0">
        <w:t xml:space="preserve">PLC </w:t>
      </w:r>
      <w:r>
        <w:t xml:space="preserve"> by</w:t>
      </w:r>
      <w:proofErr w:type="gramEnd"/>
      <w:r>
        <w:t>:</w:t>
      </w:r>
    </w:p>
    <w:p w14:paraId="134E2951" w14:textId="3CA18356" w:rsidR="00D5348B" w:rsidRDefault="00D5348B" w:rsidP="00D5348B">
      <w:pPr>
        <w:ind w:left="709"/>
      </w:pPr>
      <w:r w:rsidRPr="00A2294B">
        <w:fldChar w:fldCharType="begin">
          <w:ffData>
            <w:name w:val=""/>
            <w:enabled/>
            <w:calcOnExit w:val="0"/>
            <w:textInput>
              <w:default w:val="&lt;&lt;Name and Title of person signing for the Licensor&gt;&gt;"/>
              <w:maxLength w:val="100"/>
            </w:textInput>
          </w:ffData>
        </w:fldChar>
      </w:r>
      <w:r w:rsidRPr="00A2294B">
        <w:instrText xml:space="preserve"> FORMTEXT </w:instrText>
      </w:r>
      <w:r w:rsidRPr="00A2294B">
        <w:fldChar w:fldCharType="separate"/>
      </w:r>
      <w:r w:rsidRPr="00A2294B">
        <w:rPr>
          <w:noProof/>
        </w:rPr>
        <w:t xml:space="preserve">&lt;&lt;Name and Title of person signing for </w:t>
      </w:r>
      <w:r w:rsidR="00D35CAF">
        <w:rPr>
          <w:noProof/>
        </w:rPr>
        <w:t xml:space="preserve">Platinum High Integrity Technologies Limited (Malta) and EML </w:t>
      </w:r>
      <w:r w:rsidR="00BE0EB0">
        <w:rPr>
          <w:noProof/>
        </w:rPr>
        <w:t xml:space="preserve">Consultants PLC </w:t>
      </w:r>
      <w:r w:rsidRPr="00A2294B">
        <w:rPr>
          <w:noProof/>
        </w:rPr>
        <w:t>&gt;&gt;</w:t>
      </w:r>
      <w:r w:rsidRPr="00A2294B">
        <w:fldChar w:fldCharType="end"/>
      </w:r>
    </w:p>
    <w:p w14:paraId="3893D621" w14:textId="77777777" w:rsidR="00D5348B" w:rsidRDefault="00D5348B" w:rsidP="00D5348B">
      <w:pPr>
        <w:ind w:left="709"/>
      </w:pPr>
    </w:p>
    <w:p w14:paraId="1A8A7154" w14:textId="77777777" w:rsidR="00D5348B" w:rsidRDefault="00D5348B" w:rsidP="00D5348B">
      <w:pPr>
        <w:ind w:left="709"/>
      </w:pPr>
      <w:r>
        <w:t>__________________________________________________</w:t>
      </w:r>
      <w:r>
        <w:br/>
        <w:t>Authorised Signature</w:t>
      </w:r>
    </w:p>
    <w:p w14:paraId="4C2A65FA" w14:textId="77777777" w:rsidR="00D5348B" w:rsidRDefault="00D5348B" w:rsidP="00D5348B">
      <w:pPr>
        <w:ind w:left="709"/>
      </w:pPr>
      <w:r>
        <w:t>Date: ____________</w:t>
      </w:r>
    </w:p>
    <w:p w14:paraId="11970615" w14:textId="77777777" w:rsidR="00D5348B" w:rsidRDefault="00D5348B" w:rsidP="00D5348B">
      <w:pPr>
        <w:ind w:left="709"/>
      </w:pPr>
    </w:p>
    <w:p w14:paraId="69D11A6F" w14:textId="77777777" w:rsidR="00D5348B" w:rsidRDefault="00D5348B" w:rsidP="00D5348B">
      <w:pPr>
        <w:ind w:left="709"/>
      </w:pPr>
      <w:r>
        <w:t>SIGNED for and on behalf of the Client by:</w:t>
      </w:r>
    </w:p>
    <w:p w14:paraId="15F0071E" w14:textId="77777777" w:rsidR="00D5348B" w:rsidRDefault="00D5348B" w:rsidP="00D5348B">
      <w:pPr>
        <w:ind w:left="709"/>
      </w:pPr>
      <w:r w:rsidRPr="00A2294B">
        <w:fldChar w:fldCharType="begin">
          <w:ffData>
            <w:name w:val=""/>
            <w:enabled/>
            <w:calcOnExit w:val="0"/>
            <w:textInput>
              <w:default w:val="&lt;&lt;Name and Title of person signing for the Licensee&gt;&gt;"/>
              <w:maxLength w:val="100"/>
            </w:textInput>
          </w:ffData>
        </w:fldChar>
      </w:r>
      <w:r w:rsidRPr="00A2294B">
        <w:instrText xml:space="preserve"> FORMTEXT </w:instrText>
      </w:r>
      <w:r w:rsidRPr="00A2294B">
        <w:fldChar w:fldCharType="separate"/>
      </w:r>
      <w:r w:rsidRPr="00A2294B">
        <w:rPr>
          <w:noProof/>
        </w:rPr>
        <w:t>&lt;&lt;Name and Title of person signing for the Client&gt;&gt;</w:t>
      </w:r>
      <w:r w:rsidRPr="00A2294B">
        <w:fldChar w:fldCharType="end"/>
      </w:r>
    </w:p>
    <w:p w14:paraId="344DC7DD" w14:textId="77777777" w:rsidR="00D5348B" w:rsidRDefault="00D5348B" w:rsidP="00D5348B">
      <w:pPr>
        <w:ind w:left="709"/>
      </w:pPr>
    </w:p>
    <w:p w14:paraId="26F94B71" w14:textId="77777777" w:rsidR="00D5348B" w:rsidRDefault="00D5348B" w:rsidP="00D5348B">
      <w:pPr>
        <w:ind w:left="709"/>
      </w:pPr>
      <w:r>
        <w:t>__________________________________________________</w:t>
      </w:r>
      <w:r>
        <w:br/>
        <w:t>Authorised Signature</w:t>
      </w:r>
    </w:p>
    <w:p w14:paraId="44D005F1" w14:textId="77777777" w:rsidR="00D5348B" w:rsidRDefault="00D5348B" w:rsidP="00D5348B">
      <w:pPr>
        <w:ind w:left="709"/>
      </w:pPr>
      <w:r>
        <w:t>Date: ____________</w:t>
      </w:r>
    </w:p>
    <w:p w14:paraId="1516ADA8" w14:textId="77777777" w:rsidR="00D5348B" w:rsidRDefault="00D5348B" w:rsidP="00D5348B">
      <w:pPr>
        <w:pStyle w:val="Number"/>
        <w:numPr>
          <w:ilvl w:val="0"/>
          <w:numId w:val="0"/>
        </w:numPr>
        <w:ind w:left="720" w:hanging="360"/>
      </w:pPr>
    </w:p>
    <w:p w14:paraId="34C73483" w14:textId="77777777" w:rsidR="003C7A47" w:rsidRDefault="003C7A47" w:rsidP="003C7A47"/>
    <w:sectPr w:rsidR="003C7A47" w:rsidSect="00B6220E">
      <w:headerReference w:type="default" r:id="rId10"/>
      <w:footerReference w:type="default" r:id="rId11"/>
      <w:pgSz w:w="11910" w:h="16840"/>
      <w:pgMar w:top="720" w:right="720" w:bottom="720" w:left="720" w:header="283" w:footer="1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8418F" w14:textId="77777777" w:rsidR="007E099B" w:rsidRDefault="007E099B" w:rsidP="00E02172">
      <w:r>
        <w:separator/>
      </w:r>
    </w:p>
  </w:endnote>
  <w:endnote w:type="continuationSeparator" w:id="0">
    <w:p w14:paraId="2DCAB957" w14:textId="77777777" w:rsidR="007E099B" w:rsidRDefault="007E099B" w:rsidP="00E02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Sans">
    <w:altName w:val="Calibri"/>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Sans Light">
    <w:altName w:val="Calibri"/>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Nunito Sans SemiBold">
    <w:charset w:val="00"/>
    <w:family w:val="auto"/>
    <w:pitch w:val="variable"/>
    <w:sig w:usb0="A00002FF" w:usb1="5000204B" w:usb2="00000000" w:usb3="00000000" w:csb0="00000197" w:csb1="00000000"/>
  </w:font>
  <w:font w:name="PMingLiU">
    <w:panose1 w:val="02010601000101010101"/>
    <w:charset w:val="88"/>
    <w:family w:val="roman"/>
    <w:pitch w:val="variable"/>
    <w:sig w:usb0="A00002FF" w:usb1="28CFFCFA" w:usb2="00000016" w:usb3="00000000" w:csb0="00100001" w:csb1="00000000"/>
  </w:font>
  <w:font w:name="Futura Bk">
    <w:altName w:val="Century Gothic"/>
    <w:charset w:val="00"/>
    <w:family w:val="swiss"/>
    <w:pitch w:val="variable"/>
    <w:sig w:usb0="A00002AF" w:usb1="5000204A" w:usb2="00000000" w:usb3="00000000" w:csb0="0000009F" w:csb1="00000000"/>
  </w:font>
  <w:font w:name="Aptos">
    <w:charset w:val="00"/>
    <w:family w:val="swiss"/>
    <w:pitch w:val="variable"/>
    <w:sig w:usb0="20000287" w:usb1="00000003" w:usb2="00000000" w:usb3="00000000" w:csb0="0000019F" w:csb1="00000000"/>
  </w:font>
  <w:font w:name="Helvetica,Arial">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0" w:type="pct"/>
      <w:jc w:val="right"/>
      <w:tblCellMar>
        <w:top w:w="115" w:type="dxa"/>
        <w:left w:w="115" w:type="dxa"/>
        <w:bottom w:w="115" w:type="dxa"/>
        <w:right w:w="115" w:type="dxa"/>
      </w:tblCellMar>
      <w:tblLook w:val="04A0" w:firstRow="1" w:lastRow="0" w:firstColumn="1" w:lastColumn="0" w:noHBand="0" w:noVBand="1"/>
    </w:tblPr>
    <w:tblGrid>
      <w:gridCol w:w="4480"/>
      <w:gridCol w:w="2585"/>
      <w:gridCol w:w="2734"/>
      <w:gridCol w:w="566"/>
    </w:tblGrid>
    <w:tr w:rsidR="00E02172" w:rsidRPr="00E02172" w14:paraId="2606E1EC" w14:textId="77777777" w:rsidTr="00E02172">
      <w:trPr>
        <w:jc w:val="right"/>
      </w:trPr>
      <w:tc>
        <w:tcPr>
          <w:tcW w:w="4856" w:type="dxa"/>
          <w:vAlign w:val="center"/>
        </w:tcPr>
        <w:p w14:paraId="783D2EC1" w14:textId="77777777" w:rsidR="00E02172" w:rsidRPr="00E02172" w:rsidRDefault="00E02172" w:rsidP="00E02172">
          <w:pPr>
            <w:pStyle w:val="Footer"/>
            <w:jc w:val="left"/>
            <w:rPr>
              <w:color w:val="262626" w:themeColor="text1" w:themeTint="D9"/>
              <w:sz w:val="20"/>
            </w:rPr>
          </w:pPr>
          <w:r w:rsidRPr="00E02172">
            <w:rPr>
              <w:color w:val="262626" w:themeColor="text1" w:themeTint="D9"/>
              <w:sz w:val="20"/>
            </w:rPr>
            <w:t>Client Confidential</w:t>
          </w:r>
        </w:p>
      </w:tc>
      <w:tc>
        <w:tcPr>
          <w:tcW w:w="2865" w:type="dxa"/>
          <w:vAlign w:val="center"/>
        </w:tcPr>
        <w:p w14:paraId="5E378DEF" w14:textId="77777777" w:rsidR="00E02172" w:rsidRPr="00E02172" w:rsidRDefault="00E02172">
          <w:pPr>
            <w:pStyle w:val="Footer"/>
            <w:jc w:val="center"/>
            <w:rPr>
              <w:color w:val="262626" w:themeColor="text1" w:themeTint="D9"/>
              <w:sz w:val="20"/>
            </w:rPr>
          </w:pPr>
        </w:p>
      </w:tc>
      <w:tc>
        <w:tcPr>
          <w:tcW w:w="3032" w:type="dxa"/>
          <w:vAlign w:val="center"/>
        </w:tcPr>
        <w:p w14:paraId="144CF25A" w14:textId="77777777" w:rsidR="00E02172" w:rsidRPr="00E02172" w:rsidRDefault="00E02172">
          <w:pPr>
            <w:pStyle w:val="Footer"/>
            <w:jc w:val="center"/>
            <w:rPr>
              <w:color w:val="262626" w:themeColor="text1" w:themeTint="D9"/>
              <w:sz w:val="20"/>
            </w:rPr>
          </w:pPr>
        </w:p>
      </w:tc>
      <w:tc>
        <w:tcPr>
          <w:tcW w:w="592" w:type="dxa"/>
          <w:shd w:val="clear" w:color="auto" w:fill="398E98" w:themeFill="accent2" w:themeFillShade="BF"/>
          <w:vAlign w:val="center"/>
        </w:tcPr>
        <w:p w14:paraId="66FA2914" w14:textId="77777777" w:rsidR="00E02172" w:rsidRPr="00E02172" w:rsidRDefault="00E02172">
          <w:pPr>
            <w:pStyle w:val="Footer"/>
            <w:jc w:val="center"/>
            <w:rPr>
              <w:color w:val="FFFFFF" w:themeColor="background1"/>
              <w:sz w:val="20"/>
            </w:rPr>
          </w:pPr>
          <w:r w:rsidRPr="00E02172">
            <w:rPr>
              <w:color w:val="FFFFFF" w:themeColor="background1"/>
              <w:sz w:val="20"/>
            </w:rPr>
            <w:fldChar w:fldCharType="begin"/>
          </w:r>
          <w:r w:rsidRPr="00E02172">
            <w:rPr>
              <w:color w:val="FFFFFF" w:themeColor="background1"/>
              <w:sz w:val="20"/>
            </w:rPr>
            <w:instrText>PAGE   \* MERGEFORMAT</w:instrText>
          </w:r>
          <w:r w:rsidRPr="00E02172">
            <w:rPr>
              <w:color w:val="FFFFFF" w:themeColor="background1"/>
              <w:sz w:val="20"/>
            </w:rPr>
            <w:fldChar w:fldCharType="separate"/>
          </w:r>
          <w:r w:rsidRPr="00E02172">
            <w:rPr>
              <w:color w:val="FFFFFF" w:themeColor="background1"/>
              <w:sz w:val="20"/>
            </w:rPr>
            <w:t>2</w:t>
          </w:r>
          <w:r w:rsidRPr="00E02172">
            <w:rPr>
              <w:color w:val="FFFFFF" w:themeColor="background1"/>
              <w:sz w:val="20"/>
            </w:rPr>
            <w:fldChar w:fldCharType="end"/>
          </w:r>
        </w:p>
      </w:tc>
    </w:tr>
  </w:tbl>
  <w:p w14:paraId="7115E5A9" w14:textId="77777777" w:rsidR="00E02172" w:rsidRDefault="00E02172" w:rsidP="00E02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02E2C" w14:textId="77777777" w:rsidR="007E099B" w:rsidRDefault="007E099B" w:rsidP="00E02172">
      <w:r>
        <w:separator/>
      </w:r>
    </w:p>
  </w:footnote>
  <w:footnote w:type="continuationSeparator" w:id="0">
    <w:p w14:paraId="40F51594" w14:textId="77777777" w:rsidR="007E099B" w:rsidRDefault="007E099B" w:rsidP="00E02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58B6C0" w:themeFill="accent2"/>
      <w:tblCellMar>
        <w:top w:w="115" w:type="dxa"/>
        <w:left w:w="115" w:type="dxa"/>
        <w:bottom w:w="115" w:type="dxa"/>
        <w:right w:w="115" w:type="dxa"/>
      </w:tblCellMar>
      <w:tblLook w:val="04A0" w:firstRow="1" w:lastRow="0" w:firstColumn="1" w:lastColumn="0" w:noHBand="0" w:noVBand="1"/>
    </w:tblPr>
    <w:tblGrid>
      <w:gridCol w:w="737"/>
      <w:gridCol w:w="9733"/>
    </w:tblGrid>
    <w:tr w:rsidR="00E02172" w:rsidRPr="00E02172" w14:paraId="47F58CBE" w14:textId="77777777" w:rsidTr="00056449">
      <w:trPr>
        <w:trHeight w:val="227"/>
        <w:jc w:val="right"/>
      </w:trPr>
      <w:tc>
        <w:tcPr>
          <w:tcW w:w="0" w:type="auto"/>
          <w:shd w:val="clear" w:color="auto" w:fill="58B6C0" w:themeFill="accent2"/>
          <w:vAlign w:val="center"/>
        </w:tcPr>
        <w:p w14:paraId="70B10422" w14:textId="77777777" w:rsidR="00E02172" w:rsidRPr="00E02172" w:rsidRDefault="00E02172">
          <w:pPr>
            <w:pStyle w:val="Header"/>
            <w:rPr>
              <w:caps/>
              <w:color w:val="FFFFFF" w:themeColor="background1"/>
            </w:rPr>
          </w:pPr>
        </w:p>
      </w:tc>
      <w:tc>
        <w:tcPr>
          <w:tcW w:w="0" w:type="auto"/>
          <w:shd w:val="clear" w:color="auto" w:fill="58B6C0" w:themeFill="accent2"/>
          <w:vAlign w:val="center"/>
        </w:tcPr>
        <w:p w14:paraId="51F89193" w14:textId="6B4D0440" w:rsidR="00E02172" w:rsidRPr="00CD1565" w:rsidRDefault="00E02172">
          <w:pPr>
            <w:pStyle w:val="Header"/>
            <w:jc w:val="right"/>
            <w:rPr>
              <w:b/>
              <w:bCs/>
              <w:caps/>
              <w:color w:val="FFFFFF" w:themeColor="background1"/>
            </w:rPr>
          </w:pPr>
          <w:r w:rsidRPr="00CD1565">
            <w:rPr>
              <w:b/>
              <w:bCs/>
              <w:caps/>
              <w:color w:val="FFFFFF" w:themeColor="background1"/>
            </w:rPr>
            <w:t xml:space="preserve"> </w:t>
          </w:r>
          <w:sdt>
            <w:sdtPr>
              <w:rPr>
                <w:b/>
                <w:bCs/>
                <w:caps/>
                <w:color w:val="FFFFFF" w:themeColor="background1"/>
              </w:rPr>
              <w:alias w:val="Title"/>
              <w:tag w:val=""/>
              <w:id w:val="-773790484"/>
              <w:placeholder>
                <w:docPart w:val="7DB82C4A335244558DBE80AE91B95970"/>
              </w:placeholder>
              <w:dataBinding w:prefixMappings="xmlns:ns0='http://purl.org/dc/elements/1.1/' xmlns:ns1='http://schemas.openxmlformats.org/package/2006/metadata/core-properties' " w:xpath="/ns1:coreProperties[1]/ns0:title[1]" w:storeItemID="{6C3C8BC8-F283-45AE-878A-BAB7291924A1}"/>
              <w:text/>
            </w:sdtPr>
            <w:sdtContent>
              <w:r w:rsidR="00AE658F">
                <w:rPr>
                  <w:b/>
                  <w:bCs/>
                  <w:caps/>
                  <w:color w:val="FFFFFF" w:themeColor="background1"/>
                </w:rPr>
                <w:t>Risk Assessment Scope</w:t>
              </w:r>
            </w:sdtContent>
          </w:sdt>
        </w:p>
      </w:tc>
    </w:tr>
  </w:tbl>
  <w:p w14:paraId="322534C8" w14:textId="77777777" w:rsidR="00E02172" w:rsidRDefault="00E02172" w:rsidP="00DA6A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00D87A01"/>
    <w:multiLevelType w:val="hybridMultilevel"/>
    <w:tmpl w:val="09E856FA"/>
    <w:lvl w:ilvl="0" w:tplc="145E9DA4">
      <w:start w:val="1"/>
      <w:numFmt w:val="upperLetter"/>
      <w:pStyle w:val="Appendix"/>
      <w:lvlText w:val="Appendix %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7685D49"/>
    <w:multiLevelType w:val="multilevel"/>
    <w:tmpl w:val="1360AB7C"/>
    <w:lvl w:ilvl="0">
      <w:start w:val="1"/>
      <w:numFmt w:val="decimal"/>
      <w:lvlText w:val="%1."/>
      <w:lvlJc w:val="left"/>
      <w:pPr>
        <w:ind w:left="786" w:hanging="567"/>
      </w:pPr>
      <w:rPr>
        <w:rFonts w:asciiTheme="minorHAnsi" w:eastAsia="Calibri" w:hAnsiTheme="minorHAnsi" w:cs="Calibri" w:hint="default"/>
        <w:b/>
        <w:bCs/>
        <w:i w:val="0"/>
        <w:iCs w:val="0"/>
        <w:spacing w:val="-1"/>
        <w:w w:val="99"/>
        <w:sz w:val="28"/>
        <w:szCs w:val="28"/>
        <w:lang w:val="en-US" w:eastAsia="en-US" w:bidi="ar-SA"/>
      </w:rPr>
    </w:lvl>
    <w:lvl w:ilvl="1">
      <w:start w:val="1"/>
      <w:numFmt w:val="decimal"/>
      <w:pStyle w:val="AnnexNormStyle"/>
      <w:lvlText w:val="%1.%2"/>
      <w:lvlJc w:val="left"/>
      <w:pPr>
        <w:ind w:left="786" w:hanging="567"/>
      </w:pPr>
      <w:rPr>
        <w:rFonts w:asciiTheme="minorHAnsi" w:eastAsia="Calibri" w:hAnsiTheme="minorHAnsi" w:cs="Calibri" w:hint="default"/>
        <w:b w:val="0"/>
        <w:bCs w:val="0"/>
        <w:i w:val="0"/>
        <w:iCs w:val="0"/>
        <w:w w:val="100"/>
        <w:sz w:val="22"/>
        <w:szCs w:val="22"/>
        <w:lang w:val="en-US" w:eastAsia="en-US" w:bidi="ar-SA"/>
      </w:rPr>
    </w:lvl>
    <w:lvl w:ilvl="2">
      <w:start w:val="1"/>
      <w:numFmt w:val="decimal"/>
      <w:lvlText w:val="%1.%2.%3"/>
      <w:lvlJc w:val="left"/>
      <w:pPr>
        <w:ind w:left="1497" w:hanging="721"/>
      </w:pPr>
      <w:rPr>
        <w:rFonts w:asciiTheme="minorHAnsi" w:eastAsia="Calibri" w:hAnsiTheme="minorHAnsi" w:cs="Calibri" w:hint="default"/>
        <w:b w:val="0"/>
        <w:bCs w:val="0"/>
        <w:i w:val="0"/>
        <w:iCs w:val="0"/>
        <w:w w:val="100"/>
        <w:sz w:val="22"/>
        <w:szCs w:val="22"/>
        <w:lang w:val="en-US" w:eastAsia="en-US" w:bidi="ar-SA"/>
      </w:rPr>
    </w:lvl>
    <w:lvl w:ilvl="3">
      <w:numFmt w:val="bullet"/>
      <w:lvlText w:val="•"/>
      <w:lvlJc w:val="left"/>
      <w:pPr>
        <w:ind w:left="3568" w:hanging="721"/>
      </w:pPr>
      <w:rPr>
        <w:rFonts w:hint="default"/>
        <w:lang w:val="en-US" w:eastAsia="en-US" w:bidi="ar-SA"/>
      </w:rPr>
    </w:lvl>
    <w:lvl w:ilvl="4">
      <w:numFmt w:val="bullet"/>
      <w:lvlText w:val="•"/>
      <w:lvlJc w:val="left"/>
      <w:pPr>
        <w:ind w:left="4602" w:hanging="721"/>
      </w:pPr>
      <w:rPr>
        <w:rFonts w:hint="default"/>
        <w:lang w:val="en-US" w:eastAsia="en-US" w:bidi="ar-SA"/>
      </w:rPr>
    </w:lvl>
    <w:lvl w:ilvl="5">
      <w:numFmt w:val="bullet"/>
      <w:lvlText w:val="•"/>
      <w:lvlJc w:val="left"/>
      <w:pPr>
        <w:ind w:left="5636" w:hanging="721"/>
      </w:pPr>
      <w:rPr>
        <w:rFonts w:hint="default"/>
        <w:lang w:val="en-US" w:eastAsia="en-US" w:bidi="ar-SA"/>
      </w:rPr>
    </w:lvl>
    <w:lvl w:ilvl="6">
      <w:numFmt w:val="bullet"/>
      <w:lvlText w:val="•"/>
      <w:lvlJc w:val="left"/>
      <w:pPr>
        <w:ind w:left="6670" w:hanging="721"/>
      </w:pPr>
      <w:rPr>
        <w:rFonts w:hint="default"/>
        <w:lang w:val="en-US" w:eastAsia="en-US" w:bidi="ar-SA"/>
      </w:rPr>
    </w:lvl>
    <w:lvl w:ilvl="7">
      <w:numFmt w:val="bullet"/>
      <w:lvlText w:val="•"/>
      <w:lvlJc w:val="left"/>
      <w:pPr>
        <w:ind w:left="7704" w:hanging="721"/>
      </w:pPr>
      <w:rPr>
        <w:rFonts w:hint="default"/>
        <w:lang w:val="en-US" w:eastAsia="en-US" w:bidi="ar-SA"/>
      </w:rPr>
    </w:lvl>
    <w:lvl w:ilvl="8">
      <w:numFmt w:val="bullet"/>
      <w:lvlText w:val="•"/>
      <w:lvlJc w:val="left"/>
      <w:pPr>
        <w:ind w:left="8738" w:hanging="721"/>
      </w:pPr>
      <w:rPr>
        <w:rFonts w:hint="default"/>
        <w:lang w:val="en-US" w:eastAsia="en-US" w:bidi="ar-SA"/>
      </w:rPr>
    </w:lvl>
  </w:abstractNum>
  <w:abstractNum w:abstractNumId="3" w15:restartNumberingAfterBreak="0">
    <w:nsid w:val="080F5AA0"/>
    <w:multiLevelType w:val="multilevel"/>
    <w:tmpl w:val="48100876"/>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C82018"/>
    <w:multiLevelType w:val="hybridMultilevel"/>
    <w:tmpl w:val="EC669FDA"/>
    <w:lvl w:ilvl="0" w:tplc="1ACC5020">
      <w:start w:val="1"/>
      <w:numFmt w:val="lowerRoman"/>
      <w:pStyle w:val="StyleiLeft275cmHanging075cm"/>
      <w:lvlText w:val="(%1)"/>
      <w:lvlJc w:val="left"/>
      <w:pPr>
        <w:ind w:left="2280" w:hanging="360"/>
      </w:pPr>
      <w:rPr>
        <w:rFonts w:ascii="Nunito Sans" w:hAnsi="Nunito Sans" w:hint="default"/>
        <w:b w:val="0"/>
        <w:i w:val="0"/>
        <w:color w:val="auto"/>
        <w:sz w:val="22"/>
      </w:rPr>
    </w:lvl>
    <w:lvl w:ilvl="1" w:tplc="08090019" w:tentative="1">
      <w:start w:val="1"/>
      <w:numFmt w:val="lowerLetter"/>
      <w:lvlText w:val="%2."/>
      <w:lvlJc w:val="left"/>
      <w:pPr>
        <w:ind w:left="3000" w:hanging="360"/>
      </w:pPr>
    </w:lvl>
    <w:lvl w:ilvl="2" w:tplc="0809001B" w:tentative="1">
      <w:start w:val="1"/>
      <w:numFmt w:val="lowerRoman"/>
      <w:lvlText w:val="%3."/>
      <w:lvlJc w:val="right"/>
      <w:pPr>
        <w:ind w:left="3720" w:hanging="180"/>
      </w:pPr>
    </w:lvl>
    <w:lvl w:ilvl="3" w:tplc="0809000F" w:tentative="1">
      <w:start w:val="1"/>
      <w:numFmt w:val="decimal"/>
      <w:lvlText w:val="%4."/>
      <w:lvlJc w:val="left"/>
      <w:pPr>
        <w:ind w:left="4440" w:hanging="360"/>
      </w:pPr>
    </w:lvl>
    <w:lvl w:ilvl="4" w:tplc="08090019" w:tentative="1">
      <w:start w:val="1"/>
      <w:numFmt w:val="lowerLetter"/>
      <w:lvlText w:val="%5."/>
      <w:lvlJc w:val="left"/>
      <w:pPr>
        <w:ind w:left="5160" w:hanging="360"/>
      </w:pPr>
    </w:lvl>
    <w:lvl w:ilvl="5" w:tplc="0809001B" w:tentative="1">
      <w:start w:val="1"/>
      <w:numFmt w:val="lowerRoman"/>
      <w:lvlText w:val="%6."/>
      <w:lvlJc w:val="right"/>
      <w:pPr>
        <w:ind w:left="5880" w:hanging="180"/>
      </w:pPr>
    </w:lvl>
    <w:lvl w:ilvl="6" w:tplc="0809000F" w:tentative="1">
      <w:start w:val="1"/>
      <w:numFmt w:val="decimal"/>
      <w:lvlText w:val="%7."/>
      <w:lvlJc w:val="left"/>
      <w:pPr>
        <w:ind w:left="6600" w:hanging="360"/>
      </w:pPr>
    </w:lvl>
    <w:lvl w:ilvl="7" w:tplc="08090019" w:tentative="1">
      <w:start w:val="1"/>
      <w:numFmt w:val="lowerLetter"/>
      <w:lvlText w:val="%8."/>
      <w:lvlJc w:val="left"/>
      <w:pPr>
        <w:ind w:left="7320" w:hanging="360"/>
      </w:pPr>
    </w:lvl>
    <w:lvl w:ilvl="8" w:tplc="0809001B" w:tentative="1">
      <w:start w:val="1"/>
      <w:numFmt w:val="lowerRoman"/>
      <w:lvlText w:val="%9."/>
      <w:lvlJc w:val="right"/>
      <w:pPr>
        <w:ind w:left="8040" w:hanging="180"/>
      </w:pPr>
    </w:lvl>
  </w:abstractNum>
  <w:abstractNum w:abstractNumId="5" w15:restartNumberingAfterBreak="0">
    <w:nsid w:val="1B1235CE"/>
    <w:multiLevelType w:val="hybridMultilevel"/>
    <w:tmpl w:val="CB6C9846"/>
    <w:lvl w:ilvl="0" w:tplc="23CA4BE0">
      <w:start w:val="1"/>
      <w:numFmt w:val="bullet"/>
      <w:pStyle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C16FB4"/>
    <w:multiLevelType w:val="hybridMultilevel"/>
    <w:tmpl w:val="141E2156"/>
    <w:lvl w:ilvl="0" w:tplc="4AEA4538">
      <w:start w:val="1"/>
      <w:numFmt w:val="decimal"/>
      <w:pStyle w:val="Parties"/>
      <w:lvlText w:val="(%1)"/>
      <w:lvlJc w:val="left"/>
      <w:pPr>
        <w:ind w:left="720" w:hanging="720"/>
      </w:pPr>
    </w:lvl>
    <w:lvl w:ilvl="1" w:tplc="DC008CB0">
      <w:start w:val="1"/>
      <w:numFmt w:val="lowerLetter"/>
      <w:lvlText w:val="%2."/>
      <w:lvlJc w:val="left"/>
      <w:pPr>
        <w:ind w:left="1440" w:hanging="360"/>
      </w:pPr>
    </w:lvl>
    <w:lvl w:ilvl="2" w:tplc="ADD09BA8">
      <w:start w:val="1"/>
      <w:numFmt w:val="lowerRoman"/>
      <w:lvlText w:val="%3."/>
      <w:lvlJc w:val="right"/>
      <w:pPr>
        <w:ind w:left="2160" w:hanging="180"/>
      </w:pPr>
    </w:lvl>
    <w:lvl w:ilvl="3" w:tplc="05D04F52">
      <w:start w:val="1"/>
      <w:numFmt w:val="decimal"/>
      <w:lvlText w:val="%4."/>
      <w:lvlJc w:val="left"/>
      <w:pPr>
        <w:ind w:left="2880" w:hanging="360"/>
      </w:pPr>
    </w:lvl>
    <w:lvl w:ilvl="4" w:tplc="72BE5A62">
      <w:start w:val="1"/>
      <w:numFmt w:val="lowerLetter"/>
      <w:lvlText w:val="%5."/>
      <w:lvlJc w:val="left"/>
      <w:pPr>
        <w:ind w:left="3600" w:hanging="360"/>
      </w:pPr>
    </w:lvl>
    <w:lvl w:ilvl="5" w:tplc="B84CEF92">
      <w:start w:val="1"/>
      <w:numFmt w:val="lowerRoman"/>
      <w:lvlText w:val="%6."/>
      <w:lvlJc w:val="right"/>
      <w:pPr>
        <w:ind w:left="4320" w:hanging="180"/>
      </w:pPr>
    </w:lvl>
    <w:lvl w:ilvl="6" w:tplc="615C814A">
      <w:start w:val="1"/>
      <w:numFmt w:val="decimal"/>
      <w:lvlText w:val="%7."/>
      <w:lvlJc w:val="left"/>
      <w:pPr>
        <w:ind w:left="5040" w:hanging="360"/>
      </w:pPr>
    </w:lvl>
    <w:lvl w:ilvl="7" w:tplc="63B454CC">
      <w:start w:val="1"/>
      <w:numFmt w:val="lowerLetter"/>
      <w:lvlText w:val="%8."/>
      <w:lvlJc w:val="left"/>
      <w:pPr>
        <w:ind w:left="5760" w:hanging="360"/>
      </w:pPr>
    </w:lvl>
    <w:lvl w:ilvl="8" w:tplc="9C34008C">
      <w:start w:val="1"/>
      <w:numFmt w:val="lowerRoman"/>
      <w:lvlText w:val="%9."/>
      <w:lvlJc w:val="right"/>
      <w:pPr>
        <w:ind w:left="6480" w:hanging="180"/>
      </w:pPr>
    </w:lvl>
  </w:abstractNum>
  <w:abstractNum w:abstractNumId="7" w15:restartNumberingAfterBreak="0">
    <w:nsid w:val="2A6D4F33"/>
    <w:multiLevelType w:val="hybridMultilevel"/>
    <w:tmpl w:val="3B2EA6CC"/>
    <w:lvl w:ilvl="0" w:tplc="A80EAA2C">
      <w:start w:val="1"/>
      <w:numFmt w:val="bullet"/>
      <w:lvlText w:val=""/>
      <w:lvlJc w:val="left"/>
      <w:pPr>
        <w:ind w:left="643" w:hanging="360"/>
      </w:pPr>
      <w:rPr>
        <w:rFonts w:ascii="Wingdings" w:hAnsi="Wingdings" w:hint="default"/>
        <w:color w:val="008080"/>
        <w:sz w:val="28"/>
      </w:rPr>
    </w:lvl>
    <w:lvl w:ilvl="1" w:tplc="08090003">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8" w15:restartNumberingAfterBreak="0">
    <w:nsid w:val="300C034D"/>
    <w:multiLevelType w:val="multilevel"/>
    <w:tmpl w:val="B142E6FE"/>
    <w:lvl w:ilvl="0">
      <w:start w:val="1"/>
      <w:numFmt w:val="decimal"/>
      <w:pStyle w:val="BulletPHIT"/>
      <w:lvlText w:val="%1."/>
      <w:lvlJc w:val="left"/>
      <w:pPr>
        <w:tabs>
          <w:tab w:val="num" w:pos="720"/>
        </w:tabs>
        <w:ind w:left="720" w:hanging="720"/>
      </w:pPr>
    </w:lvl>
    <w:lvl w:ilvl="1">
      <w:start w:val="1"/>
      <w:numFmt w:val="decimal"/>
      <w:pStyle w:val="BulletPHIT"/>
      <w:lvlText w:val="%2."/>
      <w:lvlJc w:val="left"/>
      <w:pPr>
        <w:tabs>
          <w:tab w:val="num" w:pos="1440"/>
        </w:tabs>
        <w:ind w:left="1440" w:hanging="720"/>
      </w:pPr>
    </w:lvl>
    <w:lvl w:ilvl="2">
      <w:start w:val="1"/>
      <w:numFmt w:val="decimal"/>
      <w:pStyle w:val="BulletPHI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9983A11"/>
    <w:multiLevelType w:val="multilevel"/>
    <w:tmpl w:val="CF7EB816"/>
    <w:lvl w:ilvl="0">
      <w:start w:val="1"/>
      <w:numFmt w:val="decimal"/>
      <w:pStyle w:val="Style1"/>
      <w:lvlText w:val="%1."/>
      <w:lvlJc w:val="left"/>
      <w:pPr>
        <w:tabs>
          <w:tab w:val="num" w:pos="709"/>
        </w:tabs>
        <w:ind w:left="709" w:hanging="709"/>
      </w:pPr>
      <w:rPr>
        <w:rFonts w:asciiTheme="minorHAnsi" w:hAnsiTheme="minorHAnsi" w:hint="default"/>
        <w:b/>
        <w:bCs w:val="0"/>
        <w:i w:val="0"/>
        <w:sz w:val="24"/>
        <w:szCs w:val="22"/>
      </w:rPr>
    </w:lvl>
    <w:lvl w:ilvl="1">
      <w:start w:val="1"/>
      <w:numFmt w:val="decimal"/>
      <w:lvlRestart w:val="0"/>
      <w:lvlText w:val="%2."/>
      <w:lvlJc w:val="left"/>
      <w:pPr>
        <w:tabs>
          <w:tab w:val="num" w:pos="709"/>
        </w:tabs>
        <w:ind w:left="709" w:hanging="709"/>
      </w:pPr>
      <w:rPr>
        <w:rFonts w:ascii="Arial" w:hAnsi="Arial" w:hint="default"/>
        <w:b w:val="0"/>
        <w:i w:val="0"/>
        <w:sz w:val="22"/>
      </w:rPr>
    </w:lvl>
    <w:lvl w:ilvl="2">
      <w:start w:val="1"/>
      <w:numFmt w:val="decimal"/>
      <w:lvlRestart w:val="1"/>
      <w:pStyle w:val="Style2"/>
      <w:lvlText w:val="%1.%3"/>
      <w:lvlJc w:val="left"/>
      <w:pPr>
        <w:tabs>
          <w:tab w:val="num" w:pos="1418"/>
        </w:tabs>
        <w:ind w:left="1418" w:hanging="709"/>
      </w:pPr>
      <w:rPr>
        <w:rFonts w:asciiTheme="minorHAnsi" w:hAnsiTheme="minorHAnsi"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A3E163E"/>
    <w:multiLevelType w:val="multilevel"/>
    <w:tmpl w:val="8F9E4476"/>
    <w:name w:val="Schedule"/>
    <w:lvl w:ilvl="0">
      <w:start w:val="1"/>
      <w:numFmt w:val="decimal"/>
      <w:suff w:val="nothing"/>
      <w:lvlText w:val="SCHEDULE %1"/>
      <w:lvlJc w:val="left"/>
      <w:pPr>
        <w:ind w:left="0" w:firstLine="0"/>
      </w:pPr>
      <w:rPr>
        <w:rFonts w:ascii="Arial" w:hAnsi="Arial" w:hint="default"/>
        <w:b/>
        <w:i w:val="0"/>
        <w:sz w:val="20"/>
      </w:rPr>
    </w:lvl>
    <w:lvl w:ilvl="1">
      <w:numFmt w:val="decimal"/>
      <w:suff w:val="nothing"/>
      <w:lvlText w:val="Schedule %2"/>
      <w:lvlJc w:val="left"/>
      <w:pPr>
        <w:ind w:left="0" w:firstLine="0"/>
      </w:pPr>
      <w:rPr>
        <w:rFonts w:hint="default"/>
      </w:rPr>
    </w:lvl>
    <w:lvl w:ilvl="2">
      <w:start w:val="1"/>
      <w:numFmt w:val="decimal"/>
      <w:pStyle w:val="Part"/>
      <w:suff w:val="nothing"/>
      <w:lvlText w:val="Part %3"/>
      <w:lvlJc w:val="left"/>
      <w:pPr>
        <w:ind w:left="0" w:firstLine="0"/>
      </w:pPr>
      <w:rPr>
        <w:rFonts w:hint="default"/>
      </w:rPr>
    </w:lvl>
    <w:lvl w:ilvl="3">
      <w:start w:val="1"/>
      <w:numFmt w:val="decimal"/>
      <w:pStyle w:val="Sch1Number"/>
      <w:lvlText w:val="%4"/>
      <w:lvlJc w:val="left"/>
      <w:pPr>
        <w:ind w:left="720" w:hanging="720"/>
      </w:pPr>
      <w:rPr>
        <w:rFonts w:hint="default"/>
      </w:rPr>
    </w:lvl>
    <w:lvl w:ilvl="4">
      <w:start w:val="1"/>
      <w:numFmt w:val="decimal"/>
      <w:pStyle w:val="Sch2Number"/>
      <w:lvlText w:val="%4.%5"/>
      <w:lvlJc w:val="left"/>
      <w:pPr>
        <w:ind w:left="720" w:hanging="720"/>
      </w:pPr>
      <w:rPr>
        <w:rFonts w:hint="default"/>
      </w:rPr>
    </w:lvl>
    <w:lvl w:ilvl="5">
      <w:start w:val="1"/>
      <w:numFmt w:val="decimal"/>
      <w:lvlText w:val="%4.%5.%6"/>
      <w:lvlJc w:val="left"/>
      <w:pPr>
        <w:ind w:left="720" w:hanging="720"/>
      </w:pPr>
      <w:rPr>
        <w:rFonts w:hint="default"/>
        <w:b w:val="0"/>
        <w:bCs w:val="0"/>
        <w:i w:val="0"/>
        <w:iCs w:val="0"/>
      </w:rPr>
    </w:lvl>
    <w:lvl w:ilvl="6">
      <w:start w:val="1"/>
      <w:numFmt w:val="lowerLetter"/>
      <w:pStyle w:val="Sch4Number"/>
      <w:lvlText w:val="(%7)"/>
      <w:lvlJc w:val="left"/>
      <w:pPr>
        <w:ind w:left="1440" w:hanging="720"/>
      </w:pPr>
      <w:rPr>
        <w:rFonts w:hint="default"/>
        <w:b w:val="0"/>
        <w:bCs w:val="0"/>
        <w:i w:val="0"/>
        <w:iCs w:val="0"/>
      </w:rPr>
    </w:lvl>
    <w:lvl w:ilvl="7">
      <w:start w:val="1"/>
      <w:numFmt w:val="lowerRoman"/>
      <w:lvlText w:val="(%8)"/>
      <w:lvlJc w:val="left"/>
      <w:pPr>
        <w:ind w:left="2160" w:hanging="720"/>
      </w:pPr>
      <w:rPr>
        <w:rFonts w:hint="default"/>
      </w:rPr>
    </w:lvl>
    <w:lvl w:ilvl="8">
      <w:start w:val="1"/>
      <w:numFmt w:val="upperLetter"/>
      <w:lvlText w:val="(%9)"/>
      <w:lvlJc w:val="left"/>
      <w:pPr>
        <w:ind w:left="2880" w:hanging="720"/>
      </w:pPr>
      <w:rPr>
        <w:rFonts w:hint="default"/>
      </w:rPr>
    </w:lvl>
  </w:abstractNum>
  <w:abstractNum w:abstractNumId="11" w15:restartNumberingAfterBreak="0">
    <w:nsid w:val="3DC0287F"/>
    <w:multiLevelType w:val="multilevel"/>
    <w:tmpl w:val="7688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26B8E"/>
    <w:multiLevelType w:val="multilevel"/>
    <w:tmpl w:val="D96EF09C"/>
    <w:lvl w:ilvl="0">
      <w:start w:val="1"/>
      <w:numFmt w:val="decimal"/>
      <w:pStyle w:val="Level1Heading"/>
      <w:lvlText w:val="%1"/>
      <w:lvlJc w:val="left"/>
      <w:pPr>
        <w:ind w:left="720" w:hanging="720"/>
      </w:pPr>
      <w:rPr>
        <w:rFonts w:hint="default"/>
      </w:rPr>
    </w:lvl>
    <w:lvl w:ilvl="1">
      <w:start w:val="1"/>
      <w:numFmt w:val="decimal"/>
      <w:pStyle w:val="Level2Number"/>
      <w:lvlText w:val="%1.%2"/>
      <w:lvlJc w:val="left"/>
      <w:pPr>
        <w:ind w:left="720" w:hanging="720"/>
      </w:pPr>
      <w:rPr>
        <w:rFonts w:hint="default"/>
      </w:rPr>
    </w:lvl>
    <w:lvl w:ilvl="2">
      <w:start w:val="1"/>
      <w:numFmt w:val="decimal"/>
      <w:pStyle w:val="Level3Number"/>
      <w:lvlText w:val="%1.%2.%3"/>
      <w:lvlJc w:val="left"/>
      <w:pPr>
        <w:ind w:left="720" w:hanging="720"/>
      </w:pPr>
      <w:rPr>
        <w:rFonts w:hint="default"/>
        <w:b/>
        <w:bCs w:val="0"/>
        <w:i w:val="0"/>
      </w:rPr>
    </w:lvl>
    <w:lvl w:ilvl="3">
      <w:start w:val="1"/>
      <w:numFmt w:val="lowerLetter"/>
      <w:pStyle w:val="Level4Number"/>
      <w:lvlText w:val="(%4)"/>
      <w:lvlJc w:val="left"/>
      <w:pPr>
        <w:ind w:left="1440" w:hanging="720"/>
      </w:pPr>
      <w:rPr>
        <w:b w:val="0"/>
        <w:bCs w:val="0"/>
        <w:i w:val="0"/>
        <w:iCs w:val="0"/>
      </w:rPr>
    </w:lvl>
    <w:lvl w:ilvl="4">
      <w:start w:val="1"/>
      <w:numFmt w:val="lowerRoman"/>
      <w:lvlText w:val="(%5)"/>
      <w:lvlJc w:val="left"/>
      <w:pPr>
        <w:ind w:left="2160" w:hanging="720"/>
      </w:pPr>
      <w:rPr>
        <w:rFonts w:hint="default"/>
        <w:b w:val="0"/>
        <w:bCs w:val="0"/>
        <w:i w:val="0"/>
        <w:iCs w:val="0"/>
      </w:rPr>
    </w:lvl>
    <w:lvl w:ilvl="5">
      <w:start w:val="1"/>
      <w:numFmt w:val="upperLetter"/>
      <w:lvlText w:val="(%6)"/>
      <w:lvlJc w:val="left"/>
      <w:pPr>
        <w:ind w:left="2880" w:hanging="720"/>
      </w:pPr>
      <w:rPr>
        <w:rFonts w:hint="default"/>
      </w:rPr>
    </w:lvl>
    <w:lvl w:ilvl="6">
      <w:start w:val="1"/>
      <w:numFmt w:val="decimal"/>
      <w:lvlText w:val="%7)"/>
      <w:lvlJc w:val="left"/>
      <w:pPr>
        <w:ind w:left="3600" w:hanging="720"/>
      </w:pPr>
      <w:rPr>
        <w:rFonts w:hint="default"/>
      </w:rPr>
    </w:lvl>
    <w:lvl w:ilvl="7">
      <w:start w:val="1"/>
      <w:numFmt w:val="lowerLetter"/>
      <w:lvlText w:val="%8)"/>
      <w:lvlJc w:val="left"/>
      <w:pPr>
        <w:ind w:left="4321" w:hanging="721"/>
      </w:pPr>
      <w:rPr>
        <w:rFonts w:hint="default"/>
      </w:rPr>
    </w:lvl>
    <w:lvl w:ilvl="8">
      <w:start w:val="1"/>
      <w:numFmt w:val="lowerRoman"/>
      <w:lvlText w:val="%9)"/>
      <w:lvlJc w:val="left"/>
      <w:pPr>
        <w:ind w:left="5041" w:hanging="720"/>
      </w:pPr>
      <w:rPr>
        <w:rFonts w:hint="default"/>
      </w:rPr>
    </w:lvl>
  </w:abstractNum>
  <w:abstractNum w:abstractNumId="13" w15:restartNumberingAfterBreak="0">
    <w:nsid w:val="3EEC2DFB"/>
    <w:multiLevelType w:val="hybridMultilevel"/>
    <w:tmpl w:val="D1AC5B00"/>
    <w:lvl w:ilvl="0" w:tplc="60B459BE">
      <w:start w:val="1"/>
      <w:numFmt w:val="lowerLetter"/>
      <w:pStyle w:val="BulletABC"/>
      <w:lvlText w:val="%1)"/>
      <w:lvlJc w:val="left"/>
      <w:pPr>
        <w:ind w:left="683" w:hanging="360"/>
      </w:pPr>
    </w:lvl>
    <w:lvl w:ilvl="1" w:tplc="08090019">
      <w:start w:val="1"/>
      <w:numFmt w:val="lowerLetter"/>
      <w:lvlText w:val="%2."/>
      <w:lvlJc w:val="left"/>
      <w:pPr>
        <w:ind w:left="1403" w:hanging="360"/>
      </w:pPr>
    </w:lvl>
    <w:lvl w:ilvl="2" w:tplc="0809001B" w:tentative="1">
      <w:start w:val="1"/>
      <w:numFmt w:val="lowerRoman"/>
      <w:lvlText w:val="%3."/>
      <w:lvlJc w:val="right"/>
      <w:pPr>
        <w:ind w:left="2123" w:hanging="180"/>
      </w:pPr>
    </w:lvl>
    <w:lvl w:ilvl="3" w:tplc="0809000F" w:tentative="1">
      <w:start w:val="1"/>
      <w:numFmt w:val="decimal"/>
      <w:lvlText w:val="%4."/>
      <w:lvlJc w:val="left"/>
      <w:pPr>
        <w:ind w:left="2843" w:hanging="360"/>
      </w:pPr>
    </w:lvl>
    <w:lvl w:ilvl="4" w:tplc="08090019" w:tentative="1">
      <w:start w:val="1"/>
      <w:numFmt w:val="lowerLetter"/>
      <w:lvlText w:val="%5."/>
      <w:lvlJc w:val="left"/>
      <w:pPr>
        <w:ind w:left="3563" w:hanging="360"/>
      </w:pPr>
    </w:lvl>
    <w:lvl w:ilvl="5" w:tplc="0809001B" w:tentative="1">
      <w:start w:val="1"/>
      <w:numFmt w:val="lowerRoman"/>
      <w:lvlText w:val="%6."/>
      <w:lvlJc w:val="right"/>
      <w:pPr>
        <w:ind w:left="4283" w:hanging="180"/>
      </w:pPr>
    </w:lvl>
    <w:lvl w:ilvl="6" w:tplc="0809000F" w:tentative="1">
      <w:start w:val="1"/>
      <w:numFmt w:val="decimal"/>
      <w:lvlText w:val="%7."/>
      <w:lvlJc w:val="left"/>
      <w:pPr>
        <w:ind w:left="5003" w:hanging="360"/>
      </w:pPr>
    </w:lvl>
    <w:lvl w:ilvl="7" w:tplc="08090019" w:tentative="1">
      <w:start w:val="1"/>
      <w:numFmt w:val="lowerLetter"/>
      <w:lvlText w:val="%8."/>
      <w:lvlJc w:val="left"/>
      <w:pPr>
        <w:ind w:left="5723" w:hanging="360"/>
      </w:pPr>
    </w:lvl>
    <w:lvl w:ilvl="8" w:tplc="0809001B" w:tentative="1">
      <w:start w:val="1"/>
      <w:numFmt w:val="lowerRoman"/>
      <w:lvlText w:val="%9."/>
      <w:lvlJc w:val="right"/>
      <w:pPr>
        <w:ind w:left="6443" w:hanging="180"/>
      </w:pPr>
    </w:lvl>
  </w:abstractNum>
  <w:abstractNum w:abstractNumId="14" w15:restartNumberingAfterBreak="0">
    <w:nsid w:val="43EF5F6B"/>
    <w:multiLevelType w:val="hybridMultilevel"/>
    <w:tmpl w:val="9482B2BA"/>
    <w:lvl w:ilvl="0" w:tplc="41F6D4DE">
      <w:start w:val="1"/>
      <w:numFmt w:val="lowerLetter"/>
      <w:pStyle w:val="a"/>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4936D24"/>
    <w:multiLevelType w:val="multilevel"/>
    <w:tmpl w:val="7CDC73DE"/>
    <w:lvl w:ilvl="0">
      <w:start w:val="1"/>
      <w:numFmt w:val="decimal"/>
      <w:lvlText w:val="%1."/>
      <w:lvlJc w:val="left"/>
      <w:pPr>
        <w:ind w:left="360" w:hanging="360"/>
      </w:pPr>
    </w:lvl>
    <w:lvl w:ilvl="1">
      <w:start w:val="1"/>
      <w:numFmt w:val="decimal"/>
      <w:pStyle w:val="ListPara111"/>
      <w:lvlText w:val="%1.%2."/>
      <w:lvlJc w:val="left"/>
      <w:pPr>
        <w:ind w:left="11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D00367"/>
    <w:multiLevelType w:val="hybridMultilevel"/>
    <w:tmpl w:val="901C0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740BCC"/>
    <w:multiLevelType w:val="hybridMultilevel"/>
    <w:tmpl w:val="3FC6F5CA"/>
    <w:lvl w:ilvl="0" w:tplc="038ECF30">
      <w:start w:val="1"/>
      <w:numFmt w:val="decimal"/>
      <w:pStyle w:val="BulletNumbered"/>
      <w:lvlText w:val="%1."/>
      <w:lvlJc w:val="left"/>
      <w:pPr>
        <w:ind w:left="1080" w:hanging="360"/>
      </w:pPr>
      <w:rPr>
        <w:b w:val="0"/>
        <w:bCs w:val="0"/>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564188C"/>
    <w:multiLevelType w:val="multilevel"/>
    <w:tmpl w:val="CE563E5C"/>
    <w:lvl w:ilvl="0">
      <w:start w:val="1"/>
      <w:numFmt w:val="decimal"/>
      <w:pStyle w:val="ClauseL1"/>
      <w:lvlText w:val="%1."/>
      <w:lvlJc w:val="left"/>
      <w:pPr>
        <w:tabs>
          <w:tab w:val="num" w:pos="851"/>
        </w:tabs>
        <w:ind w:left="851" w:hanging="851"/>
      </w:pPr>
    </w:lvl>
    <w:lvl w:ilvl="1">
      <w:start w:val="1"/>
      <w:numFmt w:val="decimal"/>
      <w:pStyle w:val="ClauseL2"/>
      <w:lvlText w:val="%1.%2."/>
      <w:lvlJc w:val="left"/>
      <w:pPr>
        <w:ind w:left="851" w:hanging="851"/>
      </w:pPr>
    </w:lvl>
    <w:lvl w:ilvl="2">
      <w:start w:val="1"/>
      <w:numFmt w:val="lowerLetter"/>
      <w:pStyle w:val="ClauseL3"/>
      <w:lvlText w:val="(%3)"/>
      <w:lvlJc w:val="left"/>
      <w:pPr>
        <w:ind w:left="1700" w:hanging="851"/>
      </w:pPr>
    </w:lvl>
    <w:lvl w:ilvl="3">
      <w:start w:val="1"/>
      <w:numFmt w:val="lowerRoman"/>
      <w:pStyle w:val="ClauseL4"/>
      <w:lvlText w:val="(%4)"/>
      <w:lvlJc w:val="left"/>
      <w:pPr>
        <w:ind w:left="2410" w:hanging="709"/>
      </w:pPr>
    </w:lvl>
    <w:lvl w:ilvl="4">
      <w:start w:val="1"/>
      <w:numFmt w:val="upperLetter"/>
      <w:pStyle w:val="ClauseL5"/>
      <w:lvlText w:val="(%5)"/>
      <w:lvlJc w:val="left"/>
      <w:pPr>
        <w:ind w:left="3118" w:hanging="709"/>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64D0356"/>
    <w:multiLevelType w:val="multilevel"/>
    <w:tmpl w:val="3560FB7C"/>
    <w:lvl w:ilvl="0">
      <w:start w:val="1"/>
      <w:numFmt w:val="decimal"/>
      <w:pStyle w:val="ScheduleL1"/>
      <w:lvlText w:val="%1."/>
      <w:lvlJc w:val="left"/>
      <w:pPr>
        <w:tabs>
          <w:tab w:val="num" w:pos="851"/>
        </w:tabs>
        <w:ind w:left="851" w:hanging="851"/>
      </w:pPr>
    </w:lvl>
    <w:lvl w:ilvl="1">
      <w:start w:val="1"/>
      <w:numFmt w:val="decimal"/>
      <w:pStyle w:val="ScheduleL2"/>
      <w:lvlText w:val="%1.%2."/>
      <w:lvlJc w:val="left"/>
      <w:pPr>
        <w:ind w:left="851" w:hanging="851"/>
      </w:pPr>
    </w:lvl>
    <w:lvl w:ilvl="2">
      <w:start w:val="1"/>
      <w:numFmt w:val="lowerLetter"/>
      <w:pStyle w:val="ScheduleL3"/>
      <w:lvlText w:val="(%3)"/>
      <w:lvlJc w:val="left"/>
      <w:pPr>
        <w:ind w:left="1700" w:hanging="851"/>
      </w:pPr>
    </w:lvl>
    <w:lvl w:ilvl="3">
      <w:start w:val="1"/>
      <w:numFmt w:val="lowerRoman"/>
      <w:pStyle w:val="ScheduleL4"/>
      <w:lvlText w:val="(%4)"/>
      <w:lvlJc w:val="left"/>
      <w:pPr>
        <w:ind w:left="2410" w:hanging="709"/>
      </w:pPr>
    </w:lvl>
    <w:lvl w:ilvl="4">
      <w:start w:val="1"/>
      <w:numFmt w:val="upperLetter"/>
      <w:pStyle w:val="ScheduleL5"/>
      <w:lvlText w:val="(%5)"/>
      <w:lvlJc w:val="left"/>
      <w:pPr>
        <w:ind w:left="3118" w:hanging="709"/>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6B353C2"/>
    <w:multiLevelType w:val="hybridMultilevel"/>
    <w:tmpl w:val="233AADD4"/>
    <w:lvl w:ilvl="0" w:tplc="A80EAA2C">
      <w:start w:val="1"/>
      <w:numFmt w:val="bullet"/>
      <w:lvlText w:val=""/>
      <w:lvlJc w:val="left"/>
      <w:pPr>
        <w:ind w:left="720" w:hanging="360"/>
      </w:pPr>
      <w:rPr>
        <w:rFonts w:ascii="Wingdings" w:hAnsi="Wingdings" w:hint="default"/>
        <w:color w:val="008080"/>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8A365A"/>
    <w:multiLevelType w:val="multilevel"/>
    <w:tmpl w:val="C51C7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51B9C"/>
    <w:multiLevelType w:val="hybridMultilevel"/>
    <w:tmpl w:val="08501F70"/>
    <w:lvl w:ilvl="0" w:tplc="6706B996">
      <w:start w:val="1"/>
      <w:numFmt w:val="bullet"/>
      <w:pStyle w:val="Bullet1Double"/>
      <w:lvlText w:val=""/>
      <w:lvlJc w:val="left"/>
      <w:pPr>
        <w:tabs>
          <w:tab w:val="num" w:pos="0"/>
        </w:tabs>
        <w:ind w:left="0" w:firstLine="0"/>
      </w:pPr>
      <w:rPr>
        <w:rFonts w:ascii="Symbol" w:hAnsi="Symbol" w:hint="default"/>
        <w:color w:val="auto"/>
        <w:sz w:val="22"/>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ED66F5B"/>
    <w:multiLevelType w:val="multilevel"/>
    <w:tmpl w:val="9C8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1022B"/>
    <w:multiLevelType w:val="hybridMultilevel"/>
    <w:tmpl w:val="A0042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461A1D"/>
    <w:multiLevelType w:val="hybridMultilevel"/>
    <w:tmpl w:val="29587268"/>
    <w:lvl w:ilvl="0" w:tplc="5B38F70A">
      <w:start w:val="1"/>
      <w:numFmt w:val="decimal"/>
      <w:pStyle w:val="abc"/>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D71E3F"/>
    <w:multiLevelType w:val="hybridMultilevel"/>
    <w:tmpl w:val="11960632"/>
    <w:lvl w:ilvl="0" w:tplc="EDD6BF30">
      <w:start w:val="1"/>
      <w:numFmt w:val="upperLetter"/>
      <w:pStyle w:val="Background"/>
      <w:lvlText w:val="(%1)"/>
      <w:lvlJc w:val="left"/>
      <w:pPr>
        <w:ind w:left="720" w:hanging="720"/>
      </w:pPr>
    </w:lvl>
    <w:lvl w:ilvl="1" w:tplc="2D9C3AF2">
      <w:start w:val="1"/>
      <w:numFmt w:val="lowerLetter"/>
      <w:lvlText w:val="%2."/>
      <w:lvlJc w:val="left"/>
      <w:pPr>
        <w:ind w:left="1440" w:hanging="360"/>
      </w:pPr>
    </w:lvl>
    <w:lvl w:ilvl="2" w:tplc="CB506812">
      <w:start w:val="1"/>
      <w:numFmt w:val="lowerRoman"/>
      <w:lvlText w:val="%3."/>
      <w:lvlJc w:val="right"/>
      <w:pPr>
        <w:ind w:left="2160" w:hanging="180"/>
      </w:pPr>
    </w:lvl>
    <w:lvl w:ilvl="3" w:tplc="F93C3962">
      <w:start w:val="1"/>
      <w:numFmt w:val="decimal"/>
      <w:lvlText w:val="%4."/>
      <w:lvlJc w:val="left"/>
      <w:pPr>
        <w:ind w:left="2880" w:hanging="360"/>
      </w:pPr>
    </w:lvl>
    <w:lvl w:ilvl="4" w:tplc="F400472A">
      <w:start w:val="1"/>
      <w:numFmt w:val="lowerLetter"/>
      <w:lvlText w:val="%5."/>
      <w:lvlJc w:val="left"/>
      <w:pPr>
        <w:ind w:left="3600" w:hanging="360"/>
      </w:pPr>
    </w:lvl>
    <w:lvl w:ilvl="5" w:tplc="753E4884">
      <w:start w:val="1"/>
      <w:numFmt w:val="lowerRoman"/>
      <w:lvlText w:val="%6."/>
      <w:lvlJc w:val="right"/>
      <w:pPr>
        <w:ind w:left="4320" w:hanging="180"/>
      </w:pPr>
    </w:lvl>
    <w:lvl w:ilvl="6" w:tplc="69EABB1A">
      <w:start w:val="1"/>
      <w:numFmt w:val="decimal"/>
      <w:lvlText w:val="%7."/>
      <w:lvlJc w:val="left"/>
      <w:pPr>
        <w:ind w:left="5040" w:hanging="360"/>
      </w:pPr>
    </w:lvl>
    <w:lvl w:ilvl="7" w:tplc="8490F472">
      <w:start w:val="1"/>
      <w:numFmt w:val="lowerLetter"/>
      <w:lvlText w:val="%8."/>
      <w:lvlJc w:val="left"/>
      <w:pPr>
        <w:ind w:left="5760" w:hanging="360"/>
      </w:pPr>
    </w:lvl>
    <w:lvl w:ilvl="8" w:tplc="53704CA4">
      <w:start w:val="1"/>
      <w:numFmt w:val="lowerRoman"/>
      <w:lvlText w:val="%9."/>
      <w:lvlJc w:val="right"/>
      <w:pPr>
        <w:ind w:left="6480" w:hanging="180"/>
      </w:pPr>
    </w:lvl>
  </w:abstractNum>
  <w:abstractNum w:abstractNumId="27" w15:restartNumberingAfterBreak="0">
    <w:nsid w:val="6D193116"/>
    <w:multiLevelType w:val="multilevel"/>
    <w:tmpl w:val="8D28CD06"/>
    <w:lvl w:ilvl="0">
      <w:numFmt w:val="decimal"/>
      <w:pStyle w:val="DefinitionL1"/>
      <w:lvlText w:val=""/>
      <w:lvlJc w:val="left"/>
      <w:pPr>
        <w:tabs>
          <w:tab w:val="num" w:pos="851"/>
        </w:tabs>
        <w:ind w:left="851" w:hanging="851"/>
      </w:pPr>
    </w:lvl>
    <w:lvl w:ilvl="1">
      <w:start w:val="1"/>
      <w:numFmt w:val="lowerLetter"/>
      <w:pStyle w:val="DefinitionL2"/>
      <w:lvlText w:val="(%2)"/>
      <w:lvlJc w:val="left"/>
      <w:pPr>
        <w:ind w:left="1700" w:hanging="851"/>
      </w:pPr>
    </w:lvl>
    <w:lvl w:ilvl="2">
      <w:start w:val="1"/>
      <w:numFmt w:val="lowerRoman"/>
      <w:pStyle w:val="DefinitionL3"/>
      <w:lvlText w:val="(%3)"/>
      <w:lvlJc w:val="left"/>
      <w:pPr>
        <w:ind w:left="2410" w:hanging="709"/>
      </w:pPr>
    </w:lvl>
    <w:lvl w:ilvl="3">
      <w:start w:val="1"/>
      <w:numFmt w:val="upperLetter"/>
      <w:pStyle w:val="DefinitionL4"/>
      <w:lvlText w:val="(%4)"/>
      <w:lvlJc w:val="left"/>
      <w:pPr>
        <w:ind w:left="3118" w:hanging="709"/>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DC2725C"/>
    <w:multiLevelType w:val="hybridMultilevel"/>
    <w:tmpl w:val="248A2B96"/>
    <w:lvl w:ilvl="0" w:tplc="08A85700">
      <w:start w:val="1"/>
      <w:numFmt w:val="decimal"/>
      <w:pStyle w:val="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12D2544"/>
    <w:multiLevelType w:val="hybridMultilevel"/>
    <w:tmpl w:val="B2F602AC"/>
    <w:lvl w:ilvl="0" w:tplc="14127BA0">
      <w:start w:val="1"/>
      <w:numFmt w:val="decimal"/>
      <w:pStyle w:val="Heading2"/>
      <w:lvlText w:val="%1.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9237604"/>
    <w:multiLevelType w:val="hybridMultilevel"/>
    <w:tmpl w:val="9BC8BEE6"/>
    <w:lvl w:ilvl="0" w:tplc="28E66DA6">
      <w:start w:val="1"/>
      <w:numFmt w:val="decimal"/>
      <w:pStyle w:val="Number"/>
      <w:lvlText w:val="%1."/>
      <w:lvlJc w:val="left"/>
      <w:pPr>
        <w:ind w:left="720" w:hanging="360"/>
      </w:pPr>
      <w:rPr>
        <w:rFonts w:ascii="Nunito Sans" w:hAnsi="Nunito Sans" w:hint="default"/>
        <w:b w:val="0"/>
        <w:i w:val="0"/>
        <w:color w:val="276E8B" w:themeColor="accent1" w:themeShade="BF"/>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6406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861392">
    <w:abstractNumId w:val="4"/>
  </w:num>
  <w:num w:numId="3" w16cid:durableId="1851947995">
    <w:abstractNumId w:val="2"/>
  </w:num>
  <w:num w:numId="4" w16cid:durableId="368262873">
    <w:abstractNumId w:val="17"/>
  </w:num>
  <w:num w:numId="5" w16cid:durableId="1576162253">
    <w:abstractNumId w:val="13"/>
  </w:num>
  <w:num w:numId="6" w16cid:durableId="354430089">
    <w:abstractNumId w:val="22"/>
  </w:num>
  <w:num w:numId="7" w16cid:durableId="2135784438">
    <w:abstractNumId w:val="15"/>
  </w:num>
  <w:num w:numId="8" w16cid:durableId="226428326">
    <w:abstractNumId w:val="9"/>
  </w:num>
  <w:num w:numId="9" w16cid:durableId="1330788897">
    <w:abstractNumId w:val="12"/>
  </w:num>
  <w:num w:numId="10" w16cid:durableId="1842505099">
    <w:abstractNumId w:val="10"/>
    <w:lvlOverride w:ilvl="0">
      <w:lvl w:ilvl="0">
        <w:start w:val="1"/>
        <w:numFmt w:val="decimal"/>
        <w:suff w:val="nothing"/>
        <w:lvlText w:val="SCHEDULE %1"/>
        <w:lvlJc w:val="left"/>
        <w:pPr>
          <w:ind w:left="0" w:firstLine="0"/>
        </w:pPr>
        <w:rPr>
          <w:rFonts w:ascii="Nunito Sans Light" w:hAnsi="Nunito Sans Light" w:hint="default"/>
          <w:b/>
          <w:bCs/>
          <w:i w:val="0"/>
          <w:sz w:val="28"/>
          <w:szCs w:val="44"/>
        </w:rPr>
      </w:lvl>
    </w:lvlOverride>
  </w:num>
  <w:num w:numId="11" w16cid:durableId="1527868196">
    <w:abstractNumId w:val="25"/>
  </w:num>
  <w:num w:numId="12" w16cid:durableId="1967665015">
    <w:abstractNumId w:val="6"/>
  </w:num>
  <w:num w:numId="13" w16cid:durableId="824319119">
    <w:abstractNumId w:val="26"/>
  </w:num>
  <w:num w:numId="14" w16cid:durableId="974990011">
    <w:abstractNumId w:val="18"/>
  </w:num>
  <w:num w:numId="15" w16cid:durableId="802968177">
    <w:abstractNumId w:val="27"/>
  </w:num>
  <w:num w:numId="16" w16cid:durableId="548226448">
    <w:abstractNumId w:val="19"/>
  </w:num>
  <w:num w:numId="17" w16cid:durableId="1143741494">
    <w:abstractNumId w:val="1"/>
  </w:num>
  <w:num w:numId="18" w16cid:durableId="1970276693">
    <w:abstractNumId w:val="5"/>
  </w:num>
  <w:num w:numId="19" w16cid:durableId="897084215">
    <w:abstractNumId w:val="28"/>
  </w:num>
  <w:num w:numId="20" w16cid:durableId="1602684942">
    <w:abstractNumId w:val="14"/>
  </w:num>
  <w:num w:numId="21" w16cid:durableId="1125587083">
    <w:abstractNumId w:val="16"/>
  </w:num>
  <w:num w:numId="22" w16cid:durableId="1088309829">
    <w:abstractNumId w:val="3"/>
  </w:num>
  <w:num w:numId="23" w16cid:durableId="635912519">
    <w:abstractNumId w:val="29"/>
  </w:num>
  <w:num w:numId="24" w16cid:durableId="2109932139">
    <w:abstractNumId w:val="30"/>
  </w:num>
  <w:num w:numId="25" w16cid:durableId="1632007885">
    <w:abstractNumId w:val="24"/>
  </w:num>
  <w:num w:numId="26" w16cid:durableId="479808901">
    <w:abstractNumId w:val="7"/>
  </w:num>
  <w:num w:numId="27" w16cid:durableId="1309703034">
    <w:abstractNumId w:val="20"/>
  </w:num>
  <w:num w:numId="28" w16cid:durableId="1891068448">
    <w:abstractNumId w:val="30"/>
    <w:lvlOverride w:ilvl="0">
      <w:startOverride w:val="1"/>
    </w:lvlOverride>
  </w:num>
  <w:num w:numId="29" w16cid:durableId="1076393845">
    <w:abstractNumId w:val="11"/>
  </w:num>
  <w:num w:numId="30" w16cid:durableId="68965940">
    <w:abstractNumId w:val="21"/>
  </w:num>
  <w:num w:numId="31" w16cid:durableId="901254369">
    <w:abstractNumId w:val="23"/>
  </w:num>
  <w:num w:numId="32" w16cid:durableId="1165827649">
    <w:abstractNumId w:val="0"/>
  </w:num>
  <w:num w:numId="33" w16cid:durableId="1401246027">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12"/>
    <w:rsid w:val="000217B1"/>
    <w:rsid w:val="00022D4E"/>
    <w:rsid w:val="00026FF4"/>
    <w:rsid w:val="000352E8"/>
    <w:rsid w:val="00055977"/>
    <w:rsid w:val="00056449"/>
    <w:rsid w:val="00086468"/>
    <w:rsid w:val="00090039"/>
    <w:rsid w:val="00092006"/>
    <w:rsid w:val="00092122"/>
    <w:rsid w:val="000A46A6"/>
    <w:rsid w:val="000A7639"/>
    <w:rsid w:val="000C70D0"/>
    <w:rsid w:val="000D64A8"/>
    <w:rsid w:val="000F1C23"/>
    <w:rsid w:val="00107EBC"/>
    <w:rsid w:val="001129E4"/>
    <w:rsid w:val="00141B2B"/>
    <w:rsid w:val="00195AAC"/>
    <w:rsid w:val="001C4D65"/>
    <w:rsid w:val="001D2658"/>
    <w:rsid w:val="00204C42"/>
    <w:rsid w:val="0020679D"/>
    <w:rsid w:val="00216812"/>
    <w:rsid w:val="00267338"/>
    <w:rsid w:val="00285E78"/>
    <w:rsid w:val="002A5FF0"/>
    <w:rsid w:val="002A6F3C"/>
    <w:rsid w:val="002D2F0A"/>
    <w:rsid w:val="002E6033"/>
    <w:rsid w:val="00332983"/>
    <w:rsid w:val="00341078"/>
    <w:rsid w:val="00342D37"/>
    <w:rsid w:val="00352BED"/>
    <w:rsid w:val="00363503"/>
    <w:rsid w:val="0038766A"/>
    <w:rsid w:val="00395D56"/>
    <w:rsid w:val="003A41F7"/>
    <w:rsid w:val="003C7A47"/>
    <w:rsid w:val="004032BF"/>
    <w:rsid w:val="004054D4"/>
    <w:rsid w:val="00406BD4"/>
    <w:rsid w:val="00422E15"/>
    <w:rsid w:val="00430E32"/>
    <w:rsid w:val="00440F31"/>
    <w:rsid w:val="00457AC8"/>
    <w:rsid w:val="00484681"/>
    <w:rsid w:val="004A62AC"/>
    <w:rsid w:val="004A7812"/>
    <w:rsid w:val="004E38D7"/>
    <w:rsid w:val="00510998"/>
    <w:rsid w:val="005114A8"/>
    <w:rsid w:val="005231F5"/>
    <w:rsid w:val="00552F5D"/>
    <w:rsid w:val="00556F8D"/>
    <w:rsid w:val="00566982"/>
    <w:rsid w:val="0057298C"/>
    <w:rsid w:val="005C06A9"/>
    <w:rsid w:val="005D1521"/>
    <w:rsid w:val="0060674A"/>
    <w:rsid w:val="0061415F"/>
    <w:rsid w:val="006558F1"/>
    <w:rsid w:val="00692111"/>
    <w:rsid w:val="00692565"/>
    <w:rsid w:val="006B32FC"/>
    <w:rsid w:val="006B4C83"/>
    <w:rsid w:val="006B739A"/>
    <w:rsid w:val="006C3BEB"/>
    <w:rsid w:val="006E7AE7"/>
    <w:rsid w:val="00733A69"/>
    <w:rsid w:val="00742C2A"/>
    <w:rsid w:val="00746551"/>
    <w:rsid w:val="00746E37"/>
    <w:rsid w:val="00787B82"/>
    <w:rsid w:val="007C1FBF"/>
    <w:rsid w:val="007E099B"/>
    <w:rsid w:val="007E4CDB"/>
    <w:rsid w:val="00820718"/>
    <w:rsid w:val="00875837"/>
    <w:rsid w:val="008770FC"/>
    <w:rsid w:val="0089505F"/>
    <w:rsid w:val="008A4F76"/>
    <w:rsid w:val="008B09F9"/>
    <w:rsid w:val="008E3288"/>
    <w:rsid w:val="008F6B20"/>
    <w:rsid w:val="00901DDD"/>
    <w:rsid w:val="00904001"/>
    <w:rsid w:val="0091331B"/>
    <w:rsid w:val="00931050"/>
    <w:rsid w:val="00952C7E"/>
    <w:rsid w:val="00965859"/>
    <w:rsid w:val="00977A07"/>
    <w:rsid w:val="00991DCB"/>
    <w:rsid w:val="009C5454"/>
    <w:rsid w:val="00A327A8"/>
    <w:rsid w:val="00A3428E"/>
    <w:rsid w:val="00A474F6"/>
    <w:rsid w:val="00AB7770"/>
    <w:rsid w:val="00AC5432"/>
    <w:rsid w:val="00AE658F"/>
    <w:rsid w:val="00B6220E"/>
    <w:rsid w:val="00BA21A7"/>
    <w:rsid w:val="00BA6BC4"/>
    <w:rsid w:val="00BE0EB0"/>
    <w:rsid w:val="00BE18A6"/>
    <w:rsid w:val="00BF5FCF"/>
    <w:rsid w:val="00C03DBD"/>
    <w:rsid w:val="00C07171"/>
    <w:rsid w:val="00C155D4"/>
    <w:rsid w:val="00C17317"/>
    <w:rsid w:val="00C32D28"/>
    <w:rsid w:val="00C33683"/>
    <w:rsid w:val="00C53355"/>
    <w:rsid w:val="00C6634D"/>
    <w:rsid w:val="00CC51F6"/>
    <w:rsid w:val="00CD1565"/>
    <w:rsid w:val="00CE4CC8"/>
    <w:rsid w:val="00D0152C"/>
    <w:rsid w:val="00D017E3"/>
    <w:rsid w:val="00D3126A"/>
    <w:rsid w:val="00D35CAF"/>
    <w:rsid w:val="00D5348B"/>
    <w:rsid w:val="00D5483D"/>
    <w:rsid w:val="00D74068"/>
    <w:rsid w:val="00DA6ACD"/>
    <w:rsid w:val="00E02172"/>
    <w:rsid w:val="00E4567B"/>
    <w:rsid w:val="00E53DF7"/>
    <w:rsid w:val="00E57CAC"/>
    <w:rsid w:val="00E625C4"/>
    <w:rsid w:val="00EA1458"/>
    <w:rsid w:val="00ED1153"/>
    <w:rsid w:val="00EE5174"/>
    <w:rsid w:val="00EF151C"/>
    <w:rsid w:val="00F028DD"/>
    <w:rsid w:val="00F15D67"/>
    <w:rsid w:val="00F23CD8"/>
    <w:rsid w:val="00F328B2"/>
    <w:rsid w:val="00F32B7C"/>
    <w:rsid w:val="00F42BD5"/>
    <w:rsid w:val="00F65578"/>
    <w:rsid w:val="00F71C00"/>
    <w:rsid w:val="00F75511"/>
    <w:rsid w:val="00F861E2"/>
    <w:rsid w:val="00F86F75"/>
    <w:rsid w:val="00F94A7F"/>
    <w:rsid w:val="00FB21D6"/>
    <w:rsid w:val="00FC2A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C1F122"/>
  <w15:chartTrackingRefBased/>
  <w15:docId w15:val="{C4579292-F16F-4E60-BDE7-7DC3CDF6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49"/>
    <w:pPr>
      <w:widowControl/>
      <w:autoSpaceDE/>
      <w:autoSpaceDN/>
      <w:spacing w:line="80" w:lineRule="atLeast"/>
      <w:jc w:val="both"/>
    </w:pPr>
    <w:rPr>
      <w:rFonts w:eastAsia="Times New Roman" w:cs="Arial"/>
      <w:szCs w:val="20"/>
    </w:rPr>
  </w:style>
  <w:style w:type="paragraph" w:styleId="Heading1">
    <w:name w:val="heading 1"/>
    <w:basedOn w:val="Normal"/>
    <w:link w:val="Heading1Char"/>
    <w:autoRedefine/>
    <w:uiPriority w:val="9"/>
    <w:rsid w:val="00692111"/>
    <w:pPr>
      <w:numPr>
        <w:numId w:val="22"/>
      </w:numPr>
      <w:spacing w:before="120" w:after="120"/>
      <w:outlineLvl w:val="0"/>
    </w:pPr>
    <w:rPr>
      <w:sz w:val="32"/>
      <w:szCs w:val="33"/>
    </w:rPr>
  </w:style>
  <w:style w:type="paragraph" w:styleId="Heading2">
    <w:name w:val="heading 2"/>
    <w:basedOn w:val="Normal"/>
    <w:next w:val="Normal"/>
    <w:link w:val="Heading2Char"/>
    <w:autoRedefine/>
    <w:uiPriority w:val="9"/>
    <w:unhideWhenUsed/>
    <w:rsid w:val="00BA21A7"/>
    <w:pPr>
      <w:keepNext/>
      <w:keepLines/>
      <w:numPr>
        <w:numId w:val="23"/>
      </w:numPr>
      <w:spacing w:before="120" w:after="120"/>
      <w:ind w:left="527" w:hanging="357"/>
      <w:outlineLvl w:val="1"/>
    </w:pPr>
    <w:rPr>
      <w:rFonts w:asciiTheme="majorHAnsi" w:eastAsiaTheme="majorEastAsia" w:hAnsiTheme="majorHAnsi" w:cstheme="majorBidi"/>
      <w:color w:val="276E8B" w:themeColor="accent1" w:themeShade="BF"/>
      <w:sz w:val="26"/>
      <w:szCs w:val="26"/>
    </w:rPr>
  </w:style>
  <w:style w:type="paragraph" w:styleId="Heading3">
    <w:name w:val="heading 3"/>
    <w:basedOn w:val="Normal"/>
    <w:next w:val="Normal"/>
    <w:link w:val="Heading3Char"/>
    <w:uiPriority w:val="9"/>
    <w:unhideWhenUsed/>
    <w:rsid w:val="000F1C23"/>
    <w:pPr>
      <w:keepNext/>
      <w:keepLines/>
      <w:spacing w:before="40"/>
      <w:outlineLvl w:val="2"/>
    </w:pPr>
    <w:rPr>
      <w:rFonts w:asciiTheme="majorHAnsi" w:eastAsiaTheme="majorEastAsia" w:hAnsiTheme="majorHAnsi" w:cstheme="majorBidi"/>
      <w:color w:val="1A495C" w:themeColor="accent1" w:themeShade="7F"/>
      <w:sz w:val="24"/>
      <w:szCs w:val="24"/>
    </w:rPr>
  </w:style>
  <w:style w:type="paragraph" w:styleId="Heading4">
    <w:name w:val="heading 4"/>
    <w:basedOn w:val="Normal"/>
    <w:next w:val="Normal"/>
    <w:link w:val="Heading4Char"/>
    <w:uiPriority w:val="9"/>
    <w:semiHidden/>
    <w:unhideWhenUsed/>
    <w:rsid w:val="000F1C23"/>
    <w:pPr>
      <w:keepNext/>
      <w:keepLines/>
      <w:spacing w:before="40"/>
      <w:outlineLvl w:val="3"/>
    </w:pPr>
    <w:rPr>
      <w:rFonts w:asciiTheme="majorHAnsi" w:eastAsiaTheme="majorEastAsia" w:hAnsiTheme="majorHAnsi" w:cstheme="majorBidi"/>
      <w:i/>
      <w:iCs/>
      <w:color w:val="276E8B" w:themeColor="accent1" w:themeShade="BF"/>
    </w:rPr>
  </w:style>
  <w:style w:type="paragraph" w:styleId="Heading5">
    <w:name w:val="heading 5"/>
    <w:basedOn w:val="Normal"/>
    <w:next w:val="Normal"/>
    <w:link w:val="Heading5Char"/>
    <w:uiPriority w:val="9"/>
    <w:semiHidden/>
    <w:unhideWhenUsed/>
    <w:qFormat/>
    <w:rsid w:val="000F1C23"/>
    <w:pPr>
      <w:keepNext/>
      <w:keepLines/>
      <w:spacing w:before="40"/>
      <w:outlineLvl w:val="4"/>
    </w:pPr>
    <w:rPr>
      <w:rFonts w:asciiTheme="majorHAnsi" w:eastAsiaTheme="majorEastAsia" w:hAnsiTheme="majorHAnsi" w:cstheme="majorBidi"/>
      <w:color w:val="276E8B" w:themeColor="accent1" w:themeShade="BF"/>
    </w:rPr>
  </w:style>
  <w:style w:type="paragraph" w:styleId="Heading6">
    <w:name w:val="heading 6"/>
    <w:basedOn w:val="Normal"/>
    <w:next w:val="Normal"/>
    <w:link w:val="Heading6Char"/>
    <w:uiPriority w:val="9"/>
    <w:semiHidden/>
    <w:unhideWhenUsed/>
    <w:qFormat/>
    <w:rsid w:val="000F1C23"/>
    <w:pPr>
      <w:keepNext/>
      <w:keepLines/>
      <w:spacing w:before="40"/>
      <w:outlineLvl w:val="5"/>
    </w:pPr>
    <w:rPr>
      <w:rFonts w:asciiTheme="majorHAnsi" w:eastAsiaTheme="majorEastAsia" w:hAnsiTheme="majorHAnsi" w:cstheme="majorBidi"/>
      <w:color w:val="1A495C" w:themeColor="accent1" w:themeShade="7F"/>
    </w:rPr>
  </w:style>
  <w:style w:type="paragraph" w:styleId="Heading7">
    <w:name w:val="heading 7"/>
    <w:basedOn w:val="Normal"/>
    <w:next w:val="Normal"/>
    <w:link w:val="Heading7Char"/>
    <w:uiPriority w:val="9"/>
    <w:semiHidden/>
    <w:unhideWhenUsed/>
    <w:qFormat/>
    <w:rsid w:val="000F1C23"/>
    <w:pPr>
      <w:keepNext/>
      <w:keepLines/>
      <w:spacing w:before="40"/>
      <w:outlineLvl w:val="6"/>
    </w:pPr>
    <w:rPr>
      <w:rFonts w:asciiTheme="majorHAnsi" w:eastAsiaTheme="majorEastAsia" w:hAnsiTheme="majorHAnsi" w:cstheme="majorBidi"/>
      <w:i/>
      <w:iCs/>
      <w:color w:val="1A495C" w:themeColor="accent1" w:themeShade="7F"/>
    </w:rPr>
  </w:style>
  <w:style w:type="paragraph" w:styleId="Heading8">
    <w:name w:val="heading 8"/>
    <w:basedOn w:val="Normal"/>
    <w:next w:val="Normal"/>
    <w:link w:val="Heading8Char"/>
    <w:uiPriority w:val="9"/>
    <w:semiHidden/>
    <w:unhideWhenUsed/>
    <w:qFormat/>
    <w:rsid w:val="000F1C2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F1C2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F1C23"/>
    <w:rPr>
      <w:b/>
      <w:bCs/>
    </w:rPr>
  </w:style>
  <w:style w:type="paragraph" w:customStyle="1" w:styleId="TableParagraph">
    <w:name w:val="Table Paragraph"/>
    <w:basedOn w:val="Normal"/>
    <w:uiPriority w:val="1"/>
    <w:qFormat/>
    <w:rsid w:val="006E7AE7"/>
  </w:style>
  <w:style w:type="paragraph" w:styleId="ListParagraph">
    <w:name w:val="List Paragraph"/>
    <w:aliases w:val="List Paragraph 1.1"/>
    <w:basedOn w:val="Normal"/>
    <w:link w:val="ListParagraphChar"/>
    <w:uiPriority w:val="34"/>
    <w:qFormat/>
    <w:rsid w:val="006E7AE7"/>
  </w:style>
  <w:style w:type="character" w:customStyle="1" w:styleId="Heading1Char">
    <w:name w:val="Heading 1 Char"/>
    <w:basedOn w:val="DefaultParagraphFont"/>
    <w:link w:val="Heading1"/>
    <w:uiPriority w:val="9"/>
    <w:rsid w:val="00692111"/>
    <w:rPr>
      <w:rFonts w:eastAsia="Times New Roman" w:cs="Arial"/>
      <w:sz w:val="32"/>
      <w:szCs w:val="33"/>
    </w:rPr>
  </w:style>
  <w:style w:type="paragraph" w:styleId="TOCHeading">
    <w:name w:val="TOC Heading"/>
    <w:basedOn w:val="Heading1"/>
    <w:next w:val="Normal"/>
    <w:autoRedefine/>
    <w:uiPriority w:val="39"/>
    <w:unhideWhenUsed/>
    <w:qFormat/>
    <w:rsid w:val="00692111"/>
    <w:pPr>
      <w:keepNext/>
      <w:keepLines/>
      <w:numPr>
        <w:numId w:val="0"/>
      </w:numPr>
      <w:spacing w:before="240"/>
      <w:outlineLvl w:val="9"/>
    </w:pPr>
    <w:rPr>
      <w:rFonts w:asciiTheme="majorHAnsi" w:eastAsiaTheme="majorEastAsia" w:hAnsiTheme="majorHAnsi" w:cstheme="majorBidi"/>
      <w:color w:val="276E8B" w:themeColor="accent1" w:themeShade="BF"/>
      <w:szCs w:val="32"/>
    </w:rPr>
  </w:style>
  <w:style w:type="paragraph" w:styleId="TOC1">
    <w:name w:val="toc 1"/>
    <w:basedOn w:val="Normal"/>
    <w:next w:val="Normal"/>
    <w:autoRedefine/>
    <w:uiPriority w:val="39"/>
    <w:unhideWhenUsed/>
    <w:rsid w:val="00DA6ACD"/>
    <w:rPr>
      <w:rFonts w:eastAsia="Cambria"/>
    </w:rPr>
  </w:style>
  <w:style w:type="character" w:customStyle="1" w:styleId="Heading2Char">
    <w:name w:val="Heading 2 Char"/>
    <w:basedOn w:val="DefaultParagraphFont"/>
    <w:link w:val="Heading2"/>
    <w:uiPriority w:val="9"/>
    <w:rsid w:val="00BA21A7"/>
    <w:rPr>
      <w:rFonts w:asciiTheme="majorHAnsi" w:eastAsiaTheme="majorEastAsia" w:hAnsiTheme="majorHAnsi" w:cstheme="majorBidi"/>
      <w:color w:val="276E8B" w:themeColor="accent1" w:themeShade="BF"/>
      <w:sz w:val="26"/>
      <w:szCs w:val="26"/>
    </w:rPr>
  </w:style>
  <w:style w:type="character" w:customStyle="1" w:styleId="Heading3Char">
    <w:name w:val="Heading 3 Char"/>
    <w:basedOn w:val="DefaultParagraphFont"/>
    <w:link w:val="Heading3"/>
    <w:uiPriority w:val="9"/>
    <w:rsid w:val="000F1C23"/>
    <w:rPr>
      <w:rFonts w:asciiTheme="majorHAnsi" w:eastAsiaTheme="majorEastAsia" w:hAnsiTheme="majorHAnsi" w:cstheme="majorBidi"/>
      <w:color w:val="1A495C" w:themeColor="accent1" w:themeShade="7F"/>
      <w:sz w:val="24"/>
      <w:szCs w:val="24"/>
      <w:lang w:val="en-US"/>
    </w:rPr>
  </w:style>
  <w:style w:type="paragraph" w:customStyle="1" w:styleId="Style2">
    <w:name w:val="Style2"/>
    <w:basedOn w:val="Normal"/>
    <w:link w:val="Style2Char"/>
    <w:rsid w:val="00C53355"/>
    <w:pPr>
      <w:numPr>
        <w:ilvl w:val="2"/>
        <w:numId w:val="8"/>
      </w:numPr>
      <w:spacing w:after="120"/>
    </w:pPr>
  </w:style>
  <w:style w:type="paragraph" w:styleId="Title">
    <w:name w:val="Title"/>
    <w:basedOn w:val="Normal"/>
    <w:next w:val="Normal"/>
    <w:link w:val="TitleChar"/>
    <w:autoRedefine/>
    <w:uiPriority w:val="10"/>
    <w:qFormat/>
    <w:rsid w:val="00C155D4"/>
    <w:pPr>
      <w:spacing w:line="240" w:lineRule="auto"/>
      <w:contextualSpacing/>
      <w:jc w:val="center"/>
    </w:pPr>
    <w:rPr>
      <w:rFonts w:asciiTheme="majorHAnsi" w:eastAsiaTheme="majorEastAsia" w:hAnsiTheme="majorHAnsi" w:cstheme="majorBidi"/>
      <w:spacing w:val="-10"/>
      <w:kern w:val="28"/>
      <w:sz w:val="64"/>
      <w:szCs w:val="56"/>
      <w:lang w:val="en-US"/>
    </w:rPr>
  </w:style>
  <w:style w:type="character" w:customStyle="1" w:styleId="TitleChar">
    <w:name w:val="Title Char"/>
    <w:basedOn w:val="DefaultParagraphFont"/>
    <w:link w:val="Title"/>
    <w:uiPriority w:val="10"/>
    <w:rsid w:val="00C155D4"/>
    <w:rPr>
      <w:rFonts w:asciiTheme="majorHAnsi" w:eastAsiaTheme="majorEastAsia" w:hAnsiTheme="majorHAnsi" w:cstheme="majorBidi"/>
      <w:spacing w:val="-10"/>
      <w:kern w:val="28"/>
      <w:sz w:val="64"/>
      <w:szCs w:val="56"/>
      <w:lang w:val="en-US"/>
    </w:rPr>
  </w:style>
  <w:style w:type="paragraph" w:customStyle="1" w:styleId="Schedule">
    <w:name w:val="Schedule"/>
    <w:basedOn w:val="Heading1"/>
    <w:link w:val="ScheduleChar"/>
    <w:autoRedefine/>
    <w:rsid w:val="00092122"/>
    <w:pPr>
      <w:jc w:val="center"/>
    </w:pPr>
    <w:rPr>
      <w:bCs/>
      <w:szCs w:val="24"/>
    </w:rPr>
  </w:style>
  <w:style w:type="paragraph" w:styleId="BodyText">
    <w:name w:val="Body Text"/>
    <w:basedOn w:val="Normal"/>
    <w:link w:val="BodyTextChar"/>
    <w:uiPriority w:val="1"/>
    <w:qFormat/>
    <w:rsid w:val="006E7AE7"/>
    <w:pPr>
      <w:spacing w:before="117"/>
    </w:pPr>
    <w:rPr>
      <w:sz w:val="24"/>
      <w:szCs w:val="24"/>
    </w:rPr>
  </w:style>
  <w:style w:type="character" w:customStyle="1" w:styleId="BodyTextChar">
    <w:name w:val="Body Text Char"/>
    <w:basedOn w:val="DefaultParagraphFont"/>
    <w:link w:val="BodyText"/>
    <w:uiPriority w:val="1"/>
    <w:rsid w:val="000F1C23"/>
    <w:rPr>
      <w:rFonts w:ascii="Arial" w:eastAsia="Arial" w:hAnsi="Arial" w:cs="Arial"/>
      <w:sz w:val="24"/>
      <w:szCs w:val="24"/>
      <w:lang w:val="en-US"/>
    </w:rPr>
  </w:style>
  <w:style w:type="paragraph" w:customStyle="1" w:styleId="Numbered">
    <w:name w:val="Numbered"/>
    <w:basedOn w:val="Normal"/>
    <w:link w:val="NumberedChar"/>
    <w:autoRedefine/>
    <w:rsid w:val="000F1C23"/>
    <w:pPr>
      <w:numPr>
        <w:numId w:val="19"/>
      </w:numPr>
    </w:pPr>
  </w:style>
  <w:style w:type="character" w:customStyle="1" w:styleId="NumberedChar">
    <w:name w:val="Numbered Char"/>
    <w:basedOn w:val="DefaultParagraphFont"/>
    <w:link w:val="Numbered"/>
    <w:rsid w:val="000F1C23"/>
    <w:rPr>
      <w:rFonts w:eastAsia="Times New Roman" w:cs="Arial"/>
      <w:szCs w:val="20"/>
    </w:rPr>
  </w:style>
  <w:style w:type="paragraph" w:styleId="Header">
    <w:name w:val="header"/>
    <w:basedOn w:val="Normal"/>
    <w:link w:val="HeaderChar"/>
    <w:uiPriority w:val="99"/>
    <w:unhideWhenUsed/>
    <w:rsid w:val="00875837"/>
    <w:pPr>
      <w:tabs>
        <w:tab w:val="center" w:pos="4513"/>
        <w:tab w:val="right" w:pos="9026"/>
      </w:tabs>
    </w:pPr>
  </w:style>
  <w:style w:type="character" w:customStyle="1" w:styleId="HeaderChar">
    <w:name w:val="Header Char"/>
    <w:basedOn w:val="DefaultParagraphFont"/>
    <w:link w:val="Header"/>
    <w:uiPriority w:val="99"/>
    <w:rsid w:val="00875837"/>
    <w:rPr>
      <w:rFonts w:ascii="Nunito Sans" w:eastAsiaTheme="minorEastAsia" w:hAnsi="Nunito Sans" w:cs="Segoe UI Historic"/>
    </w:rPr>
  </w:style>
  <w:style w:type="paragraph" w:customStyle="1" w:styleId="BulletPHIT">
    <w:name w:val="Bullet PHIT"/>
    <w:basedOn w:val="ListParagraph"/>
    <w:link w:val="BulletPHITChar"/>
    <w:autoRedefine/>
    <w:rsid w:val="00875837"/>
    <w:pPr>
      <w:numPr>
        <w:numId w:val="1"/>
      </w:numPr>
    </w:pPr>
    <w:rPr>
      <w:bCs/>
      <w:iCs/>
    </w:rPr>
  </w:style>
  <w:style w:type="character" w:customStyle="1" w:styleId="BulletPHITChar">
    <w:name w:val="Bullet PHIT Char"/>
    <w:basedOn w:val="DefaultParagraphFont"/>
    <w:link w:val="BulletPHIT"/>
    <w:rsid w:val="00875837"/>
    <w:rPr>
      <w:rFonts w:eastAsia="Times New Roman" w:cs="Arial"/>
      <w:bCs/>
      <w:iCs/>
      <w:szCs w:val="20"/>
    </w:rPr>
  </w:style>
  <w:style w:type="paragraph" w:customStyle="1" w:styleId="Bullet">
    <w:name w:val="Bullet"/>
    <w:basedOn w:val="Normal"/>
    <w:link w:val="BulletChar"/>
    <w:autoRedefine/>
    <w:rsid w:val="000F1C23"/>
    <w:pPr>
      <w:numPr>
        <w:numId w:val="18"/>
      </w:numPr>
    </w:pPr>
  </w:style>
  <w:style w:type="character" w:customStyle="1" w:styleId="BulletChar">
    <w:name w:val="Bullet Char"/>
    <w:basedOn w:val="DefaultParagraphFont"/>
    <w:link w:val="Bullet"/>
    <w:rsid w:val="000F1C23"/>
    <w:rPr>
      <w:rFonts w:eastAsia="Times New Roman" w:cs="Arial"/>
      <w:szCs w:val="20"/>
    </w:rPr>
  </w:style>
  <w:style w:type="paragraph" w:styleId="ListBullet">
    <w:name w:val="List Bullet"/>
    <w:basedOn w:val="Normal"/>
    <w:uiPriority w:val="99"/>
    <w:semiHidden/>
    <w:unhideWhenUsed/>
    <w:rsid w:val="00FB21D6"/>
    <w:pPr>
      <w:tabs>
        <w:tab w:val="num" w:pos="360"/>
      </w:tabs>
      <w:ind w:left="360" w:hanging="360"/>
    </w:pPr>
  </w:style>
  <w:style w:type="paragraph" w:styleId="Subtitle">
    <w:name w:val="Subtitle"/>
    <w:basedOn w:val="Normal"/>
    <w:next w:val="Normal"/>
    <w:link w:val="SubtitleChar"/>
    <w:uiPriority w:val="11"/>
    <w:qFormat/>
    <w:rsid w:val="000F1C23"/>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F1C23"/>
    <w:rPr>
      <w:rFonts w:eastAsiaTheme="minorEastAsia"/>
      <w:color w:val="5A5A5A" w:themeColor="text1" w:themeTint="A5"/>
      <w:spacing w:val="15"/>
      <w:lang w:val="en-US"/>
    </w:rPr>
  </w:style>
  <w:style w:type="paragraph" w:customStyle="1" w:styleId="TableHeading">
    <w:name w:val="Table Heading"/>
    <w:basedOn w:val="Normal"/>
    <w:link w:val="TableHeadingChar"/>
    <w:autoRedefine/>
    <w:rsid w:val="00F028DD"/>
    <w:pPr>
      <w:jc w:val="center"/>
    </w:pPr>
    <w:rPr>
      <w:b/>
      <w:color w:val="FFFFFF" w:themeColor="background1"/>
    </w:rPr>
  </w:style>
  <w:style w:type="character" w:customStyle="1" w:styleId="TableHeadingChar">
    <w:name w:val="Table Heading Char"/>
    <w:basedOn w:val="DefaultParagraphFont"/>
    <w:link w:val="TableHeading"/>
    <w:rsid w:val="00F028DD"/>
    <w:rPr>
      <w:rFonts w:ascii="Nunito Sans" w:hAnsi="Nunito Sans"/>
      <w:b/>
      <w:color w:val="FFFFFF" w:themeColor="background1"/>
    </w:rPr>
  </w:style>
  <w:style w:type="paragraph" w:customStyle="1" w:styleId="Appendix">
    <w:name w:val="Appendix"/>
    <w:basedOn w:val="Normal"/>
    <w:link w:val="AppendixChar"/>
    <w:autoRedefine/>
    <w:rsid w:val="000F1C23"/>
    <w:pPr>
      <w:numPr>
        <w:numId w:val="17"/>
      </w:numPr>
    </w:pPr>
    <w:rPr>
      <w:rFonts w:ascii="Nunito Sans SemiBold" w:hAnsi="Nunito Sans SemiBold"/>
      <w:color w:val="0070C0"/>
      <w:sz w:val="36"/>
    </w:rPr>
  </w:style>
  <w:style w:type="character" w:customStyle="1" w:styleId="Heading4Char">
    <w:name w:val="Heading 4 Char"/>
    <w:basedOn w:val="DefaultParagraphFont"/>
    <w:link w:val="Heading4"/>
    <w:uiPriority w:val="9"/>
    <w:semiHidden/>
    <w:rsid w:val="000F1C23"/>
    <w:rPr>
      <w:rFonts w:asciiTheme="majorHAnsi" w:eastAsiaTheme="majorEastAsia" w:hAnsiTheme="majorHAnsi" w:cstheme="majorBidi"/>
      <w:i/>
      <w:iCs/>
      <w:color w:val="276E8B" w:themeColor="accent1" w:themeShade="BF"/>
      <w:lang w:val="en-US"/>
    </w:rPr>
  </w:style>
  <w:style w:type="character" w:customStyle="1" w:styleId="Heading5Char">
    <w:name w:val="Heading 5 Char"/>
    <w:basedOn w:val="DefaultParagraphFont"/>
    <w:link w:val="Heading5"/>
    <w:uiPriority w:val="9"/>
    <w:semiHidden/>
    <w:rsid w:val="000F1C23"/>
    <w:rPr>
      <w:rFonts w:asciiTheme="majorHAnsi" w:eastAsiaTheme="majorEastAsia" w:hAnsiTheme="majorHAnsi" w:cstheme="majorBidi"/>
      <w:color w:val="276E8B" w:themeColor="accent1" w:themeShade="BF"/>
      <w:lang w:val="en-US"/>
    </w:rPr>
  </w:style>
  <w:style w:type="character" w:customStyle="1" w:styleId="Heading6Char">
    <w:name w:val="Heading 6 Char"/>
    <w:basedOn w:val="DefaultParagraphFont"/>
    <w:link w:val="Heading6"/>
    <w:uiPriority w:val="9"/>
    <w:semiHidden/>
    <w:rsid w:val="000F1C23"/>
    <w:rPr>
      <w:rFonts w:asciiTheme="majorHAnsi" w:eastAsiaTheme="majorEastAsia" w:hAnsiTheme="majorHAnsi" w:cstheme="majorBidi"/>
      <w:color w:val="1A495C" w:themeColor="accent1" w:themeShade="7F"/>
      <w:lang w:val="en-US"/>
    </w:rPr>
  </w:style>
  <w:style w:type="character" w:customStyle="1" w:styleId="Heading7Char">
    <w:name w:val="Heading 7 Char"/>
    <w:basedOn w:val="DefaultParagraphFont"/>
    <w:link w:val="Heading7"/>
    <w:uiPriority w:val="9"/>
    <w:semiHidden/>
    <w:rsid w:val="000F1C23"/>
    <w:rPr>
      <w:rFonts w:asciiTheme="majorHAnsi" w:eastAsiaTheme="majorEastAsia" w:hAnsiTheme="majorHAnsi" w:cstheme="majorBidi"/>
      <w:i/>
      <w:iCs/>
      <w:color w:val="1A495C" w:themeColor="accent1" w:themeShade="7F"/>
      <w:lang w:val="en-US"/>
    </w:rPr>
  </w:style>
  <w:style w:type="character" w:customStyle="1" w:styleId="Heading8Char">
    <w:name w:val="Heading 8 Char"/>
    <w:basedOn w:val="DefaultParagraphFont"/>
    <w:link w:val="Heading8"/>
    <w:uiPriority w:val="9"/>
    <w:semiHidden/>
    <w:rsid w:val="000F1C23"/>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F1C23"/>
    <w:rPr>
      <w:rFonts w:asciiTheme="majorHAnsi" w:eastAsiaTheme="majorEastAsia" w:hAnsiTheme="majorHAnsi" w:cstheme="majorBidi"/>
      <w:i/>
      <w:iCs/>
      <w:color w:val="272727" w:themeColor="text1" w:themeTint="D8"/>
      <w:sz w:val="21"/>
      <w:szCs w:val="21"/>
      <w:lang w:val="en-US"/>
    </w:rPr>
  </w:style>
  <w:style w:type="paragraph" w:styleId="Caption">
    <w:name w:val="caption"/>
    <w:basedOn w:val="Normal"/>
    <w:next w:val="Normal"/>
    <w:uiPriority w:val="35"/>
    <w:semiHidden/>
    <w:unhideWhenUsed/>
    <w:qFormat/>
    <w:rsid w:val="000F1C23"/>
    <w:pPr>
      <w:spacing w:after="200"/>
    </w:pPr>
    <w:rPr>
      <w:i/>
      <w:iCs/>
      <w:color w:val="373545" w:themeColor="text2"/>
      <w:sz w:val="18"/>
      <w:szCs w:val="18"/>
    </w:rPr>
  </w:style>
  <w:style w:type="character" w:styleId="Emphasis">
    <w:name w:val="Emphasis"/>
    <w:basedOn w:val="DefaultParagraphFont"/>
    <w:uiPriority w:val="20"/>
    <w:qFormat/>
    <w:rsid w:val="000F1C23"/>
    <w:rPr>
      <w:i/>
      <w:iCs/>
    </w:rPr>
  </w:style>
  <w:style w:type="paragraph" w:styleId="NoSpacing">
    <w:name w:val="No Spacing"/>
    <w:link w:val="NoSpacingChar"/>
    <w:uiPriority w:val="1"/>
    <w:qFormat/>
    <w:rsid w:val="000F1C23"/>
    <w:rPr>
      <w:rFonts w:ascii="Arial" w:hAnsi="Arial" w:cs="Arial"/>
      <w:lang w:val="en-US"/>
    </w:rPr>
  </w:style>
  <w:style w:type="paragraph" w:styleId="Quote">
    <w:name w:val="Quote"/>
    <w:basedOn w:val="Normal"/>
    <w:next w:val="Normal"/>
    <w:link w:val="QuoteChar"/>
    <w:uiPriority w:val="29"/>
    <w:qFormat/>
    <w:rsid w:val="000F1C2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1C23"/>
    <w:rPr>
      <w:rFonts w:ascii="Arial" w:eastAsia="Arial" w:hAnsi="Arial" w:cs="Arial"/>
      <w:i/>
      <w:iCs/>
      <w:color w:val="404040" w:themeColor="text1" w:themeTint="BF"/>
      <w:lang w:val="en-US"/>
    </w:rPr>
  </w:style>
  <w:style w:type="paragraph" w:styleId="IntenseQuote">
    <w:name w:val="Intense Quote"/>
    <w:basedOn w:val="Normal"/>
    <w:next w:val="Normal"/>
    <w:link w:val="IntenseQuoteChar"/>
    <w:uiPriority w:val="30"/>
    <w:qFormat/>
    <w:rsid w:val="000F1C23"/>
    <w:pPr>
      <w:pBdr>
        <w:top w:val="single" w:sz="4" w:space="10" w:color="3494BA" w:themeColor="accent1"/>
        <w:bottom w:val="single" w:sz="4" w:space="10" w:color="3494BA" w:themeColor="accent1"/>
      </w:pBdr>
      <w:spacing w:before="360" w:after="360"/>
      <w:ind w:left="864" w:right="864"/>
      <w:jc w:val="center"/>
    </w:pPr>
    <w:rPr>
      <w:i/>
      <w:iCs/>
      <w:color w:val="3494BA" w:themeColor="accent1"/>
    </w:rPr>
  </w:style>
  <w:style w:type="character" w:customStyle="1" w:styleId="IntenseQuoteChar">
    <w:name w:val="Intense Quote Char"/>
    <w:basedOn w:val="DefaultParagraphFont"/>
    <w:link w:val="IntenseQuote"/>
    <w:uiPriority w:val="30"/>
    <w:rsid w:val="000F1C23"/>
    <w:rPr>
      <w:rFonts w:ascii="Arial" w:eastAsia="Arial" w:hAnsi="Arial" w:cs="Arial"/>
      <w:i/>
      <w:iCs/>
      <w:color w:val="3494BA" w:themeColor="accent1"/>
      <w:lang w:val="en-US"/>
    </w:rPr>
  </w:style>
  <w:style w:type="character" w:styleId="SubtleEmphasis">
    <w:name w:val="Subtle Emphasis"/>
    <w:basedOn w:val="DefaultParagraphFont"/>
    <w:uiPriority w:val="19"/>
    <w:qFormat/>
    <w:rsid w:val="000F1C23"/>
    <w:rPr>
      <w:i/>
      <w:iCs/>
      <w:color w:val="404040" w:themeColor="text1" w:themeTint="BF"/>
    </w:rPr>
  </w:style>
  <w:style w:type="character" w:styleId="IntenseEmphasis">
    <w:name w:val="Intense Emphasis"/>
    <w:basedOn w:val="DefaultParagraphFont"/>
    <w:uiPriority w:val="21"/>
    <w:qFormat/>
    <w:rsid w:val="000F1C23"/>
    <w:rPr>
      <w:i/>
      <w:iCs/>
      <w:color w:val="3494BA" w:themeColor="accent1"/>
    </w:rPr>
  </w:style>
  <w:style w:type="character" w:styleId="SubtleReference">
    <w:name w:val="Subtle Reference"/>
    <w:basedOn w:val="DefaultParagraphFont"/>
    <w:uiPriority w:val="31"/>
    <w:qFormat/>
    <w:rsid w:val="00E02172"/>
    <w:rPr>
      <w:rFonts w:asciiTheme="minorHAnsi" w:hAnsiTheme="minorHAnsi"/>
      <w:smallCaps/>
      <w:color w:val="262626" w:themeColor="text1" w:themeTint="D9"/>
    </w:rPr>
  </w:style>
  <w:style w:type="character" w:styleId="IntenseReference">
    <w:name w:val="Intense Reference"/>
    <w:basedOn w:val="DefaultParagraphFont"/>
    <w:uiPriority w:val="32"/>
    <w:qFormat/>
    <w:rsid w:val="000F1C23"/>
    <w:rPr>
      <w:b/>
      <w:bCs/>
      <w:smallCaps/>
      <w:color w:val="3494BA" w:themeColor="accent1"/>
      <w:spacing w:val="5"/>
    </w:rPr>
  </w:style>
  <w:style w:type="character" w:styleId="BookTitle">
    <w:name w:val="Book Title"/>
    <w:basedOn w:val="DefaultParagraphFont"/>
    <w:uiPriority w:val="33"/>
    <w:qFormat/>
    <w:rsid w:val="000F1C23"/>
    <w:rPr>
      <w:b/>
      <w:bCs/>
      <w:i/>
      <w:iCs/>
      <w:spacing w:val="5"/>
    </w:rPr>
  </w:style>
  <w:style w:type="paragraph" w:customStyle="1" w:styleId="ExampleNumbered">
    <w:name w:val="Example Numbered"/>
    <w:basedOn w:val="Normal"/>
    <w:link w:val="ExampleNumberedChar"/>
    <w:autoRedefine/>
    <w:rsid w:val="00510998"/>
    <w:pPr>
      <w:ind w:left="360" w:hanging="360"/>
    </w:pPr>
    <w:rPr>
      <w:color w:val="FF0000"/>
      <w:w w:val="105"/>
    </w:rPr>
  </w:style>
  <w:style w:type="character" w:customStyle="1" w:styleId="ExampleNumberedChar">
    <w:name w:val="Example Numbered Char"/>
    <w:basedOn w:val="DefaultParagraphFont"/>
    <w:link w:val="ExampleNumbered"/>
    <w:rsid w:val="00510998"/>
    <w:rPr>
      <w:color w:val="FF0000"/>
      <w:w w:val="105"/>
      <w:sz w:val="22"/>
    </w:rPr>
  </w:style>
  <w:style w:type="paragraph" w:customStyle="1" w:styleId="NormalNumbered">
    <w:name w:val="Normal Numbered"/>
    <w:basedOn w:val="ExampleNumbered"/>
    <w:autoRedefine/>
    <w:rsid w:val="00510998"/>
    <w:rPr>
      <w:color w:val="auto"/>
    </w:rPr>
  </w:style>
  <w:style w:type="paragraph" w:customStyle="1" w:styleId="Style1">
    <w:name w:val="Style1"/>
    <w:basedOn w:val="Heading1"/>
    <w:next w:val="Style2"/>
    <w:link w:val="Style1Char"/>
    <w:autoRedefine/>
    <w:rsid w:val="00C53355"/>
    <w:pPr>
      <w:numPr>
        <w:numId w:val="8"/>
      </w:numPr>
      <w:tabs>
        <w:tab w:val="left" w:pos="426"/>
      </w:tabs>
    </w:pPr>
  </w:style>
  <w:style w:type="character" w:customStyle="1" w:styleId="Style1Char">
    <w:name w:val="Style1 Char"/>
    <w:link w:val="Style1"/>
    <w:rsid w:val="002A5FF0"/>
    <w:rPr>
      <w:rFonts w:eastAsia="Times New Roman" w:cs="Arial"/>
      <w:sz w:val="32"/>
      <w:szCs w:val="33"/>
    </w:rPr>
  </w:style>
  <w:style w:type="paragraph" w:customStyle="1" w:styleId="Style3a">
    <w:name w:val="Style3a"/>
    <w:basedOn w:val="Style311"/>
    <w:rsid w:val="00C53355"/>
    <w:pPr>
      <w:numPr>
        <w:ilvl w:val="5"/>
      </w:numPr>
    </w:pPr>
  </w:style>
  <w:style w:type="paragraph" w:customStyle="1" w:styleId="Style311">
    <w:name w:val="Style3.1.1"/>
    <w:basedOn w:val="Normal"/>
    <w:link w:val="Style311Char"/>
    <w:rsid w:val="00C53355"/>
    <w:pPr>
      <w:numPr>
        <w:ilvl w:val="4"/>
        <w:numId w:val="8"/>
      </w:numPr>
      <w:spacing w:after="120"/>
    </w:pPr>
    <w:rPr>
      <w:bCs/>
    </w:rPr>
  </w:style>
  <w:style w:type="character" w:customStyle="1" w:styleId="Style311Char">
    <w:name w:val="Style3.1.1 Char"/>
    <w:link w:val="Style311"/>
    <w:rsid w:val="00C53355"/>
    <w:rPr>
      <w:rFonts w:eastAsia="Times New Roman" w:cs="Arial"/>
      <w:bCs/>
      <w:szCs w:val="20"/>
    </w:rPr>
  </w:style>
  <w:style w:type="paragraph" w:customStyle="1" w:styleId="Style2n">
    <w:name w:val="Style2n"/>
    <w:basedOn w:val="Normal"/>
    <w:rsid w:val="00C53355"/>
    <w:pPr>
      <w:spacing w:after="120"/>
      <w:ind w:left="709"/>
    </w:pPr>
  </w:style>
  <w:style w:type="paragraph" w:customStyle="1" w:styleId="Style3n">
    <w:name w:val="Style3n"/>
    <w:basedOn w:val="Normal"/>
    <w:rsid w:val="00C53355"/>
    <w:pPr>
      <w:spacing w:after="120"/>
      <w:ind w:left="1418"/>
    </w:pPr>
  </w:style>
  <w:style w:type="paragraph" w:customStyle="1" w:styleId="Style4">
    <w:name w:val="Style4"/>
    <w:basedOn w:val="Normal"/>
    <w:rsid w:val="00C53355"/>
    <w:pPr>
      <w:numPr>
        <w:ilvl w:val="6"/>
        <w:numId w:val="8"/>
      </w:numPr>
      <w:spacing w:after="120"/>
    </w:pPr>
  </w:style>
  <w:style w:type="paragraph" w:customStyle="1" w:styleId="Style4n">
    <w:name w:val="Style4n"/>
    <w:basedOn w:val="Style3n"/>
    <w:rsid w:val="00C53355"/>
    <w:pPr>
      <w:ind w:left="2127"/>
    </w:pPr>
  </w:style>
  <w:style w:type="paragraph" w:customStyle="1" w:styleId="Style2a">
    <w:name w:val="Style2a"/>
    <w:basedOn w:val="Style2n"/>
    <w:rsid w:val="00C53355"/>
    <w:pPr>
      <w:numPr>
        <w:ilvl w:val="3"/>
        <w:numId w:val="8"/>
      </w:numPr>
    </w:pPr>
  </w:style>
  <w:style w:type="paragraph" w:customStyle="1" w:styleId="Style4a">
    <w:name w:val="Style4a"/>
    <w:basedOn w:val="Style3a"/>
    <w:rsid w:val="00C53355"/>
    <w:pPr>
      <w:numPr>
        <w:ilvl w:val="7"/>
      </w:numPr>
    </w:pPr>
  </w:style>
  <w:style w:type="character" w:customStyle="1" w:styleId="Style2Char">
    <w:name w:val="Style2 Char"/>
    <w:link w:val="Style2"/>
    <w:rsid w:val="002A5FF0"/>
    <w:rPr>
      <w:rFonts w:eastAsia="Times New Roman" w:cs="Arial"/>
      <w:szCs w:val="20"/>
    </w:rPr>
  </w:style>
  <w:style w:type="paragraph" w:customStyle="1" w:styleId="TableText">
    <w:name w:val="Table Text"/>
    <w:basedOn w:val="TableParagraph"/>
    <w:autoRedefine/>
    <w:rsid w:val="00FC2A46"/>
    <w:rPr>
      <w:szCs w:val="28"/>
    </w:rPr>
  </w:style>
  <w:style w:type="paragraph" w:customStyle="1" w:styleId="StyleiLeft275cmHanging075cm">
    <w:name w:val="Style (i) Left:  2.75 cm Hanging:  0.75 cm"/>
    <w:basedOn w:val="Normal"/>
    <w:autoRedefine/>
    <w:rsid w:val="00FC2A46"/>
    <w:pPr>
      <w:numPr>
        <w:numId w:val="2"/>
      </w:numPr>
    </w:pPr>
  </w:style>
  <w:style w:type="paragraph" w:customStyle="1" w:styleId="ab">
    <w:name w:val="a) b)"/>
    <w:basedOn w:val="Style2"/>
    <w:link w:val="abChar"/>
    <w:autoRedefine/>
    <w:rsid w:val="002A5FF0"/>
    <w:pPr>
      <w:numPr>
        <w:numId w:val="0"/>
      </w:numPr>
      <w:ind w:left="1208" w:hanging="357"/>
    </w:pPr>
  </w:style>
  <w:style w:type="character" w:customStyle="1" w:styleId="abChar">
    <w:name w:val="a) b) Char"/>
    <w:basedOn w:val="Style2Char"/>
    <w:link w:val="ab"/>
    <w:rsid w:val="002A5FF0"/>
    <w:rPr>
      <w:rFonts w:ascii="Arial" w:eastAsia="Times New Roman" w:hAnsi="Arial" w:cs="Arial"/>
      <w:sz w:val="22"/>
      <w:szCs w:val="20"/>
    </w:rPr>
  </w:style>
  <w:style w:type="paragraph" w:customStyle="1" w:styleId="MidTitle">
    <w:name w:val="Mid Title"/>
    <w:basedOn w:val="Normal"/>
    <w:autoRedefine/>
    <w:rsid w:val="002A5FF0"/>
    <w:pPr>
      <w:ind w:left="283" w:hanging="283"/>
    </w:pPr>
    <w:rPr>
      <w:b/>
      <w:smallCaps/>
      <w:sz w:val="28"/>
    </w:rPr>
  </w:style>
  <w:style w:type="paragraph" w:customStyle="1" w:styleId="Annex">
    <w:name w:val="Annex"/>
    <w:basedOn w:val="Header"/>
    <w:autoRedefine/>
    <w:rsid w:val="002A5FF0"/>
    <w:pPr>
      <w:pageBreakBefore/>
    </w:pPr>
    <w:rPr>
      <w:b/>
      <w:smallCaps/>
      <w:sz w:val="28"/>
    </w:rPr>
  </w:style>
  <w:style w:type="paragraph" w:customStyle="1" w:styleId="AnnexNormStyle">
    <w:name w:val="Annex Norm Style"/>
    <w:basedOn w:val="Style2"/>
    <w:autoRedefine/>
    <w:rsid w:val="002A5FF0"/>
    <w:pPr>
      <w:numPr>
        <w:ilvl w:val="1"/>
        <w:numId w:val="3"/>
      </w:numPr>
      <w:spacing w:after="0"/>
    </w:pPr>
  </w:style>
  <w:style w:type="paragraph" w:customStyle="1" w:styleId="Parties">
    <w:name w:val="Parties"/>
    <w:basedOn w:val="Normal"/>
    <w:rsid w:val="00267338"/>
    <w:pPr>
      <w:numPr>
        <w:numId w:val="12"/>
      </w:numPr>
    </w:pPr>
  </w:style>
  <w:style w:type="paragraph" w:customStyle="1" w:styleId="Background">
    <w:name w:val="Background"/>
    <w:basedOn w:val="Normal"/>
    <w:rsid w:val="00267338"/>
    <w:pPr>
      <w:numPr>
        <w:numId w:val="13"/>
      </w:numPr>
    </w:pPr>
  </w:style>
  <w:style w:type="paragraph" w:customStyle="1" w:styleId="ClauseBodyL1">
    <w:name w:val="Clause Body L1"/>
    <w:basedOn w:val="Normal"/>
    <w:rsid w:val="00267338"/>
    <w:pPr>
      <w:ind w:left="851"/>
    </w:pPr>
  </w:style>
  <w:style w:type="paragraph" w:customStyle="1" w:styleId="ClauseBodyL2">
    <w:name w:val="Clause Body L2"/>
    <w:basedOn w:val="ClauseBodyL1"/>
    <w:rsid w:val="00267338"/>
  </w:style>
  <w:style w:type="paragraph" w:customStyle="1" w:styleId="ClauseBodyL3">
    <w:name w:val="Clause Body L3"/>
    <w:basedOn w:val="ClauseBodyL2"/>
    <w:rsid w:val="00267338"/>
    <w:pPr>
      <w:tabs>
        <w:tab w:val="left" w:pos="851"/>
      </w:tabs>
      <w:ind w:left="1700"/>
    </w:pPr>
  </w:style>
  <w:style w:type="paragraph" w:customStyle="1" w:styleId="ClauseBodyL4">
    <w:name w:val="Clause Body L4"/>
    <w:basedOn w:val="ClauseBodyL3"/>
    <w:rsid w:val="00267338"/>
    <w:pPr>
      <w:ind w:left="2410"/>
    </w:pPr>
  </w:style>
  <w:style w:type="paragraph" w:customStyle="1" w:styleId="ClauseBodyL5">
    <w:name w:val="Clause Body L5"/>
    <w:basedOn w:val="ClauseBodyL4"/>
    <w:rsid w:val="00267338"/>
    <w:pPr>
      <w:ind w:left="3118"/>
    </w:pPr>
  </w:style>
  <w:style w:type="paragraph" w:customStyle="1" w:styleId="ClauseL1">
    <w:name w:val="Clause L1"/>
    <w:basedOn w:val="ClauseBodyL1"/>
    <w:rsid w:val="00267338"/>
    <w:pPr>
      <w:numPr>
        <w:numId w:val="14"/>
      </w:numPr>
      <w:spacing w:before="360"/>
      <w:outlineLvl w:val="1"/>
    </w:pPr>
    <w:rPr>
      <w:b/>
      <w:bCs/>
    </w:rPr>
  </w:style>
  <w:style w:type="paragraph" w:customStyle="1" w:styleId="ClauseL2">
    <w:name w:val="Clause L2"/>
    <w:basedOn w:val="ClauseBodyL2"/>
    <w:rsid w:val="00267338"/>
    <w:pPr>
      <w:numPr>
        <w:ilvl w:val="1"/>
        <w:numId w:val="14"/>
      </w:numPr>
      <w:outlineLvl w:val="2"/>
    </w:pPr>
  </w:style>
  <w:style w:type="paragraph" w:customStyle="1" w:styleId="ClauseL3">
    <w:name w:val="Clause L3"/>
    <w:basedOn w:val="ClauseBodyL3"/>
    <w:rsid w:val="00267338"/>
    <w:pPr>
      <w:numPr>
        <w:ilvl w:val="2"/>
        <w:numId w:val="14"/>
      </w:numPr>
      <w:tabs>
        <w:tab w:val="clear" w:pos="851"/>
      </w:tabs>
      <w:outlineLvl w:val="3"/>
    </w:pPr>
  </w:style>
  <w:style w:type="paragraph" w:customStyle="1" w:styleId="ClauseL4">
    <w:name w:val="Clause L4"/>
    <w:basedOn w:val="ClauseBodyL4"/>
    <w:rsid w:val="00267338"/>
    <w:pPr>
      <w:numPr>
        <w:ilvl w:val="3"/>
        <w:numId w:val="14"/>
      </w:numPr>
      <w:tabs>
        <w:tab w:val="clear" w:pos="851"/>
      </w:tabs>
      <w:outlineLvl w:val="4"/>
    </w:pPr>
  </w:style>
  <w:style w:type="paragraph" w:customStyle="1" w:styleId="ClauseL5">
    <w:name w:val="Clause L5"/>
    <w:basedOn w:val="ClauseBodyL5"/>
    <w:rsid w:val="00267338"/>
    <w:pPr>
      <w:numPr>
        <w:ilvl w:val="4"/>
        <w:numId w:val="14"/>
      </w:numPr>
      <w:outlineLvl w:val="5"/>
    </w:pPr>
  </w:style>
  <w:style w:type="paragraph" w:customStyle="1" w:styleId="DefinitionL1">
    <w:name w:val="Definition L1"/>
    <w:basedOn w:val="ClauseBodyL1"/>
    <w:rsid w:val="00267338"/>
    <w:pPr>
      <w:numPr>
        <w:numId w:val="15"/>
      </w:numPr>
    </w:pPr>
  </w:style>
  <w:style w:type="paragraph" w:customStyle="1" w:styleId="DefinitionL2">
    <w:name w:val="Definition L2"/>
    <w:basedOn w:val="ClauseBodyL2"/>
    <w:rsid w:val="00267338"/>
    <w:pPr>
      <w:numPr>
        <w:ilvl w:val="1"/>
        <w:numId w:val="15"/>
      </w:numPr>
    </w:pPr>
  </w:style>
  <w:style w:type="paragraph" w:customStyle="1" w:styleId="DefinitionL3">
    <w:name w:val="Definition L3"/>
    <w:basedOn w:val="ClauseBodyL3"/>
    <w:rsid w:val="00267338"/>
    <w:pPr>
      <w:numPr>
        <w:ilvl w:val="2"/>
        <w:numId w:val="15"/>
      </w:numPr>
      <w:tabs>
        <w:tab w:val="clear" w:pos="851"/>
      </w:tabs>
    </w:pPr>
  </w:style>
  <w:style w:type="paragraph" w:customStyle="1" w:styleId="DefinitionL4">
    <w:name w:val="Definition L4"/>
    <w:basedOn w:val="ClauseBodyL4"/>
    <w:rsid w:val="00267338"/>
    <w:pPr>
      <w:numPr>
        <w:ilvl w:val="3"/>
        <w:numId w:val="15"/>
      </w:numPr>
    </w:pPr>
  </w:style>
  <w:style w:type="paragraph" w:customStyle="1" w:styleId="ScheduleL1">
    <w:name w:val="Schedule L1"/>
    <w:basedOn w:val="ClauseBodyL1"/>
    <w:rsid w:val="00267338"/>
    <w:pPr>
      <w:numPr>
        <w:numId w:val="16"/>
      </w:numPr>
      <w:outlineLvl w:val="1"/>
    </w:pPr>
  </w:style>
  <w:style w:type="paragraph" w:customStyle="1" w:styleId="ScheduleL2">
    <w:name w:val="Schedule L2"/>
    <w:basedOn w:val="ClauseBodyL2"/>
    <w:rsid w:val="00267338"/>
    <w:pPr>
      <w:numPr>
        <w:ilvl w:val="1"/>
        <w:numId w:val="16"/>
      </w:numPr>
      <w:outlineLvl w:val="2"/>
    </w:pPr>
  </w:style>
  <w:style w:type="paragraph" w:customStyle="1" w:styleId="ScheduleL3">
    <w:name w:val="Schedule L3"/>
    <w:basedOn w:val="ClauseBodyL3"/>
    <w:rsid w:val="00267338"/>
    <w:pPr>
      <w:numPr>
        <w:ilvl w:val="2"/>
        <w:numId w:val="16"/>
      </w:numPr>
      <w:tabs>
        <w:tab w:val="clear" w:pos="851"/>
      </w:tabs>
      <w:outlineLvl w:val="3"/>
    </w:pPr>
  </w:style>
  <w:style w:type="paragraph" w:customStyle="1" w:styleId="ScheduleL4">
    <w:name w:val="Schedule L4"/>
    <w:basedOn w:val="ClauseBodyL4"/>
    <w:rsid w:val="00267338"/>
    <w:pPr>
      <w:numPr>
        <w:ilvl w:val="3"/>
        <w:numId w:val="16"/>
      </w:numPr>
      <w:tabs>
        <w:tab w:val="clear" w:pos="851"/>
      </w:tabs>
      <w:outlineLvl w:val="4"/>
    </w:pPr>
  </w:style>
  <w:style w:type="paragraph" w:customStyle="1" w:styleId="ScheduleL5">
    <w:name w:val="Schedule L5"/>
    <w:basedOn w:val="ClauseBodyL5"/>
    <w:rsid w:val="00267338"/>
    <w:pPr>
      <w:numPr>
        <w:ilvl w:val="4"/>
        <w:numId w:val="16"/>
      </w:numPr>
      <w:outlineLvl w:val="5"/>
    </w:pPr>
  </w:style>
  <w:style w:type="character" w:customStyle="1" w:styleId="DefinedTerm">
    <w:name w:val="Defined Term"/>
    <w:basedOn w:val="DefaultParagraphFont"/>
    <w:uiPriority w:val="1"/>
    <w:rsid w:val="00267338"/>
    <w:rPr>
      <w:b/>
      <w:bCs/>
    </w:rPr>
  </w:style>
  <w:style w:type="paragraph" w:customStyle="1" w:styleId="Bullet-Normal">
    <w:name w:val="Bullet - Normal"/>
    <w:basedOn w:val="ListParagraph"/>
    <w:autoRedefine/>
    <w:rsid w:val="000F1C23"/>
    <w:pPr>
      <w:tabs>
        <w:tab w:val="center" w:pos="4320"/>
      </w:tabs>
      <w:spacing w:before="30" w:after="30"/>
      <w:contextualSpacing/>
    </w:pPr>
    <w:rPr>
      <w:rFonts w:eastAsiaTheme="majorEastAsia" w:cstheme="minorBidi"/>
      <w:lang w:val="en-CA" w:eastAsia="en-GB"/>
    </w:rPr>
  </w:style>
  <w:style w:type="paragraph" w:customStyle="1" w:styleId="HeaderTitle">
    <w:name w:val="Header Title"/>
    <w:basedOn w:val="Header"/>
    <w:link w:val="HeaderTitleChar"/>
    <w:autoRedefine/>
    <w:rsid w:val="000F1C23"/>
    <w:rPr>
      <w:color w:val="808080" w:themeColor="background1" w:themeShade="80"/>
      <w:sz w:val="24"/>
    </w:rPr>
  </w:style>
  <w:style w:type="character" w:customStyle="1" w:styleId="HeaderTitleChar">
    <w:name w:val="Header Title Char"/>
    <w:basedOn w:val="HeaderChar"/>
    <w:link w:val="HeaderTitle"/>
    <w:rsid w:val="000F1C23"/>
    <w:rPr>
      <w:rFonts w:ascii="Nunito Sans" w:eastAsiaTheme="minorEastAsia" w:hAnsi="Nunito Sans" w:cs="Segoe UI Historic"/>
      <w:color w:val="808080" w:themeColor="background1" w:themeShade="80"/>
      <w:sz w:val="24"/>
    </w:rPr>
  </w:style>
  <w:style w:type="paragraph" w:customStyle="1" w:styleId="Author">
    <w:name w:val="Author"/>
    <w:basedOn w:val="Normal"/>
    <w:link w:val="AuthorChar"/>
    <w:autoRedefine/>
    <w:rsid w:val="000F1C23"/>
    <w:pPr>
      <w:framePr w:hSpace="180" w:wrap="around" w:vAnchor="text" w:hAnchor="page" w:x="4591" w:y="7013"/>
      <w:jc w:val="right"/>
    </w:pPr>
    <w:rPr>
      <w:rFonts w:asciiTheme="majorHAnsi" w:hAnsiTheme="majorHAnsi"/>
      <w:color w:val="A6A6A6" w:themeColor="background1" w:themeShade="A6"/>
      <w:sz w:val="28"/>
    </w:rPr>
  </w:style>
  <w:style w:type="character" w:customStyle="1" w:styleId="AuthorChar">
    <w:name w:val="Author Char"/>
    <w:basedOn w:val="DefaultParagraphFont"/>
    <w:link w:val="Author"/>
    <w:rsid w:val="000F1C23"/>
    <w:rPr>
      <w:rFonts w:asciiTheme="majorHAnsi" w:hAnsiTheme="majorHAnsi"/>
      <w:color w:val="A6A6A6" w:themeColor="background1" w:themeShade="A6"/>
      <w:sz w:val="28"/>
    </w:rPr>
  </w:style>
  <w:style w:type="paragraph" w:customStyle="1" w:styleId="TableHeader">
    <w:name w:val="Table Header"/>
    <w:basedOn w:val="Normal"/>
    <w:link w:val="TableHeaderChar"/>
    <w:autoRedefine/>
    <w:rsid w:val="000F1C23"/>
    <w:pPr>
      <w:jc w:val="center"/>
    </w:pPr>
    <w:rPr>
      <w:bCs/>
    </w:rPr>
  </w:style>
  <w:style w:type="character" w:customStyle="1" w:styleId="TableHeaderChar">
    <w:name w:val="Table Header Char"/>
    <w:basedOn w:val="DefaultParagraphFont"/>
    <w:link w:val="TableHeader"/>
    <w:rsid w:val="000F1C23"/>
    <w:rPr>
      <w:rFonts w:ascii="Nunito Sans" w:hAnsi="Nunito Sans"/>
      <w:bCs/>
    </w:rPr>
  </w:style>
  <w:style w:type="paragraph" w:customStyle="1" w:styleId="TableBodyText">
    <w:name w:val="Table Body Text"/>
    <w:basedOn w:val="Normal"/>
    <w:link w:val="TableBodyTextChar"/>
    <w:autoRedefine/>
    <w:rsid w:val="000F1C23"/>
    <w:rPr>
      <w:bCs/>
    </w:rPr>
  </w:style>
  <w:style w:type="character" w:customStyle="1" w:styleId="TableBodyTextChar">
    <w:name w:val="Table Body Text Char"/>
    <w:basedOn w:val="DefaultParagraphFont"/>
    <w:link w:val="TableBodyText"/>
    <w:rsid w:val="000F1C23"/>
    <w:rPr>
      <w:rFonts w:ascii="Nunito Sans" w:hAnsi="Nunito Sans"/>
      <w:bCs/>
    </w:rPr>
  </w:style>
  <w:style w:type="paragraph" w:customStyle="1" w:styleId="a">
    <w:name w:val="a"/>
    <w:aliases w:val="b,c"/>
    <w:basedOn w:val="Bullet"/>
    <w:link w:val="aChar"/>
    <w:autoRedefine/>
    <w:rsid w:val="000F1C23"/>
    <w:pPr>
      <w:numPr>
        <w:numId w:val="20"/>
      </w:numPr>
    </w:pPr>
  </w:style>
  <w:style w:type="character" w:customStyle="1" w:styleId="aChar">
    <w:name w:val="a Char"/>
    <w:aliases w:val="b Char,c Char"/>
    <w:basedOn w:val="BulletChar"/>
    <w:link w:val="a"/>
    <w:rsid w:val="000F1C23"/>
    <w:rPr>
      <w:rFonts w:eastAsia="Times New Roman" w:cs="Arial"/>
      <w:szCs w:val="20"/>
    </w:rPr>
  </w:style>
  <w:style w:type="paragraph" w:customStyle="1" w:styleId="List3Paragraph">
    <w:name w:val="List 3 Paragraph"/>
    <w:basedOn w:val="ListParagraph"/>
    <w:link w:val="List3ParagraphChar"/>
    <w:autoRedefine/>
    <w:rsid w:val="00CC51F6"/>
  </w:style>
  <w:style w:type="character" w:customStyle="1" w:styleId="List3ParagraphChar">
    <w:name w:val="List 3 Paragraph Char"/>
    <w:basedOn w:val="DefaultParagraphFont"/>
    <w:link w:val="List3Paragraph"/>
    <w:rsid w:val="00CC51F6"/>
    <w:rPr>
      <w:rFonts w:ascii="Nunito Sans" w:eastAsia="Segoe UI Historic" w:hAnsi="Nunito Sans"/>
    </w:rPr>
  </w:style>
  <w:style w:type="character" w:customStyle="1" w:styleId="NoSpacingChar">
    <w:name w:val="No Spacing Char"/>
    <w:basedOn w:val="DefaultParagraphFont"/>
    <w:link w:val="NoSpacing"/>
    <w:uiPriority w:val="1"/>
    <w:rsid w:val="000F1C23"/>
    <w:rPr>
      <w:rFonts w:ascii="Arial" w:eastAsia="Arial" w:hAnsi="Arial" w:cs="Arial"/>
      <w:lang w:val="en-US"/>
    </w:rPr>
  </w:style>
  <w:style w:type="character" w:customStyle="1" w:styleId="ListParagraphChar">
    <w:name w:val="List Paragraph Char"/>
    <w:aliases w:val="List Paragraph 1.1 Char"/>
    <w:basedOn w:val="DefaultParagraphFont"/>
    <w:link w:val="ListParagraph"/>
    <w:uiPriority w:val="1"/>
    <w:rsid w:val="00022D4E"/>
    <w:rPr>
      <w:rFonts w:ascii="Arial" w:eastAsia="Arial" w:hAnsi="Arial" w:cs="Arial"/>
      <w:lang w:val="en-US"/>
    </w:rPr>
  </w:style>
  <w:style w:type="paragraph" w:customStyle="1" w:styleId="BulletNumbered">
    <w:name w:val="Bullet Numbered"/>
    <w:basedOn w:val="Bullet"/>
    <w:link w:val="BulletNumberedChar"/>
    <w:autoRedefine/>
    <w:rsid w:val="007E4CDB"/>
    <w:pPr>
      <w:numPr>
        <w:numId w:val="4"/>
      </w:numPr>
      <w:tabs>
        <w:tab w:val="left" w:pos="1374"/>
      </w:tabs>
      <w:ind w:left="641" w:hanging="357"/>
    </w:pPr>
  </w:style>
  <w:style w:type="character" w:customStyle="1" w:styleId="BulletNumberedChar">
    <w:name w:val="Bullet Numbered Char"/>
    <w:basedOn w:val="DefaultParagraphFont"/>
    <w:link w:val="BulletNumbered"/>
    <w:rsid w:val="007E4CDB"/>
    <w:rPr>
      <w:rFonts w:eastAsia="Times New Roman" w:cs="Arial"/>
      <w:szCs w:val="20"/>
    </w:rPr>
  </w:style>
  <w:style w:type="paragraph" w:customStyle="1" w:styleId="BulletABC">
    <w:name w:val="Bullet ABC"/>
    <w:basedOn w:val="Bullet"/>
    <w:link w:val="BulletABCChar"/>
    <w:autoRedefine/>
    <w:rsid w:val="00363503"/>
    <w:pPr>
      <w:numPr>
        <w:numId w:val="5"/>
      </w:numPr>
    </w:pPr>
  </w:style>
  <w:style w:type="character" w:customStyle="1" w:styleId="BulletABCChar">
    <w:name w:val="Bullet ABC Char"/>
    <w:basedOn w:val="BulletChar"/>
    <w:link w:val="BulletABC"/>
    <w:rsid w:val="00363503"/>
    <w:rPr>
      <w:rFonts w:eastAsia="Times New Roman" w:cs="Arial"/>
      <w:szCs w:val="20"/>
    </w:rPr>
  </w:style>
  <w:style w:type="paragraph" w:customStyle="1" w:styleId="abc">
    <w:name w:val="a) b) c)"/>
    <w:basedOn w:val="BodyText"/>
    <w:link w:val="abcChar"/>
    <w:autoRedefine/>
    <w:rsid w:val="00C53355"/>
    <w:pPr>
      <w:numPr>
        <w:numId w:val="11"/>
      </w:numPr>
      <w:spacing w:after="120" w:line="264" w:lineRule="auto"/>
    </w:pPr>
    <w:rPr>
      <w:lang w:eastAsia="en-GB"/>
    </w:rPr>
  </w:style>
  <w:style w:type="character" w:customStyle="1" w:styleId="abcChar">
    <w:name w:val="a) b) c) Char"/>
    <w:basedOn w:val="DefaultParagraphFont"/>
    <w:link w:val="abc"/>
    <w:rsid w:val="00C53355"/>
    <w:rPr>
      <w:rFonts w:eastAsia="Times New Roman" w:cs="Arial"/>
      <w:sz w:val="24"/>
      <w:szCs w:val="24"/>
      <w:lang w:eastAsia="en-GB"/>
    </w:rPr>
  </w:style>
  <w:style w:type="character" w:customStyle="1" w:styleId="AppendixChar">
    <w:name w:val="Appendix Char"/>
    <w:basedOn w:val="DefaultParagraphFont"/>
    <w:link w:val="Appendix"/>
    <w:rsid w:val="00D5483D"/>
    <w:rPr>
      <w:rFonts w:ascii="Nunito Sans SemiBold" w:eastAsia="Times New Roman" w:hAnsi="Nunito Sans SemiBold" w:cs="Arial"/>
      <w:color w:val="0070C0"/>
      <w:sz w:val="36"/>
      <w:szCs w:val="20"/>
    </w:rPr>
  </w:style>
  <w:style w:type="paragraph" w:customStyle="1" w:styleId="BodyText0">
    <w:name w:val="*Body Text"/>
    <w:link w:val="BodyTextZchn"/>
    <w:rsid w:val="0060674A"/>
    <w:pPr>
      <w:spacing w:after="120"/>
    </w:pPr>
    <w:rPr>
      <w:rFonts w:eastAsia="PMingLiU"/>
      <w:color w:val="000000"/>
    </w:rPr>
  </w:style>
  <w:style w:type="character" w:customStyle="1" w:styleId="BodyTextZchn">
    <w:name w:val="*Body Text Zchn"/>
    <w:link w:val="BodyText0"/>
    <w:rsid w:val="0060674A"/>
    <w:rPr>
      <w:rFonts w:ascii="Arial" w:eastAsia="PMingLiU" w:hAnsi="Arial"/>
      <w:color w:val="000000"/>
      <w:sz w:val="22"/>
    </w:rPr>
  </w:style>
  <w:style w:type="paragraph" w:customStyle="1" w:styleId="Bullet1Single">
    <w:name w:val="*Bullet #1 Single"/>
    <w:basedOn w:val="Bullet1Double"/>
    <w:autoRedefine/>
    <w:rsid w:val="0060674A"/>
    <w:pPr>
      <w:numPr>
        <w:numId w:val="0"/>
      </w:numPr>
      <w:spacing w:after="0"/>
    </w:pPr>
    <w:rPr>
      <w:rFonts w:cs="Arial"/>
    </w:rPr>
  </w:style>
  <w:style w:type="paragraph" w:customStyle="1" w:styleId="Bullet1Double">
    <w:name w:val="*Bullet #1 Double"/>
    <w:basedOn w:val="BodyText0"/>
    <w:link w:val="Bullet1DoubleChar1"/>
    <w:rsid w:val="0060674A"/>
    <w:pPr>
      <w:numPr>
        <w:numId w:val="6"/>
      </w:numPr>
      <w:tabs>
        <w:tab w:val="left" w:pos="360"/>
      </w:tabs>
    </w:pPr>
  </w:style>
  <w:style w:type="character" w:customStyle="1" w:styleId="Bullet1DoubleChar1">
    <w:name w:val="*Bullet #1 Double Char1"/>
    <w:link w:val="Bullet1Double"/>
    <w:rsid w:val="0060674A"/>
    <w:rPr>
      <w:rFonts w:eastAsia="PMingLiU"/>
      <w:color w:val="000000"/>
    </w:rPr>
  </w:style>
  <w:style w:type="paragraph" w:customStyle="1" w:styleId="ListPara111">
    <w:name w:val="List Para 1.1.1"/>
    <w:basedOn w:val="Normal"/>
    <w:next w:val="Normal"/>
    <w:autoRedefine/>
    <w:rsid w:val="00A3428E"/>
    <w:pPr>
      <w:numPr>
        <w:ilvl w:val="1"/>
        <w:numId w:val="7"/>
      </w:numPr>
    </w:pPr>
    <w:rPr>
      <w:lang w:val="x-none" w:eastAsia="x-none"/>
    </w:rPr>
  </w:style>
  <w:style w:type="paragraph" w:customStyle="1" w:styleId="ScheduleHeader">
    <w:name w:val="Schedule Header"/>
    <w:basedOn w:val="Heading1"/>
    <w:autoRedefine/>
    <w:rsid w:val="00A3428E"/>
  </w:style>
  <w:style w:type="paragraph" w:customStyle="1" w:styleId="ListPara2">
    <w:name w:val="List Para 2"/>
    <w:basedOn w:val="Heading2"/>
    <w:autoRedefine/>
    <w:rsid w:val="00A3428E"/>
  </w:style>
  <w:style w:type="paragraph" w:customStyle="1" w:styleId="ListPara3">
    <w:name w:val="List Para 3"/>
    <w:basedOn w:val="Heading3"/>
    <w:autoRedefine/>
    <w:rsid w:val="00A3428E"/>
  </w:style>
  <w:style w:type="character" w:customStyle="1" w:styleId="ScheduleChar">
    <w:name w:val="Schedule Char"/>
    <w:basedOn w:val="HeaderChar"/>
    <w:link w:val="Schedule"/>
    <w:rsid w:val="00A3428E"/>
    <w:rPr>
      <w:rFonts w:ascii="Nunito Sans" w:eastAsia="Times New Roman" w:hAnsi="Nunito Sans" w:cs="Arial"/>
      <w:bCs/>
      <w:sz w:val="32"/>
      <w:szCs w:val="24"/>
    </w:rPr>
  </w:style>
  <w:style w:type="paragraph" w:customStyle="1" w:styleId="Style1NB">
    <w:name w:val="Style1NB"/>
    <w:basedOn w:val="Style1"/>
    <w:rsid w:val="00C53355"/>
    <w:rPr>
      <w:rFonts w:cs="Times New Roman"/>
      <w:b/>
    </w:rPr>
  </w:style>
  <w:style w:type="paragraph" w:customStyle="1" w:styleId="Level1Heading">
    <w:name w:val="Level 1 Heading"/>
    <w:basedOn w:val="BodyText"/>
    <w:next w:val="Normal"/>
    <w:autoRedefine/>
    <w:uiPriority w:val="19"/>
    <w:qFormat/>
    <w:rsid w:val="003C7A47"/>
    <w:pPr>
      <w:keepNext/>
      <w:numPr>
        <w:numId w:val="9"/>
      </w:numPr>
      <w:spacing w:before="237" w:after="120" w:line="276" w:lineRule="auto"/>
      <w:outlineLvl w:val="0"/>
    </w:pPr>
    <w:rPr>
      <w:b/>
      <w:bCs/>
      <w:sz w:val="32"/>
    </w:rPr>
  </w:style>
  <w:style w:type="paragraph" w:customStyle="1" w:styleId="Level2Number">
    <w:name w:val="Level 2 Number"/>
    <w:basedOn w:val="BodyText"/>
    <w:autoRedefine/>
    <w:uiPriority w:val="19"/>
    <w:qFormat/>
    <w:rsid w:val="00484681"/>
    <w:pPr>
      <w:numPr>
        <w:ilvl w:val="1"/>
        <w:numId w:val="9"/>
      </w:numPr>
      <w:spacing w:before="200" w:after="200" w:line="240" w:lineRule="auto"/>
      <w:ind w:left="947"/>
    </w:pPr>
    <w:rPr>
      <w:color w:val="276E8B" w:themeColor="accent1" w:themeShade="BF"/>
      <w:sz w:val="26"/>
    </w:rPr>
  </w:style>
  <w:style w:type="paragraph" w:customStyle="1" w:styleId="Level3Number">
    <w:name w:val="Level 3 Number"/>
    <w:basedOn w:val="BodyText"/>
    <w:autoRedefine/>
    <w:uiPriority w:val="19"/>
    <w:qFormat/>
    <w:rsid w:val="00F861E2"/>
    <w:pPr>
      <w:numPr>
        <w:ilvl w:val="2"/>
        <w:numId w:val="9"/>
      </w:numPr>
      <w:spacing w:line="276" w:lineRule="auto"/>
      <w:ind w:left="1440"/>
    </w:pPr>
    <w:rPr>
      <w:b/>
      <w:sz w:val="22"/>
    </w:rPr>
  </w:style>
  <w:style w:type="paragraph" w:customStyle="1" w:styleId="Level4Number">
    <w:name w:val="Level 4 Number"/>
    <w:basedOn w:val="BodyText"/>
    <w:uiPriority w:val="19"/>
    <w:qFormat/>
    <w:rsid w:val="00C53355"/>
    <w:pPr>
      <w:numPr>
        <w:ilvl w:val="3"/>
        <w:numId w:val="9"/>
      </w:numPr>
      <w:spacing w:line="276" w:lineRule="auto"/>
    </w:pPr>
    <w:rPr>
      <w:sz w:val="20"/>
    </w:rPr>
  </w:style>
  <w:style w:type="paragraph" w:customStyle="1" w:styleId="Part">
    <w:name w:val="Part"/>
    <w:basedOn w:val="BodyText"/>
    <w:next w:val="BodyText"/>
    <w:uiPriority w:val="31"/>
    <w:rsid w:val="00C53355"/>
    <w:pPr>
      <w:keepNext/>
      <w:numPr>
        <w:ilvl w:val="2"/>
        <w:numId w:val="10"/>
      </w:numPr>
      <w:spacing w:line="276" w:lineRule="auto"/>
      <w:outlineLvl w:val="1"/>
    </w:pPr>
    <w:rPr>
      <w:b/>
      <w:bCs/>
      <w:szCs w:val="28"/>
    </w:rPr>
  </w:style>
  <w:style w:type="paragraph" w:customStyle="1" w:styleId="Sch1Number">
    <w:name w:val="Sch 1 Number"/>
    <w:basedOn w:val="BodyText"/>
    <w:uiPriority w:val="31"/>
    <w:rsid w:val="00C53355"/>
    <w:pPr>
      <w:numPr>
        <w:ilvl w:val="3"/>
        <w:numId w:val="10"/>
      </w:numPr>
      <w:spacing w:line="276" w:lineRule="auto"/>
    </w:pPr>
    <w:rPr>
      <w:sz w:val="20"/>
    </w:rPr>
  </w:style>
  <w:style w:type="paragraph" w:customStyle="1" w:styleId="Sch2Number">
    <w:name w:val="Sch 2 Number"/>
    <w:basedOn w:val="BodyText"/>
    <w:autoRedefine/>
    <w:uiPriority w:val="31"/>
    <w:rsid w:val="00C53355"/>
    <w:pPr>
      <w:numPr>
        <w:ilvl w:val="4"/>
        <w:numId w:val="10"/>
      </w:numPr>
    </w:pPr>
  </w:style>
  <w:style w:type="paragraph" w:customStyle="1" w:styleId="Sch4Number">
    <w:name w:val="Sch 4 Number"/>
    <w:basedOn w:val="BodyText"/>
    <w:uiPriority w:val="31"/>
    <w:rsid w:val="00C53355"/>
    <w:pPr>
      <w:numPr>
        <w:ilvl w:val="6"/>
        <w:numId w:val="10"/>
      </w:numPr>
      <w:spacing w:line="276" w:lineRule="auto"/>
    </w:pPr>
    <w:rPr>
      <w:sz w:val="20"/>
    </w:rPr>
  </w:style>
  <w:style w:type="character" w:customStyle="1" w:styleId="DefinitionTerm">
    <w:name w:val="Definition Term"/>
    <w:basedOn w:val="DefaultParagraphFont"/>
    <w:uiPriority w:val="21"/>
    <w:rsid w:val="00C53355"/>
    <w:rPr>
      <w:b/>
      <w:bCs/>
    </w:rPr>
  </w:style>
  <w:style w:type="paragraph" w:customStyle="1" w:styleId="BodyText1">
    <w:name w:val="Body Text 1"/>
    <w:basedOn w:val="BodyText"/>
    <w:link w:val="BodyText1Char"/>
    <w:uiPriority w:val="19"/>
    <w:rsid w:val="00C53355"/>
    <w:pPr>
      <w:spacing w:line="276" w:lineRule="auto"/>
      <w:ind w:left="720"/>
    </w:pPr>
    <w:rPr>
      <w:sz w:val="20"/>
    </w:rPr>
  </w:style>
  <w:style w:type="character" w:customStyle="1" w:styleId="BodyText1Char">
    <w:name w:val="Body Text 1 Char"/>
    <w:basedOn w:val="DefaultParagraphFont"/>
    <w:link w:val="BodyText1"/>
    <w:uiPriority w:val="19"/>
    <w:rsid w:val="00C53355"/>
    <w:rPr>
      <w:rFonts w:asciiTheme="minorHAnsi" w:eastAsiaTheme="minorHAnsi" w:hAnsiTheme="minorHAnsi" w:cstheme="minorBidi"/>
    </w:rPr>
  </w:style>
  <w:style w:type="paragraph" w:styleId="PlainText">
    <w:name w:val="Plain Text"/>
    <w:basedOn w:val="Normal"/>
    <w:link w:val="PlainTextChar"/>
    <w:autoRedefine/>
    <w:uiPriority w:val="99"/>
    <w:rsid w:val="00092122"/>
    <w:pPr>
      <w:ind w:left="720"/>
    </w:pPr>
    <w:rPr>
      <w:rFonts w:cs="Courier New"/>
    </w:rPr>
  </w:style>
  <w:style w:type="character" w:customStyle="1" w:styleId="PlainTextChar">
    <w:name w:val="Plain Text Char"/>
    <w:basedOn w:val="DefaultParagraphFont"/>
    <w:link w:val="PlainText"/>
    <w:uiPriority w:val="99"/>
    <w:rsid w:val="00092122"/>
    <w:rPr>
      <w:rFonts w:ascii="Nunito Sans" w:hAnsi="Nunito Sans" w:cs="Courier New"/>
      <w:szCs w:val="20"/>
    </w:rPr>
  </w:style>
  <w:style w:type="paragraph" w:styleId="NormalIndent">
    <w:name w:val="Normal Indent"/>
    <w:basedOn w:val="Normal"/>
    <w:uiPriority w:val="99"/>
    <w:semiHidden/>
    <w:unhideWhenUsed/>
    <w:rsid w:val="00342D37"/>
    <w:pPr>
      <w:ind w:left="720"/>
    </w:pPr>
  </w:style>
  <w:style w:type="paragraph" w:customStyle="1" w:styleId="CoverTitle">
    <w:name w:val="Cover Title"/>
    <w:basedOn w:val="Normal"/>
    <w:rsid w:val="00216812"/>
    <w:pPr>
      <w:ind w:left="-1260"/>
    </w:pPr>
    <w:rPr>
      <w:color w:val="FFFFFF"/>
      <w:sz w:val="44"/>
      <w:szCs w:val="44"/>
    </w:rPr>
  </w:style>
  <w:style w:type="paragraph" w:customStyle="1" w:styleId="CoverSubhead">
    <w:name w:val="Cover Subhead"/>
    <w:autoRedefine/>
    <w:rsid w:val="004A62AC"/>
    <w:pPr>
      <w:widowControl/>
      <w:autoSpaceDE/>
      <w:autoSpaceDN/>
      <w:ind w:left="284"/>
      <w:jc w:val="both"/>
    </w:pPr>
    <w:rPr>
      <w:rFonts w:ascii="Futura Bk" w:eastAsia="Times New Roman" w:hAnsi="Futura Bk" w:cs="Times New Roman"/>
      <w:bCs/>
      <w:color w:val="000000"/>
      <w:sz w:val="40"/>
      <w:szCs w:val="32"/>
      <w:lang w:val="en-US"/>
    </w:rPr>
  </w:style>
  <w:style w:type="paragraph" w:customStyle="1" w:styleId="CoverSubhead2">
    <w:name w:val="Cover Subhead2"/>
    <w:basedOn w:val="CoverSubhead"/>
    <w:rsid w:val="00216812"/>
    <w:pPr>
      <w:spacing w:before="120"/>
      <w:ind w:left="-1267"/>
    </w:pPr>
    <w:rPr>
      <w:rFonts w:cs="Arial"/>
    </w:rPr>
  </w:style>
  <w:style w:type="paragraph" w:customStyle="1" w:styleId="CoverText3">
    <w:name w:val="*Cover Text 3"/>
    <w:basedOn w:val="Normal"/>
    <w:rsid w:val="00216812"/>
    <w:rPr>
      <w:sz w:val="32"/>
      <w:szCs w:val="32"/>
    </w:rPr>
  </w:style>
  <w:style w:type="paragraph" w:styleId="Footer">
    <w:name w:val="footer"/>
    <w:basedOn w:val="Normal"/>
    <w:link w:val="FooterChar"/>
    <w:uiPriority w:val="99"/>
    <w:unhideWhenUsed/>
    <w:rsid w:val="00E02172"/>
    <w:pPr>
      <w:tabs>
        <w:tab w:val="center" w:pos="4513"/>
        <w:tab w:val="right" w:pos="9026"/>
      </w:tabs>
    </w:pPr>
  </w:style>
  <w:style w:type="character" w:customStyle="1" w:styleId="FooterChar">
    <w:name w:val="Footer Char"/>
    <w:basedOn w:val="DefaultParagraphFont"/>
    <w:link w:val="Footer"/>
    <w:uiPriority w:val="99"/>
    <w:rsid w:val="00E02172"/>
    <w:rPr>
      <w:rFonts w:ascii="Futura Bk" w:eastAsia="Times New Roman" w:hAnsi="Futura Bk" w:cs="Arial"/>
      <w:szCs w:val="20"/>
    </w:rPr>
  </w:style>
  <w:style w:type="character" w:styleId="Hyperlink">
    <w:name w:val="Hyperlink"/>
    <w:basedOn w:val="DefaultParagraphFont"/>
    <w:uiPriority w:val="99"/>
    <w:unhideWhenUsed/>
    <w:rsid w:val="00056449"/>
    <w:rPr>
      <w:color w:val="398F98" w:themeColor="hyperlink"/>
      <w:u w:val="single"/>
    </w:rPr>
  </w:style>
  <w:style w:type="paragraph" w:styleId="TOC2">
    <w:name w:val="toc 2"/>
    <w:basedOn w:val="Normal"/>
    <w:next w:val="Normal"/>
    <w:autoRedefine/>
    <w:uiPriority w:val="39"/>
    <w:unhideWhenUsed/>
    <w:rsid w:val="00C155D4"/>
    <w:pPr>
      <w:spacing w:after="100"/>
      <w:ind w:left="220"/>
    </w:pPr>
  </w:style>
  <w:style w:type="character" w:styleId="CommentReference">
    <w:name w:val="annotation reference"/>
    <w:basedOn w:val="DefaultParagraphFont"/>
    <w:uiPriority w:val="99"/>
    <w:semiHidden/>
    <w:unhideWhenUsed/>
    <w:rsid w:val="000352E8"/>
    <w:rPr>
      <w:sz w:val="16"/>
      <w:szCs w:val="16"/>
    </w:rPr>
  </w:style>
  <w:style w:type="paragraph" w:styleId="CommentText">
    <w:name w:val="annotation text"/>
    <w:basedOn w:val="Normal"/>
    <w:link w:val="CommentTextChar"/>
    <w:uiPriority w:val="99"/>
    <w:unhideWhenUsed/>
    <w:rsid w:val="000352E8"/>
    <w:pPr>
      <w:spacing w:line="240" w:lineRule="auto"/>
    </w:pPr>
    <w:rPr>
      <w:sz w:val="20"/>
    </w:rPr>
  </w:style>
  <w:style w:type="character" w:customStyle="1" w:styleId="CommentTextChar">
    <w:name w:val="Comment Text Char"/>
    <w:basedOn w:val="DefaultParagraphFont"/>
    <w:link w:val="CommentText"/>
    <w:uiPriority w:val="99"/>
    <w:rsid w:val="000352E8"/>
    <w:rPr>
      <w:rFonts w:eastAsia="Times New Roman" w:cs="Arial"/>
      <w:sz w:val="20"/>
      <w:szCs w:val="20"/>
    </w:rPr>
  </w:style>
  <w:style w:type="paragraph" w:styleId="CommentSubject">
    <w:name w:val="annotation subject"/>
    <w:basedOn w:val="CommentText"/>
    <w:next w:val="CommentText"/>
    <w:link w:val="CommentSubjectChar"/>
    <w:uiPriority w:val="99"/>
    <w:semiHidden/>
    <w:unhideWhenUsed/>
    <w:rsid w:val="000352E8"/>
    <w:rPr>
      <w:b/>
      <w:bCs/>
    </w:rPr>
  </w:style>
  <w:style w:type="character" w:customStyle="1" w:styleId="CommentSubjectChar">
    <w:name w:val="Comment Subject Char"/>
    <w:basedOn w:val="CommentTextChar"/>
    <w:link w:val="CommentSubject"/>
    <w:uiPriority w:val="99"/>
    <w:semiHidden/>
    <w:rsid w:val="000352E8"/>
    <w:rPr>
      <w:rFonts w:eastAsia="Times New Roman" w:cs="Arial"/>
      <w:b/>
      <w:bCs/>
      <w:sz w:val="20"/>
      <w:szCs w:val="20"/>
    </w:rPr>
  </w:style>
  <w:style w:type="table" w:styleId="TableGrid">
    <w:name w:val="Table Grid"/>
    <w:basedOn w:val="TableNormal"/>
    <w:uiPriority w:val="59"/>
    <w:rsid w:val="00A474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
    <w:name w:val="Number"/>
    <w:basedOn w:val="Normal"/>
    <w:rsid w:val="003C7A47"/>
    <w:pPr>
      <w:numPr>
        <w:numId w:val="24"/>
      </w:numPr>
    </w:pPr>
  </w:style>
  <w:style w:type="paragraph" w:styleId="TOC3">
    <w:name w:val="toc 3"/>
    <w:basedOn w:val="Normal"/>
    <w:next w:val="Normal"/>
    <w:autoRedefine/>
    <w:uiPriority w:val="39"/>
    <w:unhideWhenUsed/>
    <w:rsid w:val="008E3288"/>
    <w:pPr>
      <w:spacing w:after="100" w:line="259" w:lineRule="auto"/>
      <w:ind w:left="440"/>
      <w:jc w:val="left"/>
    </w:pPr>
    <w:rPr>
      <w:rFonts w:eastAsiaTheme="minorEastAsia" w:cs="Times New Roman"/>
      <w:szCs w:val="22"/>
      <w:lang w:eastAsia="en-GB"/>
    </w:rPr>
  </w:style>
  <w:style w:type="paragraph" w:styleId="NormalWeb">
    <w:name w:val="Normal (Web)"/>
    <w:basedOn w:val="Normal"/>
    <w:uiPriority w:val="99"/>
    <w:semiHidden/>
    <w:unhideWhenUsed/>
    <w:rsid w:val="008770FC"/>
    <w:pPr>
      <w:spacing w:before="100" w:beforeAutospacing="1" w:after="100" w:afterAutospacing="1" w:line="240" w:lineRule="auto"/>
      <w:jc w:val="left"/>
    </w:pPr>
    <w:rPr>
      <w:rFonts w:ascii="Times New Roman" w:hAnsi="Times New Roman" w:cs="Times New Roman"/>
      <w:sz w:val="24"/>
      <w:szCs w:val="24"/>
      <w:lang w:eastAsia="en-GB"/>
    </w:rPr>
  </w:style>
  <w:style w:type="table" w:styleId="ListTable4-Accent1">
    <w:name w:val="List Table 4 Accent 1"/>
    <w:basedOn w:val="TableNormal"/>
    <w:uiPriority w:val="49"/>
    <w:rsid w:val="00CE4CC8"/>
    <w:pPr>
      <w:widowControl/>
      <w:autoSpaceDE/>
      <w:autoSpaceDN/>
    </w:pPr>
    <w:rPr>
      <w:rFonts w:ascii="Arial" w:eastAsiaTheme="minorEastAsia" w:hAnsi="Arial" w:cs="Segoe UI Historic"/>
    </w:rPr>
    <w:tblPr>
      <w:tblStyleRowBandSize w:val="1"/>
      <w:tblStyleColBandSize w:val="1"/>
      <w:tblInd w:w="0" w:type="nil"/>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tcBorders>
        <w:shd w:val="clear" w:color="auto" w:fill="3494BA" w:themeFill="accent1"/>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101662">
      <w:bodyDiv w:val="1"/>
      <w:marLeft w:val="0"/>
      <w:marRight w:val="0"/>
      <w:marTop w:val="0"/>
      <w:marBottom w:val="0"/>
      <w:divBdr>
        <w:top w:val="none" w:sz="0" w:space="0" w:color="auto"/>
        <w:left w:val="none" w:sz="0" w:space="0" w:color="auto"/>
        <w:bottom w:val="none" w:sz="0" w:space="0" w:color="auto"/>
        <w:right w:val="none" w:sz="0" w:space="0" w:color="auto"/>
      </w:divBdr>
    </w:div>
    <w:div w:id="161894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B82C4A335244558DBE80AE91B95970"/>
        <w:category>
          <w:name w:val="General"/>
          <w:gallery w:val="placeholder"/>
        </w:category>
        <w:types>
          <w:type w:val="bbPlcHdr"/>
        </w:types>
        <w:behaviors>
          <w:behavior w:val="content"/>
        </w:behaviors>
        <w:guid w:val="{44F36D34-F374-48E4-BEB4-31218BE22A7B}"/>
      </w:docPartPr>
      <w:docPartBody>
        <w:p w:rsidR="001C25AA" w:rsidRDefault="00117679" w:rsidP="00117679">
          <w:pPr>
            <w:pStyle w:val="7DB82C4A335244558DBE80AE91B95970"/>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Sans">
    <w:altName w:val="Calibri"/>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Sans Light">
    <w:altName w:val="Calibri"/>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Nunito Sans SemiBold">
    <w:charset w:val="00"/>
    <w:family w:val="auto"/>
    <w:pitch w:val="variable"/>
    <w:sig w:usb0="A00002FF" w:usb1="5000204B" w:usb2="00000000" w:usb3="00000000" w:csb0="00000197" w:csb1="00000000"/>
  </w:font>
  <w:font w:name="PMingLiU">
    <w:panose1 w:val="02010601000101010101"/>
    <w:charset w:val="88"/>
    <w:family w:val="roman"/>
    <w:pitch w:val="variable"/>
    <w:sig w:usb0="A00002FF" w:usb1="28CFFCFA" w:usb2="00000016" w:usb3="00000000" w:csb0="00100001" w:csb1="00000000"/>
  </w:font>
  <w:font w:name="Futura Bk">
    <w:altName w:val="Century Gothic"/>
    <w:charset w:val="00"/>
    <w:family w:val="swiss"/>
    <w:pitch w:val="variable"/>
    <w:sig w:usb0="A00002AF" w:usb1="5000204A" w:usb2="00000000" w:usb3="00000000" w:csb0="0000009F" w:csb1="00000000"/>
  </w:font>
  <w:font w:name="Aptos">
    <w:charset w:val="00"/>
    <w:family w:val="swiss"/>
    <w:pitch w:val="variable"/>
    <w:sig w:usb0="20000287" w:usb1="00000003" w:usb2="00000000" w:usb3="00000000" w:csb0="0000019F" w:csb1="00000000"/>
  </w:font>
  <w:font w:name="Helvetica,Arial">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679"/>
    <w:rsid w:val="0008182B"/>
    <w:rsid w:val="000D05AD"/>
    <w:rsid w:val="00117679"/>
    <w:rsid w:val="001C25AA"/>
    <w:rsid w:val="002709CE"/>
    <w:rsid w:val="003E2FAA"/>
    <w:rsid w:val="00462655"/>
    <w:rsid w:val="005302AD"/>
    <w:rsid w:val="0056258F"/>
    <w:rsid w:val="007115B6"/>
    <w:rsid w:val="00787B82"/>
    <w:rsid w:val="00C32D28"/>
    <w:rsid w:val="00D10837"/>
    <w:rsid w:val="00D3126A"/>
    <w:rsid w:val="00DC56FE"/>
    <w:rsid w:val="00F431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B82C4A335244558DBE80AE91B95970">
    <w:name w:val="7DB82C4A335244558DBE80AE91B95970"/>
    <w:rsid w:val="001176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latinum Abatis">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398F98"/>
      </a:hlink>
      <a:folHlink>
        <a:srgbClr val="194A5D"/>
      </a:folHlink>
    </a:clrScheme>
    <a:fontScheme name="PHIT">
      <a:majorFont>
        <a:latin typeface="Nunito sans"/>
        <a:ea typeface=""/>
        <a:cs typeface=""/>
      </a:majorFont>
      <a:minorFont>
        <a:latin typeface="Nunito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3344</Words>
  <Characters>19065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Risk Assessment Scope</vt:lpstr>
    </vt:vector>
  </TitlesOfParts>
  <Company/>
  <LinksUpToDate>false</LinksUpToDate>
  <CharactersWithSpaces>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Scope</dc:title>
  <dc:subject/>
  <dc:creator>Debbie Richards</dc:creator>
  <cp:keywords>Reporting;Compliance;Governance;Security;Risk Management;Scoping</cp:keywords>
  <dc:description/>
  <cp:lastModifiedBy>Glyn Richards</cp:lastModifiedBy>
  <cp:revision>7</cp:revision>
  <dcterms:created xsi:type="dcterms:W3CDTF">2026-07-29T08:40:00Z</dcterms:created>
  <dcterms:modified xsi:type="dcterms:W3CDTF">2026-07-29T09:08:00Z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b48cce0b-fdfd-4f00-a42c-e2d4bca300b5</vt:lpwstr>
  </property>
</Properties>
</file>