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left"/>
      </w:pPr>
      <w:r>
        <w:rPr>
          <w:rFonts w:ascii="Liberation Sans" w:hAnsi="Liberation Sans"/>
          <w:b/>
          <w:color w:val="17365D"/>
          <w:sz w:val="60"/>
        </w:rPr>
        <w:t>LPR CPE Service Assurance Mockup</w:t>
      </w:r>
    </w:p>
    <w:p>
      <w:pPr>
        <w:spacing w:after="440"/>
      </w:pPr>
      <w:r>
        <w:rPr>
          <w:rFonts w:ascii="Liberation Sans" w:hAnsi="Liberation Sans"/>
          <w:b/>
          <w:color w:val="1F7A8C"/>
          <w:sz w:val="30"/>
        </w:rPr>
        <w:t>Design Specification — Audit-Hardened Streamlit, FastAPI, LangGraph, MCP and Controlled LLM Decision Assistance</w:t>
      </w:r>
    </w:p>
    <w:tbl>
      <w:tblPr>
        <w:tblW w:type="auto" w:w="0"/>
        <w:jc w:val="left"/>
        <w:tblLook w:firstColumn="1" w:firstRow="1" w:lastColumn="0" w:lastRow="0" w:noHBand="0" w:noVBand="1" w:val="04A0"/>
      </w:tblPr>
      <w:tblGrid>
        <w:gridCol w:w="10282"/>
      </w:tblGrid>
      <w:tr>
        <w:tc>
          <w:tcPr>
            <w:tcW w:type="dxa" w:w="10282"/>
            <w:shd w:fill="FCE4D6"/>
            <w:tcBorders>
              <w:top w:val="single" w:sz="8" w:color="ED7D31"/>
              <w:left w:val="single" w:sz="8" w:color="ED7D31"/>
              <w:bottom w:val="single" w:sz="8" w:color="ED7D31"/>
              <w:right w:val="single" w:sz="8" w:color="ED7D31"/>
            </w:tcBorders>
            <w:tcMar>
              <w:top w:w="55" w:type="dxa"/>
              <w:start w:w="70" w:type="dxa"/>
              <w:bottom w:w="55" w:type="dxa"/>
              <w:end w:w="70" w:type="dxa"/>
            </w:tcMar>
            <w:vAlign w:val="center"/>
          </w:tcPr>
          <w:p>
            <w:pPr>
              <w:jc w:val="left"/>
            </w:pPr>
            <w:r>
              <w:rPr>
                <w:rFonts w:ascii="Liberation Sans" w:hAnsi="Liberation Sans"/>
                <w:b/>
                <w:color w:val="C45A00"/>
                <w:sz w:val="17"/>
              </w:rPr>
              <w:t>DEMONSTRATION DESIGN — AUDIT-HARDENED — NOT FOR PRODUCTION USE</w:t>
            </w:r>
          </w:p>
        </w:tc>
      </w:tr>
    </w:tbl>
    <w:p/>
    <w:tbl>
      <w:tblPr>
        <w:tblW w:type="auto" w:w="0"/>
        <w:jc w:val="left"/>
        <w:tblLayout w:type="fixed"/>
        <w:tblLook w:firstColumn="1" w:firstRow="1" w:lastColumn="0" w:lastRow="0" w:noHBand="0" w:noVBand="1" w:val="04A0"/>
      </w:tblPr>
      <w:tblGrid>
        <w:gridCol w:w="2232"/>
        <w:gridCol w:w="7704"/>
      </w:tblGrid>
      <w:tr>
        <w:tc>
          <w:tcPr>
            <w:tcW w:type="dxa" w:w="5141"/>
            <w:shd w:fill="DDEBF7"/>
            <w:tcMar>
              <w:top w:w="70" w:type="dxa"/>
              <w:start w:w="100" w:type="dxa"/>
              <w:bottom w:w="70" w:type="dxa"/>
              <w:end w:w="100" w:type="dxa"/>
            </w:tcMar>
            <w:tcBorders>
              <w:top w:val="single" w:sz="4" w:color="C7D0D9"/>
              <w:left w:val="single" w:sz="4" w:color="C7D0D9"/>
              <w:bottom w:val="single" w:sz="4" w:color="C7D0D9"/>
              <w:right w:val="single" w:sz="4" w:color="C7D0D9"/>
            </w:tcBorders>
          </w:tcPr>
          <w:p>
            <w:r>
              <w:rPr>
                <w:rFonts w:ascii="Liberation Sans" w:hAnsi="Liberation Sans"/>
                <w:b/>
                <w:color w:val="17365D"/>
                <w:sz w:val="17"/>
              </w:rPr>
              <w:t>Document date</w:t>
            </w:r>
          </w:p>
        </w:tc>
        <w:tc>
          <w:tcPr>
            <w:tcW w:type="dxa" w:w="5141"/>
            <w:tcMar>
              <w:top w:w="70" w:type="dxa"/>
              <w:start w:w="100" w:type="dxa"/>
              <w:bottom w:w="70" w:type="dxa"/>
              <w:end w:w="100" w:type="dxa"/>
            </w:tcMar>
            <w:tcBorders>
              <w:top w:val="single" w:sz="4" w:color="C7D0D9"/>
              <w:left w:val="single" w:sz="4" w:color="C7D0D9"/>
              <w:bottom w:val="single" w:sz="4" w:color="C7D0D9"/>
              <w:right w:val="single" w:sz="4" w:color="C7D0D9"/>
            </w:tcBorders>
          </w:tcPr>
          <w:p>
            <w:r>
              <w:rPr>
                <w:rFonts w:ascii="Liberation Sans" w:hAnsi="Liberation Sans"/>
                <w:color w:val="1F1F1F"/>
                <w:sz w:val="17"/>
              </w:rPr>
              <w:t>16 August 2026</w:t>
            </w:r>
          </w:p>
        </w:tc>
      </w:tr>
      <w:tr>
        <w:tc>
          <w:tcPr>
            <w:tcW w:type="dxa" w:w="5141"/>
            <w:shd w:fill="DDEBF7"/>
            <w:tcMar>
              <w:top w:w="70" w:type="dxa"/>
              <w:start w:w="100" w:type="dxa"/>
              <w:bottom w:w="70" w:type="dxa"/>
              <w:end w:w="100" w:type="dxa"/>
            </w:tcMar>
            <w:tcBorders>
              <w:top w:val="single" w:sz="4" w:color="C7D0D9"/>
              <w:left w:val="single" w:sz="4" w:color="C7D0D9"/>
              <w:bottom w:val="single" w:sz="4" w:color="C7D0D9"/>
              <w:right w:val="single" w:sz="4" w:color="C7D0D9"/>
            </w:tcBorders>
          </w:tcPr>
          <w:p>
            <w:r>
              <w:rPr>
                <w:rFonts w:ascii="Liberation Sans" w:hAnsi="Liberation Sans"/>
                <w:b/>
                <w:color w:val="17365D"/>
                <w:sz w:val="17"/>
              </w:rPr>
              <w:t>Revision</w:t>
            </w:r>
          </w:p>
        </w:tc>
        <w:tc>
          <w:tcPr>
            <w:tcW w:type="dxa" w:w="5141"/>
            <w:tcMar>
              <w:top w:w="55" w:type="dxa"/>
              <w:start w:w="70" w:type="dxa"/>
              <w:bottom w:w="55" w:type="dxa"/>
              <w:end w:w="70" w:type="dxa"/>
            </w:tcMar>
            <w:tcBorders>
              <w:top w:val="single" w:sz="4" w:color="C7D0D9"/>
              <w:left w:val="single" w:sz="4" w:color="C7D0D9"/>
              <w:bottom w:val="single" w:sz="4" w:color="C7D0D9"/>
              <w:right w:val="single" w:sz="4" w:color="C7D0D9"/>
            </w:tcBorders>
            <w:vAlign w:val="center"/>
          </w:tcPr>
          <w:p>
            <w:pPr>
              <w:jc w:val="left"/>
            </w:pPr>
            <w:r>
              <w:rPr>
                <w:rFonts w:ascii="Liberation Sans" w:hAnsi="Liberation Sans"/>
                <w:color w:val="1F1F1F"/>
                <w:sz w:val="17"/>
              </w:rPr>
              <w:t>1.1 — audit-hardened</w:t>
            </w:r>
          </w:p>
        </w:tc>
      </w:tr>
      <w:tr>
        <w:tc>
          <w:tcPr>
            <w:tcW w:type="dxa" w:w="5141"/>
            <w:shd w:fill="DDEBF7"/>
            <w:tcMar>
              <w:top w:w="70" w:type="dxa"/>
              <w:start w:w="100" w:type="dxa"/>
              <w:bottom w:w="70" w:type="dxa"/>
              <w:end w:w="100" w:type="dxa"/>
            </w:tcMar>
            <w:tcBorders>
              <w:top w:val="single" w:sz="4" w:color="C7D0D9"/>
              <w:left w:val="single" w:sz="4" w:color="C7D0D9"/>
              <w:bottom w:val="single" w:sz="4" w:color="C7D0D9"/>
              <w:right w:val="single" w:sz="4" w:color="C7D0D9"/>
            </w:tcBorders>
          </w:tcPr>
          <w:p>
            <w:r>
              <w:rPr>
                <w:rFonts w:ascii="Liberation Sans" w:hAnsi="Liberation Sans"/>
                <w:b/>
                <w:color w:val="17365D"/>
                <w:sz w:val="17"/>
              </w:rPr>
              <w:t>Audience</w:t>
            </w:r>
          </w:p>
        </w:tc>
        <w:tc>
          <w:tcPr>
            <w:tcW w:type="dxa" w:w="5141"/>
            <w:tcMar>
              <w:top w:w="70" w:type="dxa"/>
              <w:start w:w="100" w:type="dxa"/>
              <w:bottom w:w="70" w:type="dxa"/>
              <w:end w:w="100" w:type="dxa"/>
            </w:tcMar>
            <w:tcBorders>
              <w:top w:val="single" w:sz="4" w:color="C7D0D9"/>
              <w:left w:val="single" w:sz="4" w:color="C7D0D9"/>
              <w:bottom w:val="single" w:sz="4" w:color="C7D0D9"/>
              <w:right w:val="single" w:sz="4" w:color="C7D0D9"/>
            </w:tcBorders>
          </w:tcPr>
          <w:p>
            <w:r>
              <w:rPr>
                <w:rFonts w:ascii="Liberation Sans" w:hAnsi="Liberation Sans"/>
                <w:color w:val="1F1F1F"/>
                <w:sz w:val="17"/>
              </w:rPr>
              <w:t>LPR service assurance, field operations, solution architecture, and development teams</w:t>
            </w:r>
          </w:p>
        </w:tc>
      </w:tr>
      <w:tr>
        <w:tc>
          <w:tcPr>
            <w:tcW w:type="dxa" w:w="5141"/>
            <w:shd w:fill="DDEBF7"/>
            <w:tcMar>
              <w:top w:w="70" w:type="dxa"/>
              <w:start w:w="100" w:type="dxa"/>
              <w:bottom w:w="70" w:type="dxa"/>
              <w:end w:w="100" w:type="dxa"/>
            </w:tcMar>
            <w:tcBorders>
              <w:top w:val="single" w:sz="4" w:color="C7D0D9"/>
              <w:left w:val="single" w:sz="4" w:color="C7D0D9"/>
              <w:bottom w:val="single" w:sz="4" w:color="C7D0D9"/>
              <w:right w:val="single" w:sz="4" w:color="C7D0D9"/>
            </w:tcBorders>
          </w:tcPr>
          <w:p>
            <w:r>
              <w:rPr>
                <w:rFonts w:ascii="Liberation Sans" w:hAnsi="Liberation Sans"/>
                <w:b/>
                <w:color w:val="17365D"/>
                <w:sz w:val="17"/>
              </w:rPr>
              <w:t>Technology</w:t>
            </w:r>
          </w:p>
        </w:tc>
        <w:tc>
          <w:tcPr>
            <w:tcW w:type="dxa" w:w="5141"/>
            <w:tcMar>
              <w:top w:w="70" w:type="dxa"/>
              <w:start w:w="100" w:type="dxa"/>
              <w:bottom w:w="70" w:type="dxa"/>
              <w:end w:w="100" w:type="dxa"/>
            </w:tcMar>
            <w:tcBorders>
              <w:top w:val="single" w:sz="4" w:color="C7D0D9"/>
              <w:left w:val="single" w:sz="4" w:color="C7D0D9"/>
              <w:bottom w:val="single" w:sz="4" w:color="C7D0D9"/>
              <w:right w:val="single" w:sz="4" w:color="C7D0D9"/>
            </w:tcBorders>
          </w:tcPr>
          <w:p>
            <w:r>
              <w:rPr>
                <w:rFonts w:ascii="Liberation Sans" w:hAnsi="Liberation Sans"/>
                <w:color w:val="1F1F1F"/>
                <w:sz w:val="17"/>
              </w:rPr>
              <w:t>Docker Desktop, Streamlit, FastAPI, LangGraph, PostgreSQL, MCP, and optional LLM API</w:t>
            </w:r>
          </w:p>
        </w:tc>
      </w:tr>
      <w:tr>
        <w:tc>
          <w:tcPr>
            <w:tcW w:type="dxa" w:w="5141"/>
            <w:shd w:fill="DDEBF7"/>
            <w:tcMar>
              <w:top w:w="70" w:type="dxa"/>
              <w:start w:w="100" w:type="dxa"/>
              <w:bottom w:w="70" w:type="dxa"/>
              <w:end w:w="100" w:type="dxa"/>
            </w:tcMar>
            <w:tcBorders>
              <w:top w:val="single" w:sz="4" w:color="C7D0D9"/>
              <w:left w:val="single" w:sz="4" w:color="C7D0D9"/>
              <w:bottom w:val="single" w:sz="4" w:color="C7D0D9"/>
              <w:right w:val="single" w:sz="4" w:color="C7D0D9"/>
            </w:tcBorders>
          </w:tcPr>
          <w:p>
            <w:r>
              <w:rPr>
                <w:rFonts w:ascii="Liberation Sans" w:hAnsi="Liberation Sans"/>
                <w:b/>
                <w:color w:val="17365D"/>
                <w:sz w:val="17"/>
              </w:rPr>
              <w:t>Operating scope</w:t>
            </w:r>
          </w:p>
        </w:tc>
        <w:tc>
          <w:tcPr>
            <w:tcW w:type="dxa" w:w="5141"/>
            <w:tcMar>
              <w:top w:w="70" w:type="dxa"/>
              <w:start w:w="100" w:type="dxa"/>
              <w:bottom w:w="70" w:type="dxa"/>
              <w:end w:w="100" w:type="dxa"/>
            </w:tcMar>
            <w:tcBorders>
              <w:top w:val="single" w:sz="4" w:color="C7D0D9"/>
              <w:left w:val="single" w:sz="4" w:color="C7D0D9"/>
              <w:bottom w:val="single" w:sz="4" w:color="C7D0D9"/>
              <w:right w:val="single" w:sz="4" w:color="C7D0D9"/>
            </w:tcBorders>
          </w:tcPr>
          <w:p>
            <w:r>
              <w:rPr>
                <w:rFonts w:ascii="Liberation Sans" w:hAnsi="Liberation Sans"/>
                <w:color w:val="1F1F1F"/>
                <w:sz w:val="17"/>
              </w:rPr>
              <w:t>HFC and PON CPE incidents, Clean Boots / Dirty Boots handover, tap / ODP delimiter, jTrack MR</w:t>
            </w:r>
          </w:p>
        </w:tc>
      </w:tr>
      <w:tr>
        <w:tc>
          <w:tcPr>
            <w:tcW w:type="dxa" w:w="5141"/>
            <w:shd w:fill="DDEBF7"/>
            <w:tcMar>
              <w:top w:w="70" w:type="dxa"/>
              <w:start w:w="100" w:type="dxa"/>
              <w:bottom w:w="70" w:type="dxa"/>
              <w:end w:w="100" w:type="dxa"/>
            </w:tcMar>
            <w:tcBorders>
              <w:top w:val="single" w:sz="4" w:color="C7D0D9"/>
              <w:left w:val="single" w:sz="4" w:color="C7D0D9"/>
              <w:bottom w:val="single" w:sz="4" w:color="C7D0D9"/>
              <w:right w:val="single" w:sz="4" w:color="C7D0D9"/>
            </w:tcBorders>
          </w:tcPr>
          <w:p>
            <w:r>
              <w:rPr>
                <w:rFonts w:ascii="Liberation Sans" w:hAnsi="Liberation Sans"/>
                <w:b/>
                <w:color w:val="17365D"/>
                <w:sz w:val="17"/>
              </w:rPr>
              <w:t>Source baseline</w:t>
            </w:r>
          </w:p>
        </w:tc>
        <w:tc>
          <w:tcPr>
            <w:tcW w:type="dxa" w:w="5141"/>
            <w:tcMar>
              <w:top w:w="55" w:type="dxa"/>
              <w:start w:w="70" w:type="dxa"/>
              <w:bottom w:w="55" w:type="dxa"/>
              <w:end w:w="70" w:type="dxa"/>
            </w:tcMar>
            <w:tcBorders>
              <w:top w:val="single" w:sz="4" w:color="C7D0D9"/>
              <w:left w:val="single" w:sz="4" w:color="C7D0D9"/>
              <w:bottom w:val="single" w:sz="4" w:color="C7D0D9"/>
              <w:right w:val="single" w:sz="4" w:color="C7D0D9"/>
            </w:tcBorders>
            <w:vAlign w:val="center"/>
          </w:tcPr>
          <w:p>
            <w:pPr>
              <w:jc w:val="left"/>
            </w:pPr>
            <w:r>
              <w:rPr>
                <w:rFonts w:ascii="Liberation Sans" w:hAnsi="Liberation Sans"/>
                <w:color w:val="1F1F1F"/>
                <w:sz w:val="17"/>
              </w:rPr>
              <w:t>Verified repository handover at commit 0296d09, LPR workflow materials, and the 12 August 2026 specification audit</w:t>
            </w:r>
          </w:p>
        </w:tc>
      </w:tr>
    </w:tbl>
    <w:p>
      <w:pPr>
        <w:spacing w:before="560"/>
      </w:pPr>
      <w:r>
        <w:rPr>
          <w:rFonts w:ascii="Liberation Sans" w:hAnsi="Liberation Sans"/>
          <w:b/>
          <w:color w:val="7030A0"/>
          <w:sz w:val="19"/>
        </w:rPr>
        <w:t>Design rule</w:t>
      </w:r>
      <w:r>
        <w:t>: deterministic services calculate facts and constraints; LLMs assist with evidence synthesis and recommendations; policy and named humans control consequential actions.</w:t>
      </w:r>
    </w:p>
    <w:p>
      <w:pPr>
        <w:spacing w:before="400"/>
      </w:pPr>
      <w:r>
        <w:rPr>
          <w:rFonts w:ascii="Liberation Sans" w:hAnsi="Liberation Sans"/>
          <w:b/>
          <w:color w:val="17365D"/>
          <w:sz w:val="20"/>
        </w:rPr>
        <w:t>Prepared for LPR CPE Service Assurance</w:t>
        <w:br/>
        <w:t>Revision 1.1 incorporates the 12 August 2026 specification audit and verified repository handover.</w:t>
      </w:r>
    </w:p>
    <w:p>
      <w:r>
        <w:br w:type="page"/>
      </w:r>
    </w:p>
    <w:p>
      <w:pPr>
        <w:pStyle w:val="Heading1"/>
        <w:pBdr>
          <w:bottom w:val="single" w:sz="8" w:space="1" w:color="DDEBF7"/>
        </w:pBdr>
      </w:pPr>
      <w:r>
        <w:t>Contents</w:t>
      </w:r>
    </w:p>
    <w:tbl>
      <w:tblPr>
        <w:tblW w:type="auto" w:w="0"/>
        <w:jc w:val="left"/>
        <w:tblLayout w:type="fixed"/>
        <w:tblLook w:firstColumn="1" w:firstRow="1" w:lastColumn="0" w:lastRow="0" w:noHBand="0" w:noVBand="1" w:val="04A0"/>
      </w:tblPr>
      <w:tblGrid>
        <w:gridCol w:w="5141"/>
        <w:gridCol w:w="5141"/>
      </w:tblGrid>
      <w:tr>
        <w:tc>
          <w:tcPr>
            <w:tcW w:type="dxa" w:w="792"/>
            <w:tcBorders>
              <w:bottom w:val="single" w:sz="2" w:color="E2E6EA"/>
            </w:tcBorders>
            <w:tcMar>
              <w:top w:w="50" w:type="dxa"/>
              <w:start w:w="100" w:type="dxa"/>
              <w:bottom w:w="50" w:type="dxa"/>
              <w:end w:w="100" w:type="dxa"/>
            </w:tcMar>
          </w:tcPr>
          <w:p>
            <w:r>
              <w:rPr>
                <w:rFonts w:ascii="Liberation Sans" w:hAnsi="Liberation Sans"/>
                <w:b/>
                <w:color w:val="1F7A8C"/>
                <w:sz w:val="18"/>
              </w:rPr>
              <w:t>1</w:t>
            </w:r>
          </w:p>
        </w:tc>
        <w:tc>
          <w:tcPr>
            <w:tcW w:type="dxa" w:w="8928"/>
            <w:tcBorders>
              <w:bottom w:val="single" w:sz="2" w:color="E2E6EA"/>
            </w:tcBorders>
            <w:tcMar>
              <w:top w:w="50" w:type="dxa"/>
              <w:start w:w="100" w:type="dxa"/>
              <w:bottom w:w="50" w:type="dxa"/>
              <w:end w:w="100" w:type="dxa"/>
            </w:tcMar>
          </w:tcPr>
          <w:p>
            <w:r>
              <w:rPr>
                <w:rFonts w:ascii="Liberation Sans" w:hAnsi="Liberation Sans"/>
                <w:color w:val="1F1F1F"/>
                <w:sz w:val="18"/>
              </w:rPr>
              <w:t>Purpose, baseline and scope</w:t>
            </w:r>
          </w:p>
        </w:tc>
      </w:tr>
      <w:tr>
        <w:tc>
          <w:tcPr>
            <w:tcW w:type="dxa" w:w="792"/>
            <w:tcBorders>
              <w:bottom w:val="single" w:sz="2" w:color="E2E6EA"/>
            </w:tcBorders>
            <w:tcMar>
              <w:top w:w="50" w:type="dxa"/>
              <w:start w:w="100" w:type="dxa"/>
              <w:bottom w:w="50" w:type="dxa"/>
              <w:end w:w="100" w:type="dxa"/>
            </w:tcMar>
          </w:tcPr>
          <w:p>
            <w:r>
              <w:rPr>
                <w:rFonts w:ascii="Liberation Sans" w:hAnsi="Liberation Sans"/>
                <w:b/>
                <w:color w:val="1F7A8C"/>
                <w:sz w:val="18"/>
              </w:rPr>
              <w:t>2</w:t>
            </w:r>
          </w:p>
        </w:tc>
        <w:tc>
          <w:tcPr>
            <w:tcW w:type="dxa" w:w="8928"/>
            <w:tcBorders>
              <w:bottom w:val="single" w:sz="2" w:color="E2E6EA"/>
            </w:tcBorders>
            <w:tcMar>
              <w:top w:w="50" w:type="dxa"/>
              <w:start w:w="100" w:type="dxa"/>
              <w:bottom w:w="50" w:type="dxa"/>
              <w:end w:w="100" w:type="dxa"/>
            </w:tcMar>
          </w:tcPr>
          <w:p>
            <w:r>
              <w:rPr>
                <w:rFonts w:ascii="Liberation Sans" w:hAnsi="Liberation Sans"/>
                <w:color w:val="1F1F1F"/>
                <w:sz w:val="18"/>
              </w:rPr>
              <w:t>Design principles and operating roles</w:t>
            </w:r>
          </w:p>
        </w:tc>
      </w:tr>
      <w:tr>
        <w:tc>
          <w:tcPr>
            <w:tcW w:type="dxa" w:w="792"/>
            <w:tcBorders>
              <w:bottom w:val="single" w:sz="2" w:color="E2E6EA"/>
            </w:tcBorders>
            <w:tcMar>
              <w:top w:w="50" w:type="dxa"/>
              <w:start w:w="100" w:type="dxa"/>
              <w:bottom w:w="50" w:type="dxa"/>
              <w:end w:w="100" w:type="dxa"/>
            </w:tcMar>
          </w:tcPr>
          <w:p>
            <w:r>
              <w:rPr>
                <w:rFonts w:ascii="Liberation Sans" w:hAnsi="Liberation Sans"/>
                <w:b/>
                <w:color w:val="1F7A8C"/>
                <w:sz w:val="18"/>
              </w:rPr>
              <w:t>3</w:t>
            </w:r>
          </w:p>
        </w:tc>
        <w:tc>
          <w:tcPr>
            <w:tcW w:type="dxa" w:w="8928"/>
            <w:tcBorders>
              <w:bottom w:val="single" w:sz="2" w:color="E2E6EA"/>
            </w:tcBorders>
            <w:tcMar>
              <w:top w:w="50" w:type="dxa"/>
              <w:start w:w="100" w:type="dxa"/>
              <w:bottom w:w="50" w:type="dxa"/>
              <w:end w:w="100" w:type="dxa"/>
            </w:tcMar>
          </w:tcPr>
          <w:p>
            <w:r>
              <w:rPr>
                <w:rFonts w:ascii="Liberation Sans" w:hAnsi="Liberation Sans"/>
                <w:color w:val="1F1F1F"/>
                <w:sz w:val="18"/>
              </w:rPr>
              <w:t>Target architecture and component responsibilities</w:t>
            </w:r>
          </w:p>
        </w:tc>
      </w:tr>
      <w:tr>
        <w:tc>
          <w:tcPr>
            <w:tcW w:type="dxa" w:w="792"/>
            <w:tcBorders>
              <w:bottom w:val="single" w:sz="2" w:color="E2E6EA"/>
            </w:tcBorders>
            <w:tcMar>
              <w:top w:w="50" w:type="dxa"/>
              <w:start w:w="100" w:type="dxa"/>
              <w:bottom w:w="50" w:type="dxa"/>
              <w:end w:w="100" w:type="dxa"/>
            </w:tcMar>
          </w:tcPr>
          <w:p>
            <w:r>
              <w:rPr>
                <w:rFonts w:ascii="Liberation Sans" w:hAnsi="Liberation Sans"/>
                <w:b/>
                <w:color w:val="1F7A8C"/>
                <w:sz w:val="18"/>
              </w:rPr>
              <w:t>4</w:t>
            </w:r>
          </w:p>
        </w:tc>
        <w:tc>
          <w:tcPr>
            <w:tcW w:type="dxa" w:w="8928"/>
            <w:tcBorders>
              <w:bottom w:val="single" w:sz="2" w:color="E2E6EA"/>
            </w:tcBorders>
            <w:tcMar>
              <w:top w:w="50" w:type="dxa"/>
              <w:start w:w="100" w:type="dxa"/>
              <w:bottom w:w="50" w:type="dxa"/>
              <w:end w:w="100" w:type="dxa"/>
            </w:tcMar>
          </w:tcPr>
          <w:p>
            <w:r>
              <w:rPr>
                <w:rFonts w:ascii="Liberation Sans" w:hAnsi="Liberation Sans"/>
                <w:color w:val="1F1F1F"/>
                <w:sz w:val="18"/>
              </w:rPr>
              <w:t>End-to-end workflow and decision points</w:t>
            </w:r>
          </w:p>
        </w:tc>
      </w:tr>
      <w:tr>
        <w:tc>
          <w:tcPr>
            <w:tcW w:type="dxa" w:w="792"/>
            <w:tcBorders>
              <w:bottom w:val="single" w:sz="2" w:color="E2E6EA"/>
            </w:tcBorders>
            <w:tcMar>
              <w:top w:w="50" w:type="dxa"/>
              <w:start w:w="100" w:type="dxa"/>
              <w:bottom w:w="50" w:type="dxa"/>
              <w:end w:w="100" w:type="dxa"/>
            </w:tcMar>
          </w:tcPr>
          <w:p>
            <w:r>
              <w:rPr>
                <w:rFonts w:ascii="Liberation Sans" w:hAnsi="Liberation Sans"/>
                <w:b/>
                <w:color w:val="1F7A8C"/>
                <w:sz w:val="18"/>
              </w:rPr>
              <w:t>5</w:t>
            </w:r>
          </w:p>
        </w:tc>
        <w:tc>
          <w:tcPr>
            <w:tcW w:type="dxa" w:w="8928"/>
            <w:tcBorders>
              <w:bottom w:val="single" w:sz="2" w:color="E2E6EA"/>
            </w:tcBorders>
            <w:tcMar>
              <w:top w:w="50" w:type="dxa"/>
              <w:start w:w="100" w:type="dxa"/>
              <w:bottom w:w="50" w:type="dxa"/>
              <w:end w:w="100" w:type="dxa"/>
            </w:tcMar>
          </w:tcPr>
          <w:p>
            <w:r>
              <w:rPr>
                <w:rFonts w:ascii="Liberation Sans" w:hAnsi="Liberation Sans"/>
                <w:color w:val="1F1F1F"/>
                <w:sz w:val="18"/>
              </w:rPr>
              <w:t>Deterministic, LLM-assisted and human decisioning</w:t>
            </w:r>
          </w:p>
        </w:tc>
      </w:tr>
      <w:tr>
        <w:tc>
          <w:tcPr>
            <w:tcW w:type="dxa" w:w="792"/>
            <w:tcBorders>
              <w:bottom w:val="single" w:sz="2" w:color="E2E6EA"/>
            </w:tcBorders>
            <w:tcMar>
              <w:top w:w="50" w:type="dxa"/>
              <w:start w:w="100" w:type="dxa"/>
              <w:bottom w:w="50" w:type="dxa"/>
              <w:end w:w="100" w:type="dxa"/>
            </w:tcMar>
          </w:tcPr>
          <w:p>
            <w:r>
              <w:rPr>
                <w:rFonts w:ascii="Liberation Sans" w:hAnsi="Liberation Sans"/>
                <w:b/>
                <w:color w:val="1F7A8C"/>
                <w:sz w:val="18"/>
              </w:rPr>
              <w:t>6</w:t>
            </w:r>
          </w:p>
        </w:tc>
        <w:tc>
          <w:tcPr>
            <w:tcW w:type="dxa" w:w="8928"/>
            <w:tcBorders>
              <w:bottom w:val="single" w:sz="2" w:color="E2E6EA"/>
            </w:tcBorders>
            <w:tcMar>
              <w:top w:w="50" w:type="dxa"/>
              <w:start w:w="100" w:type="dxa"/>
              <w:bottom w:w="50" w:type="dxa"/>
              <w:end w:w="100" w:type="dxa"/>
            </w:tcMar>
          </w:tcPr>
          <w:p>
            <w:r>
              <w:rPr>
                <w:rFonts w:ascii="Liberation Sans" w:hAnsi="Liberation Sans"/>
                <w:color w:val="1F1F1F"/>
                <w:sz w:val="18"/>
              </w:rPr>
              <w:t>MCP and simulated LPR system contracts</w:t>
            </w:r>
          </w:p>
        </w:tc>
      </w:tr>
      <w:tr>
        <w:tc>
          <w:tcPr>
            <w:tcW w:type="dxa" w:w="792"/>
            <w:tcBorders>
              <w:bottom w:val="single" w:sz="2" w:color="E2E6EA"/>
            </w:tcBorders>
            <w:tcMar>
              <w:top w:w="50" w:type="dxa"/>
              <w:start w:w="100" w:type="dxa"/>
              <w:bottom w:w="50" w:type="dxa"/>
              <w:end w:w="100" w:type="dxa"/>
            </w:tcMar>
          </w:tcPr>
          <w:p>
            <w:r>
              <w:rPr>
                <w:rFonts w:ascii="Liberation Sans" w:hAnsi="Liberation Sans"/>
                <w:b/>
                <w:color w:val="1F7A8C"/>
                <w:sz w:val="18"/>
              </w:rPr>
              <w:t>7</w:t>
            </w:r>
          </w:p>
        </w:tc>
        <w:tc>
          <w:tcPr>
            <w:tcW w:type="dxa" w:w="8928"/>
            <w:tcBorders>
              <w:bottom w:val="single" w:sz="2" w:color="E2E6EA"/>
            </w:tcBorders>
            <w:tcMar>
              <w:top w:w="50" w:type="dxa"/>
              <w:start w:w="100" w:type="dxa"/>
              <w:bottom w:w="50" w:type="dxa"/>
              <w:end w:w="100" w:type="dxa"/>
            </w:tcMar>
          </w:tcPr>
          <w:p>
            <w:r>
              <w:rPr>
                <w:rFonts w:ascii="Liberation Sans" w:hAnsi="Liberation Sans"/>
                <w:color w:val="1F1F1F"/>
                <w:sz w:val="18"/>
              </w:rPr>
              <w:t>Streamlit user experience</w:t>
            </w:r>
          </w:p>
        </w:tc>
      </w:tr>
      <w:tr>
        <w:tc>
          <w:tcPr>
            <w:tcW w:type="dxa" w:w="792"/>
            <w:tcBorders>
              <w:bottom w:val="single" w:sz="2" w:color="E2E6EA"/>
            </w:tcBorders>
            <w:tcMar>
              <w:top w:w="50" w:type="dxa"/>
              <w:start w:w="100" w:type="dxa"/>
              <w:bottom w:w="50" w:type="dxa"/>
              <w:end w:w="100" w:type="dxa"/>
            </w:tcMar>
          </w:tcPr>
          <w:p>
            <w:r>
              <w:rPr>
                <w:rFonts w:ascii="Liberation Sans" w:hAnsi="Liberation Sans"/>
                <w:b/>
                <w:color w:val="1F7A8C"/>
                <w:sz w:val="18"/>
              </w:rPr>
              <w:t>8</w:t>
            </w:r>
          </w:p>
        </w:tc>
        <w:tc>
          <w:tcPr>
            <w:tcW w:type="dxa" w:w="8928"/>
            <w:tcBorders>
              <w:bottom w:val="single" w:sz="2" w:color="E2E6EA"/>
            </w:tcBorders>
            <w:tcMar>
              <w:top w:w="50" w:type="dxa"/>
              <w:start w:w="100" w:type="dxa"/>
              <w:bottom w:w="50" w:type="dxa"/>
              <w:end w:w="100" w:type="dxa"/>
            </w:tcMar>
          </w:tcPr>
          <w:p>
            <w:r>
              <w:rPr>
                <w:rFonts w:ascii="Liberation Sans" w:hAnsi="Liberation Sans"/>
                <w:color w:val="1F1F1F"/>
                <w:sz w:val="18"/>
              </w:rPr>
              <w:t>API, state, persistence and read model</w:t>
            </w:r>
          </w:p>
        </w:tc>
      </w:tr>
      <w:tr>
        <w:tc>
          <w:tcPr>
            <w:tcW w:type="dxa" w:w="792"/>
            <w:tcBorders>
              <w:bottom w:val="single" w:sz="2" w:color="E2E6EA"/>
            </w:tcBorders>
            <w:tcMar>
              <w:top w:w="50" w:type="dxa"/>
              <w:start w:w="100" w:type="dxa"/>
              <w:bottom w:w="50" w:type="dxa"/>
              <w:end w:w="100" w:type="dxa"/>
            </w:tcMar>
          </w:tcPr>
          <w:p>
            <w:r>
              <w:rPr>
                <w:rFonts w:ascii="Liberation Sans" w:hAnsi="Liberation Sans"/>
                <w:b/>
                <w:color w:val="1F7A8C"/>
                <w:sz w:val="18"/>
              </w:rPr>
              <w:t>9</w:t>
            </w:r>
          </w:p>
        </w:tc>
        <w:tc>
          <w:tcPr>
            <w:tcW w:type="dxa" w:w="8928"/>
            <w:tcBorders>
              <w:bottom w:val="single" w:sz="2" w:color="E2E6EA"/>
            </w:tcBorders>
            <w:tcMar>
              <w:top w:w="50" w:type="dxa"/>
              <w:start w:w="100" w:type="dxa"/>
              <w:bottom w:w="50" w:type="dxa"/>
              <w:end w:w="100" w:type="dxa"/>
            </w:tcMar>
          </w:tcPr>
          <w:p>
            <w:r>
              <w:rPr>
                <w:rFonts w:ascii="Liberation Sans" w:hAnsi="Liberation Sans"/>
                <w:color w:val="1F1F1F"/>
                <w:sz w:val="18"/>
              </w:rPr>
              <w:t>Docker Desktop deployment</w:t>
            </w:r>
          </w:p>
        </w:tc>
      </w:tr>
      <w:tr>
        <w:tc>
          <w:tcPr>
            <w:tcW w:type="dxa" w:w="792"/>
            <w:tcBorders>
              <w:bottom w:val="single" w:sz="2" w:color="E2E6EA"/>
            </w:tcBorders>
            <w:tcMar>
              <w:top w:w="50" w:type="dxa"/>
              <w:start w:w="100" w:type="dxa"/>
              <w:bottom w:w="50" w:type="dxa"/>
              <w:end w:w="100" w:type="dxa"/>
            </w:tcMar>
          </w:tcPr>
          <w:p>
            <w:r>
              <w:rPr>
                <w:rFonts w:ascii="Liberation Sans" w:hAnsi="Liberation Sans"/>
                <w:b/>
                <w:color w:val="1F7A8C"/>
                <w:sz w:val="18"/>
              </w:rPr>
              <w:t>10</w:t>
            </w:r>
          </w:p>
        </w:tc>
        <w:tc>
          <w:tcPr>
            <w:tcW w:type="dxa" w:w="8928"/>
            <w:tcBorders>
              <w:bottom w:val="single" w:sz="2" w:color="E2E6EA"/>
            </w:tcBorders>
            <w:tcMar>
              <w:top w:w="50" w:type="dxa"/>
              <w:start w:w="100" w:type="dxa"/>
              <w:bottom w:w="50" w:type="dxa"/>
              <w:end w:w="100" w:type="dxa"/>
            </w:tcMar>
          </w:tcPr>
          <w:p>
            <w:r>
              <w:rPr>
                <w:rFonts w:ascii="Liberation Sans" w:hAnsi="Liberation Sans"/>
                <w:color w:val="1F1F1F"/>
                <w:sz w:val="18"/>
              </w:rPr>
              <w:t>Security, observability and KPI design</w:t>
            </w:r>
          </w:p>
        </w:tc>
      </w:tr>
      <w:tr>
        <w:tc>
          <w:tcPr>
            <w:tcW w:type="dxa" w:w="792"/>
            <w:tcBorders>
              <w:bottom w:val="single" w:sz="2" w:color="E2E6EA"/>
            </w:tcBorders>
            <w:tcMar>
              <w:top w:w="50" w:type="dxa"/>
              <w:start w:w="100" w:type="dxa"/>
              <w:bottom w:w="50" w:type="dxa"/>
              <w:end w:w="100" w:type="dxa"/>
            </w:tcMar>
          </w:tcPr>
          <w:p>
            <w:r>
              <w:rPr>
                <w:rFonts w:ascii="Liberation Sans" w:hAnsi="Liberation Sans"/>
                <w:b/>
                <w:color w:val="1F7A8C"/>
                <w:sz w:val="18"/>
              </w:rPr>
              <w:t>11</w:t>
            </w:r>
          </w:p>
        </w:tc>
        <w:tc>
          <w:tcPr>
            <w:tcW w:type="dxa" w:w="8928"/>
            <w:tcBorders>
              <w:bottom w:val="single" w:sz="2" w:color="E2E6EA"/>
            </w:tcBorders>
            <w:tcMar>
              <w:top w:w="50" w:type="dxa"/>
              <w:start w:w="100" w:type="dxa"/>
              <w:bottom w:w="50" w:type="dxa"/>
              <w:end w:w="100" w:type="dxa"/>
            </w:tcMar>
          </w:tcPr>
          <w:p>
            <w:r>
              <w:rPr>
                <w:rFonts w:ascii="Liberation Sans" w:hAnsi="Liberation Sans"/>
                <w:color w:val="1F1F1F"/>
                <w:sz w:val="18"/>
              </w:rPr>
              <w:t>Test scenarios, acceptance criteria and future hardening</w:t>
            </w:r>
          </w:p>
        </w:tc>
      </w:tr>
      <w:tr>
        <w:tc>
          <w:tcPr>
            <w:tcW w:type="dxa" w:w="792"/>
            <w:tcBorders>
              <w:bottom w:val="single" w:sz="2" w:color="E2E6EA"/>
            </w:tcBorders>
            <w:tcMar>
              <w:top w:w="50" w:type="dxa"/>
              <w:start w:w="100" w:type="dxa"/>
              <w:bottom w:w="50" w:type="dxa"/>
              <w:end w:w="100" w:type="dxa"/>
            </w:tcMar>
          </w:tcPr>
          <w:p>
            <w:r>
              <w:rPr>
                <w:rFonts w:ascii="Liberation Sans" w:hAnsi="Liberation Sans"/>
                <w:b/>
                <w:color w:val="1F7A8C"/>
                <w:sz w:val="18"/>
              </w:rPr>
              <w:t>A</w:t>
            </w:r>
          </w:p>
        </w:tc>
        <w:tc>
          <w:tcPr>
            <w:tcW w:type="dxa" w:w="8928"/>
            <w:tcBorders>
              <w:bottom w:val="single" w:sz="2" w:color="E2E6EA"/>
            </w:tcBorders>
            <w:tcMar>
              <w:top w:w="50" w:type="dxa"/>
              <w:start w:w="100" w:type="dxa"/>
              <w:bottom w:w="50" w:type="dxa"/>
              <w:end w:w="100" w:type="dxa"/>
            </w:tcMar>
          </w:tcPr>
          <w:p>
            <w:r>
              <w:rPr>
                <w:rFonts w:ascii="Liberation Sans" w:hAnsi="Liberation Sans"/>
                <w:color w:val="1F1F1F"/>
                <w:sz w:val="18"/>
              </w:rPr>
              <w:t>Appendix — schemas and interfaces</w:t>
            </w:r>
          </w:p>
        </w:tc>
      </w:tr>
      <w:tr>
        <w:tc>
          <w:tcPr>
            <w:tcW w:type="dxa" w:w="792"/>
            <w:tcBorders>
              <w:bottom w:val="single" w:sz="2" w:color="E2E6EA"/>
            </w:tcBorders>
            <w:tcMar>
              <w:top w:w="50" w:type="dxa"/>
              <w:start w:w="100" w:type="dxa"/>
              <w:bottom w:w="50" w:type="dxa"/>
              <w:end w:w="100" w:type="dxa"/>
            </w:tcMar>
          </w:tcPr>
          <w:p>
            <w:r>
              <w:rPr>
                <w:rFonts w:ascii="Liberation Sans" w:hAnsi="Liberation Sans"/>
                <w:b/>
                <w:color w:val="1F7A8C"/>
                <w:sz w:val="18"/>
              </w:rPr>
              <w:t>B</w:t>
            </w:r>
          </w:p>
        </w:tc>
        <w:tc>
          <w:tcPr>
            <w:tcW w:type="dxa" w:w="8928"/>
            <w:tcBorders>
              <w:bottom w:val="single" w:sz="2" w:color="E2E6EA"/>
            </w:tcBorders>
            <w:tcMar>
              <w:top w:w="50" w:type="dxa"/>
              <w:start w:w="100" w:type="dxa"/>
              <w:bottom w:w="50" w:type="dxa"/>
              <w:end w:w="100" w:type="dxa"/>
            </w:tcMar>
          </w:tcPr>
          <w:p>
            <w:r>
              <w:rPr>
                <w:rFonts w:ascii="Liberation Sans" w:hAnsi="Liberation Sans"/>
                <w:color w:val="1F1F1F"/>
                <w:sz w:val="18"/>
              </w:rPr>
              <w:t>References</w:t>
            </w:r>
          </w:p>
        </w:tc>
      </w:tr>
    </w:tbl>
    <w:p>
      <w:r>
        <w:br w:type="page"/>
      </w:r>
    </w:p>
    <w:p>
      <w:pPr>
        <w:pStyle w:val="Heading1"/>
        <w:pBdr>
          <w:bottom w:val="single" w:sz="8" w:space="1" w:color="DDEBF7"/>
        </w:pBdr>
      </w:pPr>
      <w:r>
        <w:t>1. Purpose, baseline and scope</w:t>
      </w:r>
    </w:p>
    <w:p>
      <w:pPr>
        <w:pStyle w:val="Heading2"/>
      </w:pPr>
      <w:r>
        <w:t>1.1 Purpose</w:t>
      </w:r>
    </w:p>
    <w:p>
      <w:r>
        <w:t>This specification defines a small but structurally sound demonstration of the LPR CPE service-assurance workflow. The mockup runs on Docker Desktop, presents the workflow through a Streamlit console, exposes query and command APIs through FastAPI, persists one LangGraph thread per incident in PostgreSQL, uses deterministic services for measurable facts and constraints, and uses optional LLM calls for evidence synthesis, root-cause analysis, and best/next-best-action recommendations. Revision 1.1 adds an explicit deterministic-versus-LLM domain-agreement gate, replay-safe approval execution, bounded return loops, a parent/child SLA rule, reverse handover, live UI refresh, and a verified MCP compatibility profile. [U4]</w:t>
      </w:r>
    </w:p>
    <w:p>
      <w:r>
        <w:t>The intended outcome is a working vertical slice that can be shown to operations and engineering stakeholders without connecting to production NXT, CPE-management, WFM, inventory, or jTrack systems. The design remains proportionate: it adds no new container beyond the original four-service footprint and does not alter the deliberately partial production parent graph.</w:t>
      </w:r>
    </w:p>
    <w:p>
      <w:pPr>
        <w:pStyle w:val="Heading2"/>
      </w:pPr>
      <w:r>
        <w:t>1.2 Verified repository baseline</w:t>
      </w:r>
    </w:p>
    <w:tbl>
      <w:tblPr>
        <w:tblW w:type="auto" w:w="0"/>
        <w:jc w:val="center"/>
        <w:tblLook w:firstColumn="1" w:firstRow="1" w:lastColumn="0" w:lastRow="0" w:noHBand="0" w:noVBand="1" w:val="04A0"/>
      </w:tblPr>
      <w:tblGrid>
        <w:gridCol w:w="10282"/>
      </w:tblGrid>
      <w:tr>
        <w:tc>
          <w:tcPr>
            <w:tcW w:type="dxa" w:w="10282"/>
            <w:shd w:fill="F4CCCC"/>
            <w:tcBorders>
              <w:top w:val="single" w:sz="8" w:color="C00000"/>
              <w:left w:val="single" w:sz="8" w:color="C00000"/>
              <w:bottom w:val="single" w:sz="8" w:color="C00000"/>
              <w:right w:val="single" w:sz="8" w:color="C00000"/>
            </w:tcBorders>
            <w:tcMar>
              <w:top w:w="110" w:type="dxa"/>
              <w:start w:w="140" w:type="dxa"/>
              <w:bottom w:w="110" w:type="dxa"/>
              <w:end w:w="140" w:type="dxa"/>
            </w:tcMar>
          </w:tcPr>
          <w:p>
            <w:r>
              <w:rPr>
                <w:rFonts w:ascii="Liberation Sans" w:hAnsi="Liberation Sans"/>
                <w:b/>
                <w:color w:val="C00000"/>
                <w:sz w:val="19"/>
              </w:rPr>
              <w:t xml:space="preserve">Verified current state  </w:t>
            </w:r>
            <w:r>
              <w:rPr>
                <w:rFonts w:ascii="Liberation Sans" w:hAnsi="Liberation Sans"/>
                <w:color w:val="1F1F1F"/>
                <w:sz w:val="18"/>
              </w:rPr>
              <w:t>The source repository is a library-only Python package. It has no HTTP server and no user interface; only D01-D06 are attached to the executable parent graph; Stage 3 and later are declared but not wired; the remote-resolution and self-help subgraphs are implemented but not attached; no LLM is called at runtime; and only simulated adapters work. [U1]</w:t>
            </w:r>
          </w:p>
        </w:tc>
      </w:tr>
    </w:tbl>
    <w:p>
      <w:pPr>
        <w:spacing w:after="0"/>
      </w:pP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376"/>
            <w:shd w:fill="17365D"/>
            <w:vAlign w:val="center"/>
            <w:tcMar>
              <w:top w:w="70" w:type="dxa"/>
              <w:start w:w="100" w:type="dxa"/>
              <w:bottom w:w="70" w:type="dxa"/>
              <w:end w:w="100" w:type="dxa"/>
            </w:tcMar>
          </w:tcPr>
          <w:p>
            <w:r>
              <w:rPr>
                <w:rFonts w:ascii="Liberation Sans" w:hAnsi="Liberation Sans"/>
                <w:b/>
                <w:color w:val="FFFFFF"/>
                <w:sz w:val="16"/>
              </w:rPr>
              <w:t>Area</w:t>
            </w:r>
          </w:p>
        </w:tc>
        <w:tc>
          <w:tcPr>
            <w:tcW w:type="dxa" w:w="7632"/>
            <w:shd w:fill="17365D"/>
            <w:vAlign w:val="center"/>
            <w:tcMar>
              <w:top w:w="70" w:type="dxa"/>
              <w:start w:w="100" w:type="dxa"/>
              <w:bottom w:w="70" w:type="dxa"/>
              <w:end w:w="100" w:type="dxa"/>
            </w:tcMar>
          </w:tcPr>
          <w:p>
            <w:r>
              <w:rPr>
                <w:rFonts w:ascii="Liberation Sans" w:hAnsi="Liberation Sans"/>
                <w:b/>
                <w:color w:val="FFFFFF"/>
                <w:sz w:val="16"/>
              </w:rPr>
              <w:t>Verified baseline</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Repository revision</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Commit 0296d09, 16 August 2026</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Implemented graph</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P01-P11 intake, evidence and diagnosis; D01-D06 wired</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Declared frontier</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Preventive maintenance, low-confidence RCA interrupt, and Stage 3 onward</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Existing controls</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Typed state, reducers, budget ceilings, fail-closed policy, WriteGate, RBAC models, audit and KPI events</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Existing subgraphs</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Remote resolution and guided self-help, both tested but unreachable from parent graph</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External systems</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Ten adapter families with simulation implementations only</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Model involvement</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No runtime LLM; deterministic detectors, decision services, policies, and named human approval gates</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Quality gate</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98 source files, 24 routers, and 762 passing tests at the documented revision [U1]</w:t>
            </w:r>
          </w:p>
        </w:tc>
      </w:tr>
    </w:tbl>
    <w:p>
      <w:pPr>
        <w:spacing w:after="0"/>
      </w:pPr>
    </w:p>
    <w:p>
      <w:pPr>
        <w:pStyle w:val="Heading2"/>
      </w:pPr>
      <w:r>
        <w:t>1.3 Proposed mockup scope</w:t>
      </w:r>
    </w:p>
    <w:p>
      <w:pPr>
        <w:pStyle w:val="ListBullet"/>
        <w:ind w:left="331" w:hanging="173"/>
      </w:pPr>
      <w:r>
        <w:t>A separate demo graph that reuses current domain models, policies, detectors, persistence patterns, and simulated adapters without changing the deliberately partial production parent graph.</w:t>
      </w:r>
    </w:p>
    <w:p>
      <w:pPr>
        <w:pStyle w:val="ListBullet"/>
        <w:ind w:left="331" w:hanging="173"/>
      </w:pPr>
      <w:r>
        <w:t>Four Docker services: Streamlit UI, FastAPI plus LangGraph runtime, PostgreSQL, and one MCP simulation server.</w:t>
      </w:r>
    </w:p>
    <w:p>
      <w:pPr>
        <w:pStyle w:val="ListBullet"/>
        <w:ind w:left="331" w:hanging="173"/>
      </w:pPr>
      <w:r>
        <w:t>A fake deterministic model mode that runs without any API key, plus an optional configured LLM provider for RCA and action recommendations.</w:t>
      </w:r>
    </w:p>
    <w:p>
      <w:pPr>
        <w:pStyle w:val="ListBullet"/>
        <w:ind w:left="331" w:hanging="173"/>
      </w:pPr>
      <w:r>
        <w:t>Seven to nine fixture-backed scenarios showing remote repair, failed remote action followed by Clean Boots, PON ODP handover to Dirty Boots, reverse handover, common-cause correlation, deterministic/LLM domain disagreement, replay safety, and bounded escalation after repeated failure.</w:t>
      </w:r>
    </w:p>
    <w:p>
      <w:pPr>
        <w:pStyle w:val="ListBullet"/>
        <w:ind w:left="331" w:hanging="173"/>
      </w:pPr>
      <w:r>
        <w:t>Human decision points for low-confidence RCA, deterministic/LLM responsibility-domain disagreement, remote action, dispatch, tap/ODP handover, high-blast-radius action, and exceptional closure.</w:t>
      </w:r>
    </w:p>
    <w:p>
      <w:pPr>
        <w:pStyle w:val="ListBullet"/>
        <w:ind w:left="331" w:hanging="173"/>
      </w:pPr>
      <w:r>
        <w:t>A permanent DEMONSTRATION MODE banner and zero production writes.</w:t>
      </w:r>
    </w:p>
    <w:p>
      <w:pPr>
        <w:pStyle w:val="Heading2"/>
      </w:pPr>
      <w:r>
        <w:t>1.4 Non-goals</w:t>
      </w:r>
    </w:p>
    <w:p>
      <w:pPr>
        <w:pStyle w:val="ListBullet"/>
        <w:ind w:left="331" w:hanging="173"/>
      </w:pPr>
      <w:r>
        <w:t>Real CommScope ServAssure NXT, ACS/USP, WFM, inventory, or jTrack integration.</w:t>
      </w:r>
    </w:p>
    <w:p>
      <w:pPr>
        <w:pStyle w:val="ListBullet"/>
        <w:ind w:left="331" w:hanging="173"/>
      </w:pPr>
      <w:r>
        <w:t>Production-grade identity federation, high availability, multi-region deployment, or enterprise disaster recovery.</w:t>
      </w:r>
    </w:p>
    <w:p>
      <w:pPr>
        <w:pStyle w:val="ListBullet"/>
        <w:ind w:left="331" w:hanging="173"/>
      </w:pPr>
      <w:r>
        <w:t>A complete implementation of all 24 existing decisions and every Stage 3-5 node.</w:t>
      </w:r>
    </w:p>
    <w:p>
      <w:pPr>
        <w:pStyle w:val="ListBullet"/>
        <w:ind w:left="331" w:hanging="173"/>
      </w:pPr>
      <w:r>
        <w:t>Autonomous scheduling, plant changes, or unrestricted model tool use.</w:t>
      </w:r>
    </w:p>
    <w:p>
      <w:pPr>
        <w:pStyle w:val="ListBullet"/>
        <w:ind w:left="331" w:hanging="173"/>
      </w:pPr>
      <w:r>
        <w:t>Replacement of the current graph builder or removal of its declared PENDING_STAGES controls.</w:t>
      </w:r>
    </w:p>
    <w:p>
      <w:pPr>
        <w:pStyle w:val="Heading2"/>
      </w:pPr>
      <w:r>
        <w:t>1.5 Demonstration scenarios</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648"/>
            <w:shd w:fill="173F68"/>
            <w:vAlign w:val="center"/>
            <w:tcMar>
              <w:top w:w="55" w:type="dxa"/>
              <w:start w:w="70" w:type="dxa"/>
              <w:bottom w:w="55" w:type="dxa"/>
              <w:end w:w="70" w:type="dxa"/>
            </w:tcMar>
          </w:tcPr>
          <w:p>
            <w:pPr>
              <w:jc w:val="left"/>
            </w:pPr>
            <w:r>
              <w:rPr>
                <w:rFonts w:ascii="Liberation Sans" w:hAnsi="Liberation Sans"/>
                <w:b/>
                <w:color w:val="FFFFFF"/>
                <w:sz w:val="14"/>
              </w:rPr>
              <w:t>ID</w:t>
            </w:r>
          </w:p>
        </w:tc>
        <w:tc>
          <w:tcPr>
            <w:tcW w:type="dxa" w:w="2232"/>
            <w:shd w:fill="173F68"/>
            <w:vAlign w:val="center"/>
            <w:tcMar>
              <w:top w:w="55" w:type="dxa"/>
              <w:start w:w="70" w:type="dxa"/>
              <w:bottom w:w="55" w:type="dxa"/>
              <w:end w:w="70" w:type="dxa"/>
            </w:tcMar>
          </w:tcPr>
          <w:p>
            <w:pPr>
              <w:jc w:val="left"/>
            </w:pPr>
            <w:r>
              <w:rPr>
                <w:rFonts w:ascii="Liberation Sans" w:hAnsi="Liberation Sans"/>
                <w:b/>
                <w:color w:val="FFFFFF"/>
                <w:sz w:val="14"/>
              </w:rPr>
              <w:t>Scenario</w:t>
            </w:r>
          </w:p>
        </w:tc>
        <w:tc>
          <w:tcPr>
            <w:tcW w:type="dxa" w:w="7128"/>
            <w:shd w:fill="173F68"/>
            <w:vAlign w:val="center"/>
            <w:tcMar>
              <w:top w:w="55" w:type="dxa"/>
              <w:start w:w="70" w:type="dxa"/>
              <w:bottom w:w="55" w:type="dxa"/>
              <w:end w:w="70" w:type="dxa"/>
            </w:tcMar>
          </w:tcPr>
          <w:p>
            <w:pPr>
              <w:jc w:val="left"/>
            </w:pPr>
            <w:r>
              <w:rPr>
                <w:rFonts w:ascii="Liberation Sans" w:hAnsi="Liberation Sans"/>
                <w:b/>
                <w:color w:val="FFFFFF"/>
                <w:sz w:val="14"/>
              </w:rPr>
              <w:t>Expected demonstration</w:t>
            </w:r>
          </w:p>
        </w:tc>
      </w:tr>
      <w:tr>
        <w:tc>
          <w:tcPr>
            <w:tcW w:type="dxa" w:w="6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S1</w:t>
            </w:r>
          </w:p>
        </w:tc>
        <w:tc>
          <w:tcPr>
            <w:tcW w:type="dxa" w:w="223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HFC remote success</w:t>
            </w:r>
          </w:p>
        </w:tc>
        <w:tc>
          <w:tcPr>
            <w:tcW w:type="dxa" w:w="712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RCA identifies a recoverable provisioning issue; human approves; simulated reprovision succeeds; post-action verification passes; incident closes without a truck roll.</w:t>
            </w:r>
          </w:p>
        </w:tc>
      </w:tr>
      <w:tr>
        <w:tc>
          <w:tcPr>
            <w:tcW w:type="dxa" w:w="6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S2</w:t>
            </w:r>
          </w:p>
        </w:tc>
        <w:tc>
          <w:tcPr>
            <w:tcW w:type="dxa" w:w="223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Remote failure then Clean Boots</w:t>
            </w:r>
          </w:p>
        </w:tc>
        <w:tc>
          <w:tcPr>
            <w:tcW w:type="dxa" w:w="712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Remote attempt is recorded, the graph returns to RCA, a Clean Boots dispatch is approved, the first visit resolves the customer-domain fault, and the same SLA clock continues.</w:t>
            </w:r>
          </w:p>
        </w:tc>
      </w:tr>
      <w:tr>
        <w:tc>
          <w:tcPr>
            <w:tcW w:type="dxa" w:w="6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S3</w:t>
            </w:r>
          </w:p>
        </w:tc>
        <w:tc>
          <w:tcPr>
            <w:tcW w:type="dxa" w:w="223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PON ODP handover</w:t>
            </w:r>
          </w:p>
        </w:tc>
        <w:tc>
          <w:tcPr>
            <w:tcW w:type="dxa" w:w="712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Clean Boots proves the fault beyond the ODP, the evidence contract is reviewed, one jTrack MR is created, Dirty Boots repairs the plant, and NXT-style validation permits coordinated closure.</w:t>
            </w:r>
          </w:p>
        </w:tc>
      </w:tr>
      <w:tr>
        <w:tc>
          <w:tcPr>
            <w:tcW w:type="dxa" w:w="6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S4</w:t>
            </w:r>
          </w:p>
        </w:tc>
        <w:tc>
          <w:tcPr>
            <w:tcW w:type="dxa" w:w="223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HFC common cause</w:t>
            </w:r>
          </w:p>
        </w:tc>
        <w:tc>
          <w:tcPr>
            <w:tcW w:type="dxa" w:w="712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Several CPE signals correlate to one shared resource; child cases attach to a parent incident, use the parent SLA for current breach display, and avoid duplicate customer-premises dispatches.</w:t>
            </w:r>
          </w:p>
        </w:tc>
      </w:tr>
      <w:tr>
        <w:tc>
          <w:tcPr>
            <w:tcW w:type="dxa" w:w="6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S5</w:t>
            </w:r>
          </w:p>
        </w:tc>
        <w:tc>
          <w:tcPr>
            <w:tcW w:type="dxa" w:w="223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Failed plant action</w:t>
            </w:r>
          </w:p>
        </w:tc>
        <w:tc>
          <w:tcPr>
            <w:tcW w:type="dxa" w:w="712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A simulated MR action fails; attempt counters and evidence update; no duplicate MR is created; the incident returns to cross-domain RCA while budget remains.</w:t>
            </w:r>
          </w:p>
        </w:tc>
      </w:tr>
      <w:tr>
        <w:tc>
          <w:tcPr>
            <w:tcW w:type="dxa" w:w="6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S6</w:t>
            </w:r>
          </w:p>
        </w:tc>
        <w:tc>
          <w:tcPr>
            <w:tcW w:type="dxa" w:w="223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Restart during approval</w:t>
            </w:r>
          </w:p>
        </w:tc>
        <w:tc>
          <w:tcPr>
            <w:tcW w:type="dxa" w:w="712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The graph pauses, containers restart, the incident resumes from PostgreSQL with the same thread ID, and no pre-approval side effect is duplicated.</w:t>
            </w:r>
          </w:p>
        </w:tc>
      </w:tr>
      <w:tr>
        <w:tc>
          <w:tcPr>
            <w:tcW w:type="dxa" w:w="6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S7</w:t>
            </w:r>
          </w:p>
        </w:tc>
        <w:tc>
          <w:tcPr>
            <w:tcW w:type="dxa" w:w="223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PON reverse handover</w:t>
            </w:r>
          </w:p>
        </w:tc>
        <w:tc>
          <w:tcPr>
            <w:tcW w:type="dxa" w:w="712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Dirty Boots restores the ODP/plant path, service remains degraded in-home, and the same evidence contract returns the case to Clean Boots without a new incident or SLA reset.</w:t>
            </w:r>
          </w:p>
        </w:tc>
      </w:tr>
      <w:tr>
        <w:tc>
          <w:tcPr>
            <w:tcW w:type="dxa" w:w="6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S8</w:t>
            </w:r>
          </w:p>
        </w:tc>
        <w:tc>
          <w:tcPr>
            <w:tcW w:type="dxa" w:w="223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RCA domain disagreement</w:t>
            </w:r>
          </w:p>
        </w:tc>
        <w:tc>
          <w:tcPr>
            <w:tcW w:type="dxa" w:w="712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Confidence is above threshold but deterministic and LLM responsibility domains differ; the graph still stops for a named human with gate_reason=domain_disagreement.</w:t>
            </w:r>
          </w:p>
        </w:tc>
      </w:tr>
      <w:tr>
        <w:tc>
          <w:tcPr>
            <w:tcW w:type="dxa" w:w="6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S9</w:t>
            </w:r>
          </w:p>
        </w:tc>
        <w:tc>
          <w:tcPr>
            <w:tcW w:type="dxa" w:w="223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Replay and bounded loop</w:t>
            </w:r>
          </w:p>
        </w:tc>
        <w:tc>
          <w:tcPr>
            <w:tcW w:type="dxa" w:w="712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An approved action is resumed twice but produces one effect; a consumed approval is rejected; repeated failure escalates instead of looping indefinitely.</w:t>
            </w:r>
          </w:p>
        </w:tc>
      </w:tr>
    </w:tbl>
    <w:p>
      <w:pPr>
        <w:pStyle w:val="Heading2"/>
      </w:pPr>
      <w:r>
        <w:t>1.6 Audit disposition and applied hardening</w:t>
      </w:r>
    </w:p>
    <w:p>
      <w:r>
        <w:t>The 12 August 2026 audit approved the architecture to build subject to the RCA disagreement and interrupt/replay controls. Revision 1.1 applies all eleven findings. Where the audit lacked repository access, the implementation is aligned to the verified handover: existing state reducers protect checkpoint replay, existing budget guards own loop ceilings, and the external-effect idempotency store remains a separate control. [U1][U4]</w:t>
      </w:r>
    </w:p>
    <w:tbl>
      <w:tblPr>
        <w:tblW w:type="auto" w:w="0"/>
        <w:tblLayout w:type="autofit"/>
        <w:tblLook w:firstColumn="1" w:firstRow="1" w:lastColumn="0" w:lastRow="0" w:noHBand="0" w:noVBand="1" w:val="04A0"/>
      </w:tblPr>
      <w:tblGrid>
        <w:gridCol w:w="3427"/>
        <w:gridCol w:w="3427"/>
        <w:gridCol w:w="3427"/>
      </w:tblGrid>
      <w:tr>
        <w:trPr>
          <w:tblHeader w:val="true"/>
        </w:trPr>
        <w:tc>
          <w:tcPr>
            <w:tcW w:type="dxa" w:w="1800"/>
            <w:vAlign w:val="center"/>
            <w:tcMar>
              <w:top w:w="55" w:type="dxa"/>
              <w:start w:w="70" w:type="dxa"/>
              <w:bottom w:w="55" w:type="dxa"/>
              <w:end w:w="70" w:type="dxa"/>
            </w:tcMar>
            <w:shd w:fill="173F68"/>
          </w:tcPr>
          <w:p>
            <w:pPr>
              <w:jc w:val="left"/>
            </w:pPr>
            <w:r>
              <w:rPr>
                <w:b/>
                <w:color w:val="FFFFFF"/>
                <w:sz w:val="14"/>
              </w:rPr>
              <w:t>Audit focus</w:t>
            </w:r>
          </w:p>
        </w:tc>
        <w:tc>
          <w:tcPr>
            <w:tcW w:type="dxa" w:w="3240"/>
            <w:vAlign w:val="center"/>
            <w:tcMar>
              <w:top w:w="55" w:type="dxa"/>
              <w:start w:w="70" w:type="dxa"/>
              <w:bottom w:w="55" w:type="dxa"/>
              <w:end w:w="70" w:type="dxa"/>
            </w:tcMar>
            <w:shd w:fill="173F68"/>
          </w:tcPr>
          <w:p>
            <w:pPr>
              <w:jc w:val="left"/>
            </w:pPr>
            <w:r>
              <w:rPr>
                <w:b/>
                <w:color w:val="FFFFFF"/>
                <w:sz w:val="14"/>
              </w:rPr>
              <w:t>Applied update</w:t>
            </w:r>
          </w:p>
        </w:tc>
        <w:tc>
          <w:tcPr>
            <w:tcW w:type="dxa" w:w="4680"/>
            <w:vAlign w:val="center"/>
            <w:tcMar>
              <w:top w:w="55" w:type="dxa"/>
              <w:start w:w="70" w:type="dxa"/>
              <w:bottom w:w="55" w:type="dxa"/>
              <w:end w:w="70" w:type="dxa"/>
            </w:tcMar>
            <w:shd w:fill="173F68"/>
          </w:tcPr>
          <w:p>
            <w:pPr>
              <w:jc w:val="left"/>
            </w:pPr>
            <w:r>
              <w:rPr>
                <w:b/>
                <w:color w:val="FFFFFF"/>
                <w:sz w:val="14"/>
              </w:rPr>
              <w:t>How it is proven</w:t>
            </w:r>
          </w:p>
        </w:tc>
      </w:tr>
      <w:tr>
        <w:tc>
          <w:tcPr>
            <w:tcW w:type="dxa" w:w="1800"/>
            <w:vAlign w:val="center"/>
            <w:tcMar>
              <w:top w:w="55" w:type="dxa"/>
              <w:start w:w="70" w:type="dxa"/>
              <w:bottom w:w="55" w:type="dxa"/>
              <w:end w:w="70" w:type="dxa"/>
            </w:tcMar>
            <w:shd w:fill="FFFFFF"/>
          </w:tcPr>
          <w:p>
            <w:pPr>
              <w:jc w:val="left"/>
            </w:pPr>
            <w:r>
              <w:rPr>
                <w:b w:val="0"/>
                <w:sz w:val="14"/>
              </w:rPr>
              <w:t>RCA disagreement</w:t>
            </w:r>
          </w:p>
        </w:tc>
        <w:tc>
          <w:tcPr>
            <w:tcW w:type="dxa" w:w="3240"/>
            <w:vAlign w:val="center"/>
            <w:tcMar>
              <w:top w:w="55" w:type="dxa"/>
              <w:start w:w="70" w:type="dxa"/>
              <w:bottom w:w="55" w:type="dxa"/>
              <w:end w:w="70" w:type="dxa"/>
            </w:tcMar>
            <w:shd w:fill="FFFFFF"/>
          </w:tcPr>
          <w:p>
            <w:pPr>
              <w:jc w:val="left"/>
            </w:pPr>
            <w:r>
              <w:rPr>
                <w:b w:val="0"/>
                <w:sz w:val="14"/>
              </w:rPr>
              <w:t>A dedicated domain-agreement gate forces human review even when confidence is high.</w:t>
            </w:r>
          </w:p>
        </w:tc>
        <w:tc>
          <w:tcPr>
            <w:tcW w:type="dxa" w:w="4680"/>
            <w:vAlign w:val="center"/>
            <w:tcMar>
              <w:top w:w="55" w:type="dxa"/>
              <w:start w:w="70" w:type="dxa"/>
              <w:bottom w:w="55" w:type="dxa"/>
              <w:end w:w="70" w:type="dxa"/>
            </w:tcMar>
            <w:shd w:fill="FFFFFF"/>
          </w:tcPr>
          <w:p>
            <w:pPr>
              <w:jc w:val="left"/>
            </w:pPr>
            <w:r>
              <w:rPr>
                <w:b w:val="0"/>
                <w:sz w:val="14"/>
              </w:rPr>
              <w:t>Scenario S8 and pure-router unit tests.</w:t>
            </w:r>
          </w:p>
        </w:tc>
      </w:tr>
      <w:tr>
        <w:tc>
          <w:tcPr>
            <w:tcW w:type="dxa" w:w="1800"/>
            <w:vAlign w:val="center"/>
            <w:tcMar>
              <w:top w:w="55" w:type="dxa"/>
              <w:start w:w="70" w:type="dxa"/>
              <w:bottom w:w="55" w:type="dxa"/>
              <w:end w:w="70" w:type="dxa"/>
            </w:tcMar>
            <w:shd w:fill="FFFFFF"/>
          </w:tcPr>
          <w:p>
            <w:pPr>
              <w:jc w:val="left"/>
            </w:pPr>
            <w:r>
              <w:rPr>
                <w:b w:val="0"/>
                <w:sz w:val="14"/>
              </w:rPr>
              <w:t>Interrupt discipline</w:t>
            </w:r>
          </w:p>
        </w:tc>
        <w:tc>
          <w:tcPr>
            <w:tcW w:type="dxa" w:w="3240"/>
            <w:vAlign w:val="center"/>
            <w:tcMar>
              <w:top w:w="55" w:type="dxa"/>
              <w:start w:w="70" w:type="dxa"/>
              <w:bottom w:w="55" w:type="dxa"/>
              <w:end w:w="70" w:type="dxa"/>
            </w:tcMar>
            <w:shd w:fill="FFFFFF"/>
          </w:tcPr>
          <w:p>
            <w:pPr>
              <w:jc w:val="left"/>
            </w:pPr>
            <w:r>
              <w:rPr>
                <w:b w:val="0"/>
                <w:sz w:val="14"/>
              </w:rPr>
              <w:t>Prepare approval, request approval, and execute are separate nodes; the interrupt node contains one interrupt and no side effects.</w:t>
            </w:r>
          </w:p>
        </w:tc>
        <w:tc>
          <w:tcPr>
            <w:tcW w:type="dxa" w:w="4680"/>
            <w:vAlign w:val="center"/>
            <w:tcMar>
              <w:top w:w="55" w:type="dxa"/>
              <w:start w:w="70" w:type="dxa"/>
              <w:bottom w:w="55" w:type="dxa"/>
              <w:end w:w="70" w:type="dxa"/>
            </w:tcMar>
            <w:shd w:fill="FFFFFF"/>
          </w:tcPr>
          <w:p>
            <w:pPr>
              <w:jc w:val="left"/>
            </w:pPr>
            <w:r>
              <w:rPr>
                <w:b w:val="0"/>
                <w:sz w:val="14"/>
              </w:rPr>
              <w:t>Restart and node-replay tests.</w:t>
            </w:r>
          </w:p>
        </w:tc>
      </w:tr>
      <w:tr>
        <w:tc>
          <w:tcPr>
            <w:tcW w:type="dxa" w:w="1800"/>
            <w:vAlign w:val="center"/>
            <w:tcMar>
              <w:top w:w="55" w:type="dxa"/>
              <w:start w:w="70" w:type="dxa"/>
              <w:bottom w:w="55" w:type="dxa"/>
              <w:end w:w="70" w:type="dxa"/>
            </w:tcMar>
            <w:shd w:fill="FFFFFF"/>
          </w:tcPr>
          <w:p>
            <w:pPr>
              <w:jc w:val="left"/>
            </w:pPr>
            <w:r>
              <w:rPr>
                <w:b w:val="0"/>
                <w:sz w:val="14"/>
              </w:rPr>
              <w:t>Approval and idempotency</w:t>
            </w:r>
          </w:p>
        </w:tc>
        <w:tc>
          <w:tcPr>
            <w:tcW w:type="dxa" w:w="3240"/>
            <w:vAlign w:val="center"/>
            <w:tcMar>
              <w:top w:w="55" w:type="dxa"/>
              <w:start w:w="70" w:type="dxa"/>
              <w:bottom w:w="55" w:type="dxa"/>
              <w:end w:w="70" w:type="dxa"/>
            </w:tcMar>
            <w:shd w:fill="FFFFFF"/>
          </w:tcPr>
          <w:p>
            <w:pPr>
              <w:jc w:val="left"/>
            </w:pPr>
            <w:r>
              <w:rPr>
                <w:b w:val="0"/>
                <w:sz w:val="14"/>
              </w:rPr>
              <w:t>Every execution validates the approval, consumes it once, and returns the stored result on replay.</w:t>
            </w:r>
          </w:p>
        </w:tc>
        <w:tc>
          <w:tcPr>
            <w:tcW w:type="dxa" w:w="4680"/>
            <w:vAlign w:val="center"/>
            <w:tcMar>
              <w:top w:w="55" w:type="dxa"/>
              <w:start w:w="70" w:type="dxa"/>
              <w:bottom w:w="55" w:type="dxa"/>
              <w:end w:w="70" w:type="dxa"/>
            </w:tcMar>
            <w:shd w:fill="FFFFFF"/>
          </w:tcPr>
          <w:p>
            <w:pPr>
              <w:jc w:val="left"/>
            </w:pPr>
            <w:r>
              <w:rPr>
                <w:b w:val="0"/>
                <w:sz w:val="14"/>
              </w:rPr>
              <w:t>S9, duplicate resume, and rejection-code tests.</w:t>
            </w:r>
          </w:p>
        </w:tc>
      </w:tr>
      <w:tr>
        <w:tc>
          <w:tcPr>
            <w:tcW w:type="dxa" w:w="1800"/>
            <w:vAlign w:val="center"/>
            <w:tcMar>
              <w:top w:w="55" w:type="dxa"/>
              <w:start w:w="70" w:type="dxa"/>
              <w:bottom w:w="55" w:type="dxa"/>
              <w:end w:w="70" w:type="dxa"/>
            </w:tcMar>
            <w:shd w:fill="FFFFFF"/>
          </w:tcPr>
          <w:p>
            <w:pPr>
              <w:jc w:val="left"/>
            </w:pPr>
            <w:r>
              <w:rPr>
                <w:b w:val="0"/>
                <w:sz w:val="14"/>
              </w:rPr>
              <w:t>Bounded loops</w:t>
            </w:r>
          </w:p>
        </w:tc>
        <w:tc>
          <w:tcPr>
            <w:tcW w:type="dxa" w:w="3240"/>
            <w:vAlign w:val="center"/>
            <w:tcMar>
              <w:top w:w="55" w:type="dxa"/>
              <w:start w:w="70" w:type="dxa"/>
              <w:bottom w:w="55" w:type="dxa"/>
              <w:end w:w="70" w:type="dxa"/>
            </w:tcMar>
            <w:shd w:fill="FFFFFF"/>
          </w:tcPr>
          <w:p>
            <w:pPr>
              <w:jc w:val="left"/>
            </w:pPr>
            <w:r>
              <w:rPr>
                <w:b w:val="0"/>
                <w:sz w:val="14"/>
              </w:rPr>
              <w:t>The demo reuses existing check_budgets and policy attempt limits; a retry requires new evidence.</w:t>
            </w:r>
          </w:p>
        </w:tc>
        <w:tc>
          <w:tcPr>
            <w:tcW w:type="dxa" w:w="4680"/>
            <w:vAlign w:val="center"/>
            <w:tcMar>
              <w:top w:w="55" w:type="dxa"/>
              <w:start w:w="70" w:type="dxa"/>
              <w:bottom w:w="55" w:type="dxa"/>
              <w:end w:w="70" w:type="dxa"/>
            </w:tcMar>
            <w:shd w:fill="FFFFFF"/>
          </w:tcPr>
          <w:p>
            <w:pPr>
              <w:jc w:val="left"/>
            </w:pPr>
            <w:r>
              <w:rPr>
                <w:b w:val="0"/>
                <w:sz w:val="14"/>
              </w:rPr>
              <w:t>Failure-budget and no-new-evidence tests.</w:t>
            </w:r>
          </w:p>
        </w:tc>
      </w:tr>
      <w:tr>
        <w:tc>
          <w:tcPr>
            <w:tcW w:type="dxa" w:w="1800"/>
            <w:vAlign w:val="center"/>
            <w:tcMar>
              <w:top w:w="55" w:type="dxa"/>
              <w:start w:w="70" w:type="dxa"/>
              <w:bottom w:w="55" w:type="dxa"/>
              <w:end w:w="70" w:type="dxa"/>
            </w:tcMar>
            <w:shd w:fill="FFFFFF"/>
          </w:tcPr>
          <w:p>
            <w:pPr>
              <w:jc w:val="left"/>
            </w:pPr>
            <w:r>
              <w:rPr>
                <w:b w:val="0"/>
                <w:sz w:val="14"/>
              </w:rPr>
              <w:t>MCP compatibility</w:t>
            </w:r>
          </w:p>
        </w:tc>
        <w:tc>
          <w:tcPr>
            <w:tcW w:type="dxa" w:w="3240"/>
            <w:vAlign w:val="center"/>
            <w:tcMar>
              <w:top w:w="55" w:type="dxa"/>
              <w:start w:w="70" w:type="dxa"/>
              <w:bottom w:w="55" w:type="dxa"/>
              <w:end w:w="70" w:type="dxa"/>
            </w:tcMar>
            <w:shd w:fill="FFFFFF"/>
          </w:tcPr>
          <w:p>
            <w:pPr>
              <w:jc w:val="left"/>
            </w:pPr>
            <w:r>
              <w:rPr>
                <w:b w:val="0"/>
                <w:sz w:val="14"/>
              </w:rPr>
              <w:t>The build selects one explicit protocol profile; no silent SDK/protocol downgrade is accepted.</w:t>
            </w:r>
          </w:p>
        </w:tc>
        <w:tc>
          <w:tcPr>
            <w:tcW w:type="dxa" w:w="4680"/>
            <w:vAlign w:val="center"/>
            <w:tcMar>
              <w:top w:w="55" w:type="dxa"/>
              <w:start w:w="70" w:type="dxa"/>
              <w:bottom w:w="55" w:type="dxa"/>
              <w:end w:w="70" w:type="dxa"/>
            </w:tcMar>
            <w:shd w:fill="FFFFFF"/>
          </w:tcPr>
          <w:p>
            <w:pPr>
              <w:jc w:val="left"/>
            </w:pPr>
            <w:r>
              <w:rPr>
                <w:b w:val="0"/>
                <w:sz w:val="14"/>
              </w:rPr>
              <w:t>Startup compatibility probe and CI contract test.</w:t>
            </w:r>
          </w:p>
        </w:tc>
      </w:tr>
      <w:tr>
        <w:tc>
          <w:tcPr>
            <w:tcW w:type="dxa" w:w="1800"/>
            <w:vAlign w:val="center"/>
            <w:tcMar>
              <w:top w:w="55" w:type="dxa"/>
              <w:start w:w="70" w:type="dxa"/>
              <w:bottom w:w="55" w:type="dxa"/>
              <w:end w:w="70" w:type="dxa"/>
            </w:tcMar>
            <w:shd w:fill="FFFFFF"/>
          </w:tcPr>
          <w:p>
            <w:pPr>
              <w:jc w:val="left"/>
            </w:pPr>
            <w:r>
              <w:rPr>
                <w:b w:val="0"/>
                <w:sz w:val="14"/>
              </w:rPr>
              <w:t>Operating completeness</w:t>
            </w:r>
          </w:p>
        </w:tc>
        <w:tc>
          <w:tcPr>
            <w:tcW w:type="dxa" w:w="3240"/>
            <w:vAlign w:val="center"/>
            <w:tcMar>
              <w:top w:w="55" w:type="dxa"/>
              <w:start w:w="70" w:type="dxa"/>
              <w:bottom w:w="55" w:type="dxa"/>
              <w:end w:w="70" w:type="dxa"/>
            </w:tcMar>
            <w:shd w:fill="FFFFFF"/>
          </w:tcPr>
          <w:p>
            <w:pPr>
              <w:jc w:val="left"/>
            </w:pPr>
            <w:r>
              <w:rPr>
                <w:b w:val="0"/>
                <w:sz w:val="14"/>
              </w:rPr>
              <w:t>Parent/child SLA semantics, reverse handover, Streamlit polling, MCP healthcheck, and corrected model/tool-call architecture are specified.</w:t>
            </w:r>
          </w:p>
        </w:tc>
        <w:tc>
          <w:tcPr>
            <w:tcW w:type="dxa" w:w="4680"/>
            <w:vAlign w:val="center"/>
            <w:tcMar>
              <w:top w:w="55" w:type="dxa"/>
              <w:start w:w="70" w:type="dxa"/>
              <w:bottom w:w="55" w:type="dxa"/>
              <w:end w:w="70" w:type="dxa"/>
            </w:tcMar>
            <w:shd w:fill="FFFFFF"/>
          </w:tcPr>
          <w:p>
            <w:pPr>
              <w:jc w:val="left"/>
            </w:pPr>
            <w:r>
              <w:rPr>
                <w:b w:val="0"/>
                <w:sz w:val="14"/>
              </w:rPr>
              <w:t>S4, S7, health and UI refresh tests.</w:t>
            </w:r>
          </w:p>
        </w:tc>
      </w:tr>
    </w:tbl>
    <w:p>
      <w:pPr>
        <w:spacing w:after="0"/>
      </w:pPr>
    </w:p>
    <w:p>
      <w:pPr>
        <w:pStyle w:val="Heading1"/>
        <w:pBdr>
          <w:bottom w:val="single" w:sz="8" w:space="1" w:color="DDEBF7"/>
        </w:pBdr>
      </w:pPr>
      <w:r>
        <w:t>2. Design principles and operating roles</w:t>
      </w:r>
    </w:p>
    <w:p>
      <w:pPr>
        <w:pStyle w:val="Heading2"/>
      </w:pPr>
      <w:r>
        <w:t>2.1 Non-negotiable design principles</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376"/>
            <w:shd w:fill="17365D"/>
            <w:vAlign w:val="center"/>
            <w:tcMar>
              <w:top w:w="70" w:type="dxa"/>
              <w:start w:w="100" w:type="dxa"/>
              <w:bottom w:w="70" w:type="dxa"/>
              <w:end w:w="100" w:type="dxa"/>
            </w:tcMar>
          </w:tcPr>
          <w:p>
            <w:r>
              <w:rPr>
                <w:rFonts w:ascii="Liberation Sans" w:hAnsi="Liberation Sans"/>
                <w:b/>
                <w:color w:val="FFFFFF"/>
                <w:sz w:val="16"/>
              </w:rPr>
              <w:t>Principle</w:t>
            </w:r>
          </w:p>
        </w:tc>
        <w:tc>
          <w:tcPr>
            <w:tcW w:type="dxa" w:w="7632"/>
            <w:shd w:fill="17365D"/>
            <w:vAlign w:val="center"/>
            <w:tcMar>
              <w:top w:w="70" w:type="dxa"/>
              <w:start w:w="100" w:type="dxa"/>
              <w:bottom w:w="70" w:type="dxa"/>
              <w:end w:w="100" w:type="dxa"/>
            </w:tcMar>
          </w:tcPr>
          <w:p>
            <w:r>
              <w:rPr>
                <w:rFonts w:ascii="Liberation Sans" w:hAnsi="Liberation Sans"/>
                <w:b/>
                <w:color w:val="FFFFFF"/>
                <w:sz w:val="16"/>
              </w:rPr>
              <w:t>Specification</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One incident and one clock</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The incident ID is the LangGraph thread ID. Remote actions, self-help, work orders, MR records, Clean/Dirty handovers, repeat visits, and closure all remain on the same case.</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Evidence before action</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Every proposed action identifies evidence references, observation times, data freshness, missing evidence, confidence, and the rule or approval that permits the next step.</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Deterministic facts</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Validation, topology resolution, clustering, thresholds, SLA calculations, attempt limits, dispatch optimization, and restoration checks are deterministic.</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Bounded LLM assistance</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The LLM summarizes and proposes. It does not calculate thresholds, authorize writes, schedule crews, or declare restoration.</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Policy and human control</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Every consequential action passes the fail-closed policy engine and, when required, a named human approval.</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Typed actions only</w:t>
            </w:r>
          </w:p>
        </w:tc>
        <w:tc>
          <w:tcPr>
            <w:tcW w:type="dxa" w:w="763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tcPr>
          <w:p>
            <w:pPr>
              <w:spacing w:after="0"/>
              <w:jc w:val="left"/>
            </w:pPr>
            <w:r>
              <w:rPr>
                <w:rFonts w:ascii="Liberation Sans" w:hAnsi="Liberation Sans"/>
                <w:color w:val="1F1F1F"/>
                <w:sz w:val="16"/>
              </w:rPr>
              <w:t>No model or user sends free-text production commands. Every side effect uses a typed request, a validated approval when required, a deterministic idempotency key, and a stored effect result.</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Proof before closure</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A successful command or completed visit is not proof of restoration. Closure requires service tests, post-fix telemetry, an observation window, and linked-record reconciliation.</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Re-diagnose before repetition</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A failed remote action, self-help attempt, visit, or MR adds evidence and returns to RCA before another attempt is issued.</w:t>
            </w:r>
          </w:p>
        </w:tc>
      </w:tr>
    </w:tbl>
    <w:p>
      <w:pPr>
        <w:spacing w:after="0"/>
      </w:pPr>
    </w:p>
    <w:p>
      <w:pPr>
        <w:pStyle w:val="Heading2"/>
      </w:pPr>
      <w:r>
        <w:t>2.2 LPR operating boundary</w:t>
      </w:r>
    </w:p>
    <w:p>
      <w:r>
        <w:t>The mockup uses the LPR field boundary described in the attached architecture: Clean Boots owns the premises/customer side; Dirty Boots owns the outside-plant side; and a joint assignment is possible at the boundary when neither side can be proved independently. The default HFC delimiter is the tap and the default PON delimiter is the ODP. [U1][U2][U3]</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440"/>
            <w:shd w:fill="17365D"/>
            <w:vAlign w:val="center"/>
            <w:tcMar>
              <w:top w:w="70" w:type="dxa"/>
              <w:start w:w="100" w:type="dxa"/>
              <w:bottom w:w="70" w:type="dxa"/>
              <w:end w:w="100" w:type="dxa"/>
            </w:tcMar>
          </w:tcPr>
          <w:p>
            <w:r>
              <w:rPr>
                <w:rFonts w:ascii="Liberation Sans" w:hAnsi="Liberation Sans"/>
                <w:b/>
                <w:color w:val="FFFFFF"/>
                <w:sz w:val="16"/>
              </w:rPr>
              <w:t>Domain</w:t>
            </w:r>
          </w:p>
        </w:tc>
        <w:tc>
          <w:tcPr>
            <w:tcW w:type="dxa" w:w="3672"/>
            <w:shd w:fill="17365D"/>
            <w:vAlign w:val="center"/>
            <w:tcMar>
              <w:top w:w="70" w:type="dxa"/>
              <w:start w:w="100" w:type="dxa"/>
              <w:bottom w:w="70" w:type="dxa"/>
              <w:end w:w="100" w:type="dxa"/>
            </w:tcMar>
          </w:tcPr>
          <w:p>
            <w:r>
              <w:rPr>
                <w:rFonts w:ascii="Liberation Sans" w:hAnsi="Liberation Sans"/>
                <w:b/>
                <w:color w:val="FFFFFF"/>
                <w:sz w:val="16"/>
              </w:rPr>
              <w:t>Default responsibility</w:t>
            </w:r>
          </w:p>
        </w:tc>
        <w:tc>
          <w:tcPr>
            <w:tcW w:type="dxa" w:w="4896"/>
            <w:shd w:fill="17365D"/>
            <w:vAlign w:val="center"/>
            <w:tcMar>
              <w:top w:w="70" w:type="dxa"/>
              <w:start w:w="100" w:type="dxa"/>
              <w:bottom w:w="70" w:type="dxa"/>
              <w:end w:w="100" w:type="dxa"/>
            </w:tcMar>
          </w:tcPr>
          <w:p>
            <w:r>
              <w:rPr>
                <w:rFonts w:ascii="Liberation Sans" w:hAnsi="Liberation Sans"/>
                <w:b/>
                <w:color w:val="FFFFFF"/>
                <w:sz w:val="16"/>
              </w:rPr>
              <w:t>Evidence expected</w:t>
            </w:r>
          </w:p>
        </w:tc>
      </w:tr>
      <w:tr>
        <w:tc>
          <w:tcPr>
            <w:tcW w:type="dxa" w:w="144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Clean Boots</w:t>
            </w:r>
          </w:p>
        </w:tc>
        <w:tc>
          <w:tcPr>
            <w:tcW w:type="dxa" w:w="367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CPE, power, Wi-Fi, inside wiring, premises-side drop and customer access</w:t>
            </w:r>
          </w:p>
        </w:tc>
        <w:tc>
          <w:tcPr>
            <w:tcW w:type="dxa" w:w="489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CPE diagnostics, meter readings, photos, actions, parts, last clean point and first failed point</w:t>
            </w:r>
          </w:p>
        </w:tc>
      </w:tr>
      <w:tr>
        <w:tc>
          <w:tcPr>
            <w:tcW w:type="dxa" w:w="144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Dirty Boots</w:t>
            </w:r>
          </w:p>
        </w:tc>
        <w:tc>
          <w:tcPr>
            <w:tcW w:type="dxa" w:w="367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Distribution, feeder, node/OLT, plant power, outside plant and network elements upstream of the accepted delimiter</w:t>
            </w:r>
          </w:p>
        </w:tc>
        <w:tc>
          <w:tcPr>
            <w:tcW w:type="dxa" w:w="489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MR acceptance, plant measurements, repair action, components changed, resolution code and post-repair evidence</w:t>
            </w:r>
          </w:p>
        </w:tc>
      </w:tr>
      <w:tr>
        <w:tc>
          <w:tcPr>
            <w:tcW w:type="dxa" w:w="144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Joint</w:t>
            </w:r>
          </w:p>
        </w:tc>
        <w:tc>
          <w:tcPr>
            <w:tcW w:type="dxa" w:w="367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HFC tap or PON ODP when both sides must be tested together</w:t>
            </w:r>
          </w:p>
        </w:tc>
        <w:tc>
          <w:tcPr>
            <w:tcW w:type="dxa" w:w="489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Coordinated slot, both crew skills, shared test plan and one incident evidence record</w:t>
            </w:r>
          </w:p>
        </w:tc>
      </w:tr>
    </w:tbl>
    <w:p>
      <w:pPr>
        <w:spacing w:after="0"/>
      </w:pPr>
    </w:p>
    <w:p>
      <w:pPr>
        <w:pStyle w:val="Heading2"/>
      </w:pPr>
      <w:r>
        <w:t>2.3 User roles</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800"/>
            <w:shd w:fill="17365D"/>
            <w:vAlign w:val="center"/>
            <w:tcMar>
              <w:top w:w="70" w:type="dxa"/>
              <w:start w:w="100" w:type="dxa"/>
              <w:bottom w:w="70" w:type="dxa"/>
              <w:end w:w="100" w:type="dxa"/>
            </w:tcMar>
          </w:tcPr>
          <w:p>
            <w:r>
              <w:rPr>
                <w:rFonts w:ascii="Liberation Sans" w:hAnsi="Liberation Sans"/>
                <w:b/>
                <w:color w:val="FFFFFF"/>
                <w:sz w:val="16"/>
              </w:rPr>
              <w:t>Role</w:t>
            </w:r>
          </w:p>
        </w:tc>
        <w:tc>
          <w:tcPr>
            <w:tcW w:type="dxa" w:w="2880"/>
            <w:shd w:fill="17365D"/>
            <w:vAlign w:val="center"/>
            <w:tcMar>
              <w:top w:w="70" w:type="dxa"/>
              <w:start w:w="100" w:type="dxa"/>
              <w:bottom w:w="70" w:type="dxa"/>
              <w:end w:w="100" w:type="dxa"/>
            </w:tcMar>
          </w:tcPr>
          <w:p>
            <w:r>
              <w:rPr>
                <w:rFonts w:ascii="Liberation Sans" w:hAnsi="Liberation Sans"/>
                <w:b/>
                <w:color w:val="FFFFFF"/>
                <w:sz w:val="16"/>
              </w:rPr>
              <w:t>Primary pages</w:t>
            </w:r>
          </w:p>
        </w:tc>
        <w:tc>
          <w:tcPr>
            <w:tcW w:type="dxa" w:w="5328"/>
            <w:shd w:fill="17365D"/>
            <w:vAlign w:val="center"/>
            <w:tcMar>
              <w:top w:w="70" w:type="dxa"/>
              <w:start w:w="100" w:type="dxa"/>
              <w:bottom w:w="70" w:type="dxa"/>
              <w:end w:w="100" w:type="dxa"/>
            </w:tcMar>
          </w:tcPr>
          <w:p>
            <w:r>
              <w:rPr>
                <w:rFonts w:ascii="Liberation Sans" w:hAnsi="Liberation Sans"/>
                <w:b/>
                <w:color w:val="FFFFFF"/>
                <w:sz w:val="16"/>
              </w:rPr>
              <w:t>Permitted decisions</w:t>
            </w:r>
          </w:p>
        </w:tc>
      </w:tr>
      <w:tr>
        <w:tc>
          <w:tcPr>
            <w:tcW w:type="dxa" w:w="180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Viewer</w:t>
            </w:r>
          </w:p>
        </w:tc>
        <w:tc>
          <w:tcPr>
            <w:tcW w:type="dxa" w:w="28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Cockpit, incident queue, workbench</w:t>
            </w:r>
          </w:p>
        </w:tc>
        <w:tc>
          <w:tcPr>
            <w:tcW w:type="dxa" w:w="532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Read-only</w:t>
            </w:r>
          </w:p>
        </w:tc>
      </w:tr>
      <w:tr>
        <w:tc>
          <w:tcPr>
            <w:tcW w:type="dxa" w:w="180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NOC analyst</w:t>
            </w:r>
          </w:p>
        </w:tc>
        <w:tc>
          <w:tcPr>
            <w:tcW w:type="dxa" w:w="28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Queue, workbench, system monitor</w:t>
            </w:r>
          </w:p>
        </w:tc>
        <w:tc>
          <w:tcPr>
            <w:tcW w:type="dxa" w:w="532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Request evidence and tests; initiate low-risk simulation</w:t>
            </w:r>
          </w:p>
        </w:tc>
      </w:tr>
      <w:tr>
        <w:tc>
          <w:tcPr>
            <w:tcW w:type="dxa" w:w="180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L2 / SME</w:t>
            </w:r>
          </w:p>
        </w:tc>
        <w:tc>
          <w:tcPr>
            <w:tcW w:type="dxa" w:w="28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Workbench, decision center</w:t>
            </w:r>
          </w:p>
        </w:tc>
        <w:tc>
          <w:tcPr>
            <w:tcW w:type="dxa" w:w="532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Approve or edit RCA; request more evidence; escalate</w:t>
            </w:r>
          </w:p>
        </w:tc>
      </w:tr>
      <w:tr>
        <w:tc>
          <w:tcPr>
            <w:tcW w:type="dxa" w:w="180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Dispatcher</w:t>
            </w:r>
          </w:p>
        </w:tc>
        <w:tc>
          <w:tcPr>
            <w:tcW w:type="dxa" w:w="28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Decision center, field/handover</w:t>
            </w:r>
          </w:p>
        </w:tc>
        <w:tc>
          <w:tcPr>
            <w:tcW w:type="dxa" w:w="532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Approve Clean, Dirty, or joint work; select feasible simulated slot</w:t>
            </w:r>
          </w:p>
        </w:tc>
      </w:tr>
      <w:tr>
        <w:tc>
          <w:tcPr>
            <w:tcW w:type="dxa" w:w="180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Clean Boots lead</w:t>
            </w:r>
          </w:p>
        </w:tc>
        <w:tc>
          <w:tcPr>
            <w:tcW w:type="dxa" w:w="28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Field/handover, workbench</w:t>
            </w:r>
          </w:p>
        </w:tc>
        <w:tc>
          <w:tcPr>
            <w:tcW w:type="dxa" w:w="532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Validate premise-side evidence and delimiter findings</w:t>
            </w:r>
          </w:p>
        </w:tc>
      </w:tr>
      <w:tr>
        <w:tc>
          <w:tcPr>
            <w:tcW w:type="dxa" w:w="180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Plant supervisor</w:t>
            </w:r>
          </w:p>
        </w:tc>
        <w:tc>
          <w:tcPr>
            <w:tcW w:type="dxa" w:w="28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Decision center, field/handover</w:t>
            </w:r>
          </w:p>
        </w:tc>
        <w:tc>
          <w:tcPr>
            <w:tcW w:type="dxa" w:w="532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Accept or reject tap/ODP handover; approve MR creation</w:t>
            </w:r>
          </w:p>
        </w:tc>
      </w:tr>
      <w:tr>
        <w:tc>
          <w:tcPr>
            <w:tcW w:type="dxa" w:w="180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Operations supervisor</w:t>
            </w:r>
          </w:p>
        </w:tc>
        <w:tc>
          <w:tcPr>
            <w:tcW w:type="dxa" w:w="28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Cockpit, decision center</w:t>
            </w:r>
          </w:p>
        </w:tc>
        <w:tc>
          <w:tcPr>
            <w:tcW w:type="dxa" w:w="532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Approve high-risk action or exceptional closure</w:t>
            </w:r>
          </w:p>
        </w:tc>
      </w:tr>
      <w:tr>
        <w:tc>
          <w:tcPr>
            <w:tcW w:type="dxa" w:w="180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Administrator</w:t>
            </w:r>
          </w:p>
        </w:tc>
        <w:tc>
          <w:tcPr>
            <w:tcW w:type="dxa" w:w="28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System monitor</w:t>
            </w:r>
          </w:p>
        </w:tc>
        <w:tc>
          <w:tcPr>
            <w:tcW w:type="dxa" w:w="532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Manage feature flags, model mode and demonstration roles</w:t>
            </w:r>
          </w:p>
        </w:tc>
      </w:tr>
    </w:tbl>
    <w:p>
      <w:pPr>
        <w:spacing w:after="0"/>
      </w:pPr>
    </w:p>
    <w:p>
      <w:pPr>
        <w:pStyle w:val="Heading1"/>
        <w:pBdr>
          <w:bottom w:val="single" w:sz="8" w:space="1" w:color="DDEBF7"/>
        </w:pBdr>
      </w:pPr>
      <w:r>
        <w:t>3. Target architecture and component responsibilities</w:t>
      </w:r>
    </w:p>
    <w:p>
      <w:pPr>
        <w:pStyle w:val="Heading2"/>
      </w:pPr>
      <w:r>
        <w:t>3.1 Logical architecture</w:t>
      </w:r>
    </w:p>
    <w:p>
      <w:pPr>
        <w:jc w:val="center"/>
      </w:pPr>
      <w:r>
        <w:drawing>
          <wp:inline xmlns:a="http://schemas.openxmlformats.org/drawingml/2006/main" xmlns:pic="http://schemas.openxmlformats.org/drawingml/2006/picture">
            <wp:extent cx="6400800" cy="166977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00800" cy="1669774"/>
                    </a:xfrm>
                    <a:prstGeom prst="rect"/>
                  </pic:spPr>
                </pic:pic>
              </a:graphicData>
            </a:graphic>
          </wp:inline>
        </w:drawing>
      </w:r>
    </w:p>
    <w:p>
      <w:pPr>
        <w:spacing w:after="120"/>
        <w:jc w:val="center"/>
      </w:pPr>
      <w:r>
        <w:rPr>
          <w:rFonts w:ascii="Liberation Sans" w:hAnsi="Liberation Sans"/>
          <w:i/>
          <w:color w:val="666666"/>
          <w:sz w:val="16"/>
        </w:rPr>
        <w:t>Figure 1. Mockup architecture. Streamlit is supervisory; FastAPI owns commands; LangGraph owns case progression; deterministic and LLM services remain separate; MCP exposes tools and simulated systems.</w:t>
      </w:r>
    </w:p>
    <w:tbl>
      <w:tblPr>
        <w:tblW w:type="auto" w:w="0"/>
        <w:jc w:val="center"/>
        <w:tblLook w:firstColumn="1" w:firstRow="1" w:lastColumn="0" w:lastRow="0" w:noHBand="0" w:noVBand="1" w:val="04A0"/>
      </w:tblPr>
      <w:tblGrid>
        <w:gridCol w:w="10282"/>
      </w:tblGrid>
      <w:tr>
        <w:tc>
          <w:tcPr>
            <w:tcW w:type="dxa" w:w="10282"/>
            <w:shd w:fill="DDEBF7"/>
            <w:tcBorders>
              <w:top w:val="single" w:sz="8" w:color="2F75B5"/>
              <w:left w:val="single" w:sz="8" w:color="2F75B5"/>
              <w:bottom w:val="single" w:sz="8" w:color="2F75B5"/>
              <w:right w:val="single" w:sz="8" w:color="2F75B5"/>
            </w:tcBorders>
            <w:tcMar>
              <w:top w:w="110" w:type="dxa"/>
              <w:start w:w="140" w:type="dxa"/>
              <w:bottom w:w="110" w:type="dxa"/>
              <w:end w:w="140" w:type="dxa"/>
            </w:tcMar>
          </w:tcPr>
          <w:p>
            <w:r>
              <w:rPr>
                <w:rFonts w:ascii="Liberation Sans" w:hAnsi="Liberation Sans"/>
                <w:b/>
                <w:color w:val="17365D"/>
                <w:sz w:val="19"/>
              </w:rPr>
              <w:t xml:space="preserve">Key architectural boundary  </w:t>
            </w:r>
            <w:r>
              <w:rPr>
                <w:rFonts w:ascii="Liberation Sans" w:hAnsi="Liberation Sans"/>
                <w:color w:val="1F1F1F"/>
                <w:sz w:val="18"/>
              </w:rPr>
              <w:t>Streamlit never reads or writes LangGraph checkpoints directly. It queries an operations read model and submits typed commands to FastAPI. FastAPI authenticates, authorizes, validates, and resumes the correct thread.</w:t>
            </w:r>
          </w:p>
        </w:tc>
      </w:tr>
    </w:tbl>
    <w:p>
      <w:pPr>
        <w:spacing w:after="0"/>
      </w:pPr>
    </w:p>
    <w:p>
      <w:pPr>
        <w:pStyle w:val="Heading2"/>
      </w:pPr>
      <w:r>
        <w:t>3.2 Component responsibilities</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800"/>
            <w:shd w:fill="17365D"/>
            <w:vAlign w:val="center"/>
            <w:tcMar>
              <w:top w:w="70" w:type="dxa"/>
              <w:start w:w="100" w:type="dxa"/>
              <w:bottom w:w="70" w:type="dxa"/>
              <w:end w:w="100" w:type="dxa"/>
            </w:tcMar>
          </w:tcPr>
          <w:p>
            <w:r>
              <w:rPr>
                <w:rFonts w:ascii="Liberation Sans" w:hAnsi="Liberation Sans"/>
                <w:b/>
                <w:color w:val="FFFFFF"/>
                <w:sz w:val="16"/>
              </w:rPr>
              <w:t>Component</w:t>
            </w:r>
          </w:p>
        </w:tc>
        <w:tc>
          <w:tcPr>
            <w:tcW w:type="dxa" w:w="4104"/>
            <w:shd w:fill="17365D"/>
            <w:vAlign w:val="center"/>
            <w:tcMar>
              <w:top w:w="70" w:type="dxa"/>
              <w:start w:w="100" w:type="dxa"/>
              <w:bottom w:w="70" w:type="dxa"/>
              <w:end w:w="100" w:type="dxa"/>
            </w:tcMar>
          </w:tcPr>
          <w:p>
            <w:r>
              <w:rPr>
                <w:rFonts w:ascii="Liberation Sans" w:hAnsi="Liberation Sans"/>
                <w:b/>
                <w:color w:val="FFFFFF"/>
                <w:sz w:val="16"/>
              </w:rPr>
              <w:t>Responsibility</w:t>
            </w:r>
          </w:p>
        </w:tc>
        <w:tc>
          <w:tcPr>
            <w:tcW w:type="dxa" w:w="4104"/>
            <w:shd w:fill="17365D"/>
            <w:vAlign w:val="center"/>
            <w:tcMar>
              <w:top w:w="70" w:type="dxa"/>
              <w:start w:w="100" w:type="dxa"/>
              <w:bottom w:w="70" w:type="dxa"/>
              <w:end w:w="100" w:type="dxa"/>
            </w:tcMar>
          </w:tcPr>
          <w:p>
            <w:r>
              <w:rPr>
                <w:rFonts w:ascii="Liberation Sans" w:hAnsi="Liberation Sans"/>
                <w:b/>
                <w:color w:val="FFFFFF"/>
                <w:sz w:val="16"/>
              </w:rPr>
              <w:t>Explicitly not responsible for</w:t>
            </w:r>
          </w:p>
        </w:tc>
      </w:tr>
      <w:tr>
        <w:tc>
          <w:tcPr>
            <w:tcW w:type="dxa" w:w="180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Streamlit UI</w:t>
            </w:r>
          </w:p>
        </w:tc>
        <w:tc>
          <w:tcPr>
            <w:tcW w:type="dxa" w:w="410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Monitoring, case selection, evidence display, approvals, overrides, simulation controls and KPI charts</w:t>
            </w:r>
          </w:p>
        </w:tc>
        <w:tc>
          <w:tcPr>
            <w:tcW w:type="dxa" w:w="410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Owning incident state, executing production actions, holding SLA state</w:t>
            </w:r>
          </w:p>
        </w:tc>
      </w:tr>
      <w:tr>
        <w:tc>
          <w:tcPr>
            <w:tcW w:type="dxa" w:w="180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FastAPI</w:t>
            </w:r>
          </w:p>
        </w:tc>
        <w:tc>
          <w:tcPr>
            <w:tcW w:type="dxa" w:w="4104"/>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tcPr>
          <w:p>
            <w:pPr>
              <w:spacing w:after="0"/>
              <w:jc w:val="left"/>
            </w:pPr>
            <w:r>
              <w:rPr>
                <w:rFonts w:ascii="Liberation Sans" w:hAnsi="Liberation Sans"/>
                <w:color w:val="1F1F1F"/>
                <w:sz w:val="16"/>
              </w:rPr>
              <w:t>Query and command API, user/role context, input validation, approval persistence, idempotent graph start/resume, webhook simulation and projection triggers</w:t>
            </w:r>
          </w:p>
        </w:tc>
        <w:tc>
          <w:tcPr>
            <w:tcW w:type="dxa" w:w="410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Rendering the UI or making free-form operational decisions</w:t>
            </w:r>
          </w:p>
        </w:tc>
      </w:tr>
      <w:tr>
        <w:tc>
          <w:tcPr>
            <w:tcW w:type="dxa" w:w="180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LangGraph demo workflow</w:t>
            </w:r>
          </w:p>
        </w:tc>
        <w:tc>
          <w:tcPr>
            <w:tcW w:type="dxa" w:w="410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One durable incident thread, routing, interrupt/resume, attempt loops, action history and closure sequence</w:t>
            </w:r>
          </w:p>
        </w:tc>
        <w:tc>
          <w:tcPr>
            <w:tcW w:type="dxa" w:w="410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Portfolio queries, enterprise identity, direct database reporting</w:t>
            </w:r>
          </w:p>
        </w:tc>
      </w:tr>
      <w:tr>
        <w:tc>
          <w:tcPr>
            <w:tcW w:type="dxa" w:w="180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PostgreSQL</w:t>
            </w:r>
          </w:p>
        </w:tc>
        <w:tc>
          <w:tcPr>
            <w:tcW w:type="dxa" w:w="4104"/>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tcPr>
          <w:p>
            <w:pPr>
              <w:spacing w:after="0"/>
              <w:jc w:val="left"/>
            </w:pPr>
            <w:r>
              <w:rPr>
                <w:rFonts w:ascii="Liberation Sans" w:hAnsi="Liberation Sans"/>
                <w:color w:val="1F1F1F"/>
                <w:sz w:val="16"/>
              </w:rPr>
              <w:t>Checkpoints, read model, approval state, human decisions, audit events, consumed approvals, action idempotency and scenario state</w:t>
            </w:r>
          </w:p>
        </w:tc>
        <w:tc>
          <w:tcPr>
            <w:tcW w:type="dxa" w:w="410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Business logic</w:t>
            </w:r>
          </w:p>
        </w:tc>
      </w:tr>
      <w:tr>
        <w:tc>
          <w:tcPr>
            <w:tcW w:type="dxa" w:w="180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Deterministic services</w:t>
            </w:r>
          </w:p>
        </w:tc>
        <w:tc>
          <w:tcPr>
            <w:tcW w:type="dxa" w:w="410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Signal quality, correlation, impact, confidence thresholds, policy, dispatch constraints, verification and KPI math</w:t>
            </w:r>
          </w:p>
        </w:tc>
        <w:tc>
          <w:tcPr>
            <w:tcW w:type="dxa" w:w="410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Writing narratives or deciding through natural language</w:t>
            </w:r>
          </w:p>
        </w:tc>
      </w:tr>
      <w:tr>
        <w:tc>
          <w:tcPr>
            <w:tcW w:type="dxa" w:w="180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LLM decision assistants</w:t>
            </w:r>
          </w:p>
        </w:tc>
        <w:tc>
          <w:tcPr>
            <w:tcW w:type="dxa" w:w="410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Evidence summary, ranked RCA proposal, missing-test suggestions, best/next-best-action rationale and MR narrative</w:t>
            </w:r>
          </w:p>
        </w:tc>
        <w:tc>
          <w:tcPr>
            <w:tcW w:type="dxa" w:w="410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Authorizing actions, calculating thresholds, scheduling crews, or declaring service restored</w:t>
            </w:r>
          </w:p>
        </w:tc>
      </w:tr>
      <w:tr>
        <w:tc>
          <w:tcPr>
            <w:tcW w:type="dxa" w:w="180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MCP simulation server</w:t>
            </w:r>
          </w:p>
        </w:tc>
        <w:tc>
          <w:tcPr>
            <w:tcW w:type="dxa" w:w="410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Typed tools and resources for NXT, CPE, WFM, inventory, jTrack/MR and GIS fixtures</w:t>
            </w:r>
          </w:p>
        </w:tc>
        <w:tc>
          <w:tcPr>
            <w:tcW w:type="dxa" w:w="410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Model invocation or policy authorization</w:t>
            </w:r>
          </w:p>
        </w:tc>
      </w:tr>
      <w:tr>
        <w:tc>
          <w:tcPr>
            <w:tcW w:type="dxa" w:w="180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External LLM API</w:t>
            </w:r>
          </w:p>
        </w:tc>
        <w:tc>
          <w:tcPr>
            <w:tcW w:type="dxa" w:w="410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Structured text generation for approved assistant functions</w:t>
            </w:r>
          </w:p>
        </w:tc>
        <w:tc>
          <w:tcPr>
            <w:tcW w:type="dxa" w:w="410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Direct access to write tools or unredacted customer data</w:t>
            </w:r>
          </w:p>
        </w:tc>
      </w:tr>
    </w:tbl>
    <w:p>
      <w:pPr>
        <w:spacing w:after="0"/>
      </w:pPr>
    </w:p>
    <w:p>
      <w:pPr>
        <w:pStyle w:val="Heading2"/>
      </w:pPr>
      <w:r>
        <w:t>3.3 Architectural decisions</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080"/>
            <w:shd w:fill="17365D"/>
            <w:vAlign w:val="center"/>
            <w:tcMar>
              <w:top w:w="70" w:type="dxa"/>
              <w:start w:w="100" w:type="dxa"/>
              <w:bottom w:w="70" w:type="dxa"/>
              <w:end w:w="100" w:type="dxa"/>
            </w:tcMar>
          </w:tcPr>
          <w:p>
            <w:r>
              <w:rPr>
                <w:rFonts w:ascii="Liberation Sans" w:hAnsi="Liberation Sans"/>
                <w:b/>
                <w:color w:val="FFFFFF"/>
                <w:sz w:val="16"/>
              </w:rPr>
              <w:t>ADR</w:t>
            </w:r>
          </w:p>
        </w:tc>
        <w:tc>
          <w:tcPr>
            <w:tcW w:type="dxa" w:w="3600"/>
            <w:shd w:fill="17365D"/>
            <w:vAlign w:val="center"/>
            <w:tcMar>
              <w:top w:w="70" w:type="dxa"/>
              <w:start w:w="100" w:type="dxa"/>
              <w:bottom w:w="70" w:type="dxa"/>
              <w:end w:w="100" w:type="dxa"/>
            </w:tcMar>
          </w:tcPr>
          <w:p>
            <w:r>
              <w:rPr>
                <w:rFonts w:ascii="Liberation Sans" w:hAnsi="Liberation Sans"/>
                <w:b/>
                <w:color w:val="FFFFFF"/>
                <w:sz w:val="16"/>
              </w:rPr>
              <w:t>Decision</w:t>
            </w:r>
          </w:p>
        </w:tc>
        <w:tc>
          <w:tcPr>
            <w:tcW w:type="dxa" w:w="5328"/>
            <w:shd w:fill="17365D"/>
            <w:vAlign w:val="center"/>
            <w:tcMar>
              <w:top w:w="70" w:type="dxa"/>
              <w:start w:w="100" w:type="dxa"/>
              <w:bottom w:w="70" w:type="dxa"/>
              <w:end w:w="100" w:type="dxa"/>
            </w:tcMar>
          </w:tcPr>
          <w:p>
            <w:r>
              <w:rPr>
                <w:rFonts w:ascii="Liberation Sans" w:hAnsi="Liberation Sans"/>
                <w:b/>
                <w:color w:val="FFFFFF"/>
                <w:sz w:val="16"/>
              </w:rPr>
              <w:t>Reason</w:t>
            </w:r>
          </w:p>
        </w:tc>
      </w:tr>
      <w:tr>
        <w:tc>
          <w:tcPr>
            <w:tcW w:type="dxa" w:w="10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ADR-01</w:t>
            </w:r>
          </w:p>
        </w:tc>
        <w:tc>
          <w:tcPr>
            <w:tcW w:type="dxa" w:w="360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Create a separate demo graph namespace</w:t>
            </w:r>
          </w:p>
        </w:tc>
        <w:tc>
          <w:tcPr>
            <w:tcW w:type="dxa" w:w="532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The verified production parent graph is intentionally partial and build-enforced; the mockup must not disguise its frontier or weaken PENDING_STAGES. [U1]</w:t>
            </w:r>
          </w:p>
        </w:tc>
      </w:tr>
      <w:tr>
        <w:tc>
          <w:tcPr>
            <w:tcW w:type="dxa" w:w="10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ADR-02</w:t>
            </w:r>
          </w:p>
        </w:tc>
        <w:tc>
          <w:tcPr>
            <w:tcW w:type="dxa" w:w="360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Use PostgreSQL for checkpoints and read model</w:t>
            </w:r>
          </w:p>
        </w:tc>
        <w:tc>
          <w:tcPr>
            <w:tcW w:type="dxa" w:w="532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Human approvals must survive restart, and Streamlit requires cross-incident queries the thread-keyed checkpointer cannot provide. [U1][O2]</w:t>
            </w:r>
          </w:p>
        </w:tc>
      </w:tr>
      <w:tr>
        <w:tc>
          <w:tcPr>
            <w:tcW w:type="dxa" w:w="10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ADR-03</w:t>
            </w:r>
          </w:p>
        </w:tc>
        <w:tc>
          <w:tcPr>
            <w:tcW w:type="dxa" w:w="360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Use FastAPI between Streamlit and LangGraph</w:t>
            </w:r>
          </w:p>
        </w:tc>
        <w:tc>
          <w:tcPr>
            <w:tcW w:type="dxa" w:w="532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Authorization, idempotency, input validation and thread resume should not live in a rerunning UI script.</w:t>
            </w:r>
          </w:p>
        </w:tc>
      </w:tr>
      <w:tr>
        <w:tc>
          <w:tcPr>
            <w:tcW w:type="dxa" w:w="10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ADR-04</w:t>
            </w:r>
          </w:p>
        </w:tc>
        <w:tc>
          <w:tcPr>
            <w:tcW w:type="dxa" w:w="360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Use MCP for tools and context, not for the model call</w:t>
            </w:r>
          </w:p>
        </w:tc>
        <w:tc>
          <w:tcPr>
            <w:tcW w:type="dxa" w:w="532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MCP standardizes tools/resources for LLM applications; model invocation remains a provider adapter inside the API service. [O3][O6]</w:t>
            </w:r>
          </w:p>
        </w:tc>
      </w:tr>
      <w:tr>
        <w:tc>
          <w:tcPr>
            <w:tcW w:type="dxa" w:w="10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ADR-05</w:t>
            </w:r>
          </w:p>
        </w:tc>
        <w:tc>
          <w:tcPr>
            <w:tcW w:type="dxa" w:w="360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Expose only read-only MCP tools to the LLM</w:t>
            </w:r>
          </w:p>
        </w:tc>
        <w:tc>
          <w:tcPr>
            <w:tcW w:type="dxa" w:w="532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Side-effecting actions are selected by graph logic and executed only after policy and human gates.</w:t>
            </w:r>
          </w:p>
        </w:tc>
      </w:tr>
      <w:tr>
        <w:tc>
          <w:tcPr>
            <w:tcW w:type="dxa" w:w="10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ADR-06</w:t>
            </w:r>
          </w:p>
        </w:tc>
        <w:tc>
          <w:tcPr>
            <w:tcW w:type="dxa" w:w="360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Default to fake model and simulation mode</w:t>
            </w:r>
          </w:p>
        </w:tc>
        <w:tc>
          <w:tcPr>
            <w:tcW w:type="dxa" w:w="532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The demo must run without credentials and must never imply that a simulated write succeeded in production.</w:t>
            </w:r>
          </w:p>
        </w:tc>
      </w:tr>
      <w:tr>
        <w:tc>
          <w:tcPr>
            <w:tcW w:type="dxa" w:w="108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tcPr>
          <w:p>
            <w:pPr>
              <w:spacing w:after="0"/>
              <w:jc w:val="left"/>
            </w:pPr>
            <w:r>
              <w:rPr>
                <w:rFonts w:ascii="Liberation Sans" w:hAnsi="Liberation Sans"/>
                <w:b w:val="0"/>
                <w:color w:val="1F1F1F"/>
                <w:sz w:val="14"/>
              </w:rPr>
              <w:t>ADR-07</w:t>
            </w:r>
          </w:p>
        </w:tc>
        <w:tc>
          <w:tcPr>
            <w:tcW w:type="dxa" w:w="360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tcPr>
          <w:p>
            <w:pPr>
              <w:spacing w:after="0"/>
              <w:jc w:val="left"/>
            </w:pPr>
            <w:r>
              <w:rPr>
                <w:rFonts w:ascii="Liberation Sans" w:hAnsi="Liberation Sans"/>
                <w:b w:val="0"/>
                <w:color w:val="1F1F1F"/>
                <w:sz w:val="14"/>
              </w:rPr>
              <w:t>Use prepare → interrupt → execute nodes</w:t>
            </w:r>
          </w:p>
        </w:tc>
        <w:tc>
          <w:tcPr>
            <w:tcW w:type="dxa" w:w="532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tcPr>
          <w:p>
            <w:pPr>
              <w:spacing w:after="0"/>
              <w:jc w:val="left"/>
            </w:pPr>
            <w:r>
              <w:rPr>
                <w:rFonts w:ascii="Liberation Sans" w:hAnsi="Liberation Sans"/>
                <w:b w:val="0"/>
                <w:color w:val="1F1F1F"/>
                <w:sz w:val="14"/>
              </w:rPr>
              <w:t>The source subgraphs already use a two-node approval pattern; the demo adds a downstream execution node so replay cannot duplicate a side effect. [U1][O1]</w:t>
            </w:r>
          </w:p>
        </w:tc>
      </w:tr>
      <w:tr>
        <w:tc>
          <w:tcPr>
            <w:tcW w:type="dxa" w:w="108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tcPr>
          <w:p>
            <w:pPr>
              <w:spacing w:after="0"/>
              <w:jc w:val="left"/>
            </w:pPr>
            <w:r>
              <w:rPr>
                <w:rFonts w:ascii="Liberation Sans" w:hAnsi="Liberation Sans"/>
                <w:b w:val="0"/>
                <w:color w:val="1F1F1F"/>
                <w:sz w:val="14"/>
              </w:rPr>
              <w:t>ADR-08</w:t>
            </w:r>
          </w:p>
        </w:tc>
        <w:tc>
          <w:tcPr>
            <w:tcW w:type="dxa" w:w="360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tcPr>
          <w:p>
            <w:pPr>
              <w:spacing w:after="0"/>
              <w:jc w:val="left"/>
            </w:pPr>
            <w:r>
              <w:rPr>
                <w:rFonts w:ascii="Liberation Sans" w:hAnsi="Liberation Sans"/>
                <w:b w:val="0"/>
                <w:color w:val="1F1F1F"/>
                <w:sz w:val="14"/>
              </w:rPr>
              <w:t>Select an explicit MCP compatibility profile</w:t>
            </w:r>
          </w:p>
        </w:tc>
        <w:tc>
          <w:tcPr>
            <w:tcW w:type="dxa" w:w="532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tcPr>
          <w:p>
            <w:pPr>
              <w:spacing w:after="0"/>
              <w:jc w:val="left"/>
            </w:pPr>
            <w:r>
              <w:rPr>
                <w:rFonts w:ascii="Liberation Sans" w:hAnsi="Liberation Sans"/>
                <w:b w:val="0"/>
                <w:color w:val="1F1F1F"/>
                <w:sz w:val="14"/>
              </w:rPr>
              <w:t>As of 16 August 2026, langchain-mcp-adapters 0.3.2 pins mcp&lt;2, while MCP Python SDK 2.0 supports the 2026-07-28 protocol. The simple default uses the legacy profile unless a modern client integration is proven. [O8][O9][O10]</w:t>
            </w:r>
          </w:p>
        </w:tc>
      </w:tr>
    </w:tbl>
    <w:p>
      <w:pPr>
        <w:spacing w:after="0"/>
      </w:pPr>
    </w:p>
    <w:p>
      <w:pPr>
        <w:pStyle w:val="Heading1"/>
        <w:pBdr>
          <w:bottom w:val="single" w:sz="8" w:space="1" w:color="DDEBF7"/>
        </w:pBdr>
      </w:pPr>
      <w:r>
        <w:t>4. End-to-end workflow and decision points</w:t>
      </w:r>
    </w:p>
    <w:p>
      <w:pPr>
        <w:pStyle w:val="Heading2"/>
      </w:pPr>
      <w:r>
        <w:t>4.1 Simplified demonstration workflow</w:t>
      </w:r>
    </w:p>
    <w:p>
      <w:pPr>
        <w:jc w:val="center"/>
      </w:pPr>
      <w:r>
        <w:drawing>
          <wp:inline xmlns:a="http://schemas.openxmlformats.org/drawingml/2006/main" xmlns:pic="http://schemas.openxmlformats.org/drawingml/2006/picture">
            <wp:extent cx="4206240" cy="6645460"/>
            <wp:docPr id="2" name="Picture 2"/>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4206240" cy="6645460"/>
                    </a:xfrm>
                    <a:prstGeom prst="rect"/>
                  </pic:spPr>
                </pic:pic>
              </a:graphicData>
            </a:graphic>
          </wp:inline>
        </w:drawing>
      </w:r>
    </w:p>
    <w:p>
      <w:pPr>
        <w:spacing w:after="120"/>
        <w:jc w:val="center"/>
      </w:pPr>
      <w:r>
        <w:rPr>
          <w:rFonts w:ascii="Liberation Sans" w:hAnsi="Liberation Sans"/>
          <w:i/>
          <w:color w:val="666666"/>
          <w:sz w:val="16"/>
        </w:rPr>
        <w:t>Figure 2. Simplified vertical-slice workflow. Failed actions return to evidence and RCA; the incident and SLA clock remain unchanged.</w:t>
      </w:r>
    </w:p>
    <w:p>
      <w:pPr>
        <w:pStyle w:val="Heading2"/>
      </w:pPr>
      <w:r>
        <w:t>4.2 Process and decision specification</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648"/>
            <w:shd w:fill="173F68"/>
            <w:vAlign w:val="center"/>
            <w:tcMar>
              <w:top w:w="55" w:type="dxa"/>
              <w:start w:w="70" w:type="dxa"/>
              <w:bottom w:w="55" w:type="dxa"/>
              <w:end w:w="70" w:type="dxa"/>
            </w:tcMar>
          </w:tcPr>
          <w:p>
            <w:pPr>
              <w:jc w:val="left"/>
            </w:pPr>
            <w:r>
              <w:rPr>
                <w:rFonts w:ascii="Liberation Sans" w:hAnsi="Liberation Sans"/>
                <w:b/>
                <w:color w:val="FFFFFF"/>
                <w:sz w:val="14"/>
              </w:rPr>
              <w:t>ID</w:t>
            </w:r>
          </w:p>
        </w:tc>
        <w:tc>
          <w:tcPr>
            <w:tcW w:type="dxa" w:w="2016"/>
            <w:shd w:fill="173F68"/>
            <w:vAlign w:val="center"/>
            <w:tcMar>
              <w:top w:w="55" w:type="dxa"/>
              <w:start w:w="70" w:type="dxa"/>
              <w:bottom w:w="55" w:type="dxa"/>
              <w:end w:w="70" w:type="dxa"/>
            </w:tcMar>
          </w:tcPr>
          <w:p>
            <w:pPr>
              <w:jc w:val="left"/>
            </w:pPr>
            <w:r>
              <w:rPr>
                <w:rFonts w:ascii="Liberation Sans" w:hAnsi="Liberation Sans"/>
                <w:b/>
                <w:color w:val="FFFFFF"/>
                <w:sz w:val="14"/>
              </w:rPr>
              <w:t>Step / decision</w:t>
            </w:r>
          </w:p>
        </w:tc>
        <w:tc>
          <w:tcPr>
            <w:tcW w:type="dxa" w:w="5760"/>
            <w:shd w:fill="173F68"/>
            <w:vAlign w:val="center"/>
            <w:tcMar>
              <w:top w:w="55" w:type="dxa"/>
              <w:start w:w="70" w:type="dxa"/>
              <w:bottom w:w="55" w:type="dxa"/>
              <w:end w:w="70" w:type="dxa"/>
            </w:tcMar>
          </w:tcPr>
          <w:p>
            <w:pPr>
              <w:jc w:val="left"/>
            </w:pPr>
            <w:r>
              <w:rPr>
                <w:rFonts w:ascii="Liberation Sans" w:hAnsi="Liberation Sans"/>
                <w:b/>
                <w:color w:val="FFFFFF"/>
                <w:sz w:val="14"/>
              </w:rPr>
              <w:t>Behavior</w:t>
            </w:r>
          </w:p>
        </w:tc>
        <w:tc>
          <w:tcPr>
            <w:tcW w:type="dxa" w:w="1512"/>
            <w:shd w:fill="173F68"/>
            <w:vAlign w:val="center"/>
            <w:tcMar>
              <w:top w:w="55" w:type="dxa"/>
              <w:start w:w="70" w:type="dxa"/>
              <w:bottom w:w="55" w:type="dxa"/>
              <w:end w:w="70" w:type="dxa"/>
            </w:tcMar>
          </w:tcPr>
          <w:p>
            <w:pPr>
              <w:jc w:val="left"/>
            </w:pPr>
            <w:r>
              <w:rPr>
                <w:rFonts w:ascii="Liberation Sans" w:hAnsi="Liberation Sans"/>
                <w:b/>
                <w:color w:val="FFFFFF"/>
                <w:sz w:val="14"/>
              </w:rPr>
              <w:t>Primary owner</w:t>
            </w:r>
          </w:p>
        </w:tc>
      </w:tr>
      <w:tr>
        <w:tc>
          <w:tcPr>
            <w:tcW w:type="dxa" w:w="6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P01</w:t>
            </w:r>
          </w:p>
        </w:tc>
        <w:tc>
          <w:tcPr>
            <w:tcW w:type="dxa" w:w="201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Receive signal</w:t>
            </w:r>
          </w:p>
        </w:tc>
        <w:tc>
          <w:tcPr>
            <w:tcW w:type="dxa" w:w="576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Accept NXT-style anomaly, customer report or predictive-risk fixture.</w:t>
            </w:r>
          </w:p>
        </w:tc>
        <w:tc>
          <w:tcPr>
            <w:tcW w:type="dxa" w:w="151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Graph</w:t>
            </w:r>
          </w:p>
        </w:tc>
      </w:tr>
      <w:tr>
        <w:tc>
          <w:tcPr>
            <w:tcW w:type="dxa" w:w="6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P02</w:t>
            </w:r>
          </w:p>
        </w:tc>
        <w:tc>
          <w:tcPr>
            <w:tcW w:type="dxa" w:w="201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Normalize and validate</w:t>
            </w:r>
          </w:p>
        </w:tc>
        <w:tc>
          <w:tcPr>
            <w:tcW w:type="dxa" w:w="576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Create canonical event, calculate data quality and reject malformed or stale signals.</w:t>
            </w:r>
          </w:p>
        </w:tc>
        <w:tc>
          <w:tcPr>
            <w:tcW w:type="dxa" w:w="151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Deterministic</w:t>
            </w:r>
          </w:p>
        </w:tc>
      </w:tr>
      <w:tr>
        <w:tc>
          <w:tcPr>
            <w:tcW w:type="dxa" w:w="6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D01</w:t>
            </w:r>
          </w:p>
        </w:tc>
        <w:tc>
          <w:tcPr>
            <w:tcW w:type="dxa" w:w="201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Valid and actionable?</w:t>
            </w:r>
          </w:p>
        </w:tc>
        <w:tc>
          <w:tcPr>
            <w:tcW w:type="dxa" w:w="576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No: quarantine and show reason. Yes: continue.</w:t>
            </w:r>
          </w:p>
        </w:tc>
        <w:tc>
          <w:tcPr>
            <w:tcW w:type="dxa" w:w="151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Deterministic</w:t>
            </w:r>
          </w:p>
        </w:tc>
      </w:tr>
      <w:tr>
        <w:tc>
          <w:tcPr>
            <w:tcW w:type="dxa" w:w="6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P03</w:t>
            </w:r>
          </w:p>
        </w:tc>
        <w:tc>
          <w:tcPr>
            <w:tcW w:type="dxa" w:w="201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Resolve identity and topology</w:t>
            </w:r>
          </w:p>
        </w:tc>
        <w:tc>
          <w:tcPr>
            <w:tcW w:type="dxa" w:w="576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Resolve customer → service → CPE → premise/drop → tap/ODP → node/OLT/plant.</w:t>
            </w:r>
          </w:p>
        </w:tc>
        <w:tc>
          <w:tcPr>
            <w:tcW w:type="dxa" w:w="151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Deterministic + MCP read</w:t>
            </w:r>
          </w:p>
        </w:tc>
      </w:tr>
      <w:tr>
        <w:tc>
          <w:tcPr>
            <w:tcW w:type="dxa" w:w="6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P04</w:t>
            </w:r>
          </w:p>
        </w:tc>
        <w:tc>
          <w:tcPr>
            <w:tcW w:type="dxa" w:w="201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Correlate and deduplicate</w:t>
            </w:r>
          </w:p>
        </w:tc>
        <w:tc>
          <w:tcPr>
            <w:tcW w:type="dxa" w:w="576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Check existing incidents, outages, work orders, MRs, planned work and neighboring CPEs.</w:t>
            </w:r>
          </w:p>
        </w:tc>
        <w:tc>
          <w:tcPr>
            <w:tcW w:type="dxa" w:w="151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Deterministic + MCP read</w:t>
            </w:r>
          </w:p>
        </w:tc>
      </w:tr>
      <w:tr>
        <w:tc>
          <w:tcPr>
            <w:tcW w:type="dxa" w:w="6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D02</w:t>
            </w:r>
          </w:p>
        </w:tc>
        <w:tc>
          <w:tcPr>
            <w:tcW w:type="dxa" w:w="201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Common cause or existing case?</w:t>
            </w:r>
          </w:p>
        </w:tc>
        <w:tc>
          <w:tcPr>
            <w:tcW w:type="dxa" w:w="576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Yes: attach to parent and set child SLA mode to inherits_parent. No: create one incident.</w:t>
            </w:r>
          </w:p>
        </w:tc>
        <w:tc>
          <w:tcPr>
            <w:tcW w:type="dxa" w:w="151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Deterministic</w:t>
            </w:r>
          </w:p>
        </w:tc>
      </w:tr>
      <w:tr>
        <w:tc>
          <w:tcPr>
            <w:tcW w:type="dxa" w:w="6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P05</w:t>
            </w:r>
          </w:p>
        </w:tc>
        <w:tc>
          <w:tcPr>
            <w:tcW w:type="dxa" w:w="201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Assemble evidence</w:t>
            </w:r>
          </w:p>
        </w:tc>
        <w:tc>
          <w:tcPr>
            <w:tcW w:type="dxa" w:w="576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Collect NXT trends, topology, service tests, history and field/MR context.</w:t>
            </w:r>
          </w:p>
        </w:tc>
        <w:tc>
          <w:tcPr>
            <w:tcW w:type="dxa" w:w="151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Workflow coordinator</w:t>
            </w:r>
          </w:p>
        </w:tc>
      </w:tr>
      <w:tr>
        <w:tc>
          <w:tcPr>
            <w:tcW w:type="dxa" w:w="6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P06</w:t>
            </w:r>
          </w:p>
        </w:tc>
        <w:tc>
          <w:tcPr>
            <w:tcW w:type="dxa" w:w="201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Run detectors</w:t>
            </w:r>
          </w:p>
        </w:tc>
        <w:tc>
          <w:tcPr>
            <w:tcW w:type="dxa" w:w="576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Calculate anomaly, fault-domain, repeat-risk and handover-quality scores.</w:t>
            </w:r>
          </w:p>
        </w:tc>
        <w:tc>
          <w:tcPr>
            <w:tcW w:type="dxa" w:w="151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Deterministic</w:t>
            </w:r>
          </w:p>
        </w:tc>
      </w:tr>
      <w:tr>
        <w:tc>
          <w:tcPr>
            <w:tcW w:type="dxa" w:w="6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P07</w:t>
            </w:r>
          </w:p>
        </w:tc>
        <w:tc>
          <w:tcPr>
            <w:tcW w:type="dxa" w:w="201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Generate RCA proposal</w:t>
            </w:r>
          </w:p>
        </w:tc>
        <w:tc>
          <w:tcPr>
            <w:tcW w:type="dxa" w:w="576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Return ranked hypotheses, evidence, contradictions, missing evidence and concise rationale.</w:t>
            </w:r>
          </w:p>
        </w:tc>
        <w:tc>
          <w:tcPr>
            <w:tcW w:type="dxa" w:w="151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LLM-assisted</w:t>
            </w:r>
          </w:p>
        </w:tc>
      </w:tr>
      <w:tr>
        <w:tc>
          <w:tcPr>
            <w:tcW w:type="dxa" w:w="6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P08</w:t>
            </w:r>
          </w:p>
        </w:tc>
        <w:tc>
          <w:tcPr>
            <w:tcW w:type="dxa" w:w="201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Fuse analysis</w:t>
            </w:r>
          </w:p>
        </w:tc>
        <w:tc>
          <w:tcPr>
            <w:tcW w:type="dxa" w:w="576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Record deterministic domain, LLM domain, agreement, confidence, freshness and gate reason.</w:t>
            </w:r>
          </w:p>
        </w:tc>
        <w:tc>
          <w:tcPr>
            <w:tcW w:type="dxa" w:w="151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Deterministic</w:t>
            </w:r>
          </w:p>
        </w:tc>
      </w:tr>
      <w:tr>
        <w:tc>
          <w:tcPr>
            <w:tcW w:type="dxa" w:w="6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D03</w:t>
            </w:r>
          </w:p>
        </w:tc>
        <w:tc>
          <w:tcPr>
            <w:tcW w:type="dxa" w:w="201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Evidence/confidence sufficient?</w:t>
            </w:r>
          </w:p>
        </w:tc>
        <w:tc>
          <w:tcPr>
            <w:tcW w:type="dxa" w:w="576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No: route to human RCA. Yes: evaluate responsibility-domain agreement.</w:t>
            </w:r>
          </w:p>
        </w:tc>
        <w:tc>
          <w:tcPr>
            <w:tcW w:type="dxa" w:w="151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Policy + router</w:t>
            </w:r>
          </w:p>
        </w:tc>
      </w:tr>
      <w:tr>
        <w:tc>
          <w:tcPr>
            <w:tcW w:type="dxa" w:w="6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D03A</w:t>
            </w:r>
          </w:p>
        </w:tc>
        <w:tc>
          <w:tcPr>
            <w:tcW w:type="dxa" w:w="201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Responsibility domains agree?</w:t>
            </w:r>
          </w:p>
        </w:tc>
        <w:tc>
          <w:tcPr>
            <w:tcW w:type="dxa" w:w="576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No: human RCA regardless of confidence. Yes: proceed.</w:t>
            </w:r>
          </w:p>
        </w:tc>
        <w:tc>
          <w:tcPr>
            <w:tcW w:type="dxa" w:w="151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Deterministic router</w:t>
            </w:r>
          </w:p>
        </w:tc>
      </w:tr>
      <w:tr>
        <w:tc>
          <w:tcPr>
            <w:tcW w:type="dxa" w:w="6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P09</w:t>
            </w:r>
          </w:p>
        </w:tc>
        <w:tc>
          <w:tcPr>
            <w:tcW w:type="dxa" w:w="201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Generate best/next-best action</w:t>
            </w:r>
          </w:p>
        </w:tc>
        <w:tc>
          <w:tcPr>
            <w:tcW w:type="dxa" w:w="576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Create a structured action sequence with success tests and failure triggers.</w:t>
            </w:r>
          </w:p>
        </w:tc>
        <w:tc>
          <w:tcPr>
            <w:tcW w:type="dxa" w:w="151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LLM-assisted + deterministic scoring</w:t>
            </w:r>
          </w:p>
        </w:tc>
      </w:tr>
      <w:tr>
        <w:tc>
          <w:tcPr>
            <w:tcW w:type="dxa" w:w="6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P10</w:t>
            </w:r>
          </w:p>
        </w:tc>
        <w:tc>
          <w:tcPr>
            <w:tcW w:type="dxa" w:w="201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Policy and risk check</w:t>
            </w:r>
          </w:p>
        </w:tc>
        <w:tc>
          <w:tcPr>
            <w:tcW w:type="dxa" w:w="576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Return allowed, requires approval, or blocked with reason codes.</w:t>
            </w:r>
          </w:p>
        </w:tc>
        <w:tc>
          <w:tcPr>
            <w:tcW w:type="dxa" w:w="151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Deterministic policy</w:t>
            </w:r>
          </w:p>
        </w:tc>
      </w:tr>
      <w:tr>
        <w:tc>
          <w:tcPr>
            <w:tcW w:type="dxa" w:w="6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D04</w:t>
            </w:r>
          </w:p>
        </w:tc>
        <w:tc>
          <w:tcPr>
            <w:tcW w:type="dxa" w:w="201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Select lane</w:t>
            </w:r>
          </w:p>
        </w:tc>
        <w:tc>
          <w:tcPr>
            <w:tcW w:type="dxa" w:w="576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Remote, self-help, Clean Boots, Dirty Boots/MR, shared network or manual review.</w:t>
            </w:r>
          </w:p>
        </w:tc>
        <w:tc>
          <w:tcPr>
            <w:tcW w:type="dxa" w:w="151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Deterministic routing</w:t>
            </w:r>
          </w:p>
        </w:tc>
      </w:tr>
      <w:tr>
        <w:tc>
          <w:tcPr>
            <w:tcW w:type="dxa" w:w="6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P11A</w:t>
            </w:r>
          </w:p>
        </w:tc>
        <w:tc>
          <w:tcPr>
            <w:tcW w:type="dxa" w:w="201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Prepare approval</w:t>
            </w:r>
          </w:p>
        </w:tc>
        <w:tc>
          <w:tcPr>
            <w:tcW w:type="dxa" w:w="576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Persist ApprovalRequest and a stable idempotency key before pausing.</w:t>
            </w:r>
          </w:p>
        </w:tc>
        <w:tc>
          <w:tcPr>
            <w:tcW w:type="dxa" w:w="151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Graph</w:t>
            </w:r>
          </w:p>
        </w:tc>
      </w:tr>
      <w:tr>
        <w:tc>
          <w:tcPr>
            <w:tcW w:type="dxa" w:w="6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P11B</w:t>
            </w:r>
          </w:p>
        </w:tc>
        <w:tc>
          <w:tcPr>
            <w:tcW w:type="dxa" w:w="201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Request approval</w:t>
            </w:r>
          </w:p>
        </w:tc>
        <w:tc>
          <w:tcPr>
            <w:tcW w:type="dxa" w:w="576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Dedicated node with exactly one interrupt and no side effects.</w:t>
            </w:r>
          </w:p>
        </w:tc>
        <w:tc>
          <w:tcPr>
            <w:tcW w:type="dxa" w:w="151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Human interrupt</w:t>
            </w:r>
          </w:p>
        </w:tc>
      </w:tr>
      <w:tr>
        <w:tc>
          <w:tcPr>
            <w:tcW w:type="dxa" w:w="6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P12</w:t>
            </w:r>
          </w:p>
        </w:tc>
        <w:tc>
          <w:tcPr>
            <w:tcW w:type="dxa" w:w="201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Execute simulated action</w:t>
            </w:r>
          </w:p>
        </w:tc>
        <w:tc>
          <w:tcPr>
            <w:tcW w:type="dxa" w:w="576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Validate approval and idempotency key, then invoke a typed MCP tool; replay returns the stored result.</w:t>
            </w:r>
          </w:p>
        </w:tc>
        <w:tc>
          <w:tcPr>
            <w:tcW w:type="dxa" w:w="151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Graph + MCP</w:t>
            </w:r>
          </w:p>
        </w:tc>
      </w:tr>
      <w:tr>
        <w:tc>
          <w:tcPr>
            <w:tcW w:type="dxa" w:w="6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P13</w:t>
            </w:r>
          </w:p>
        </w:tc>
        <w:tc>
          <w:tcPr>
            <w:tcW w:type="dxa" w:w="201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Verify outcome</w:t>
            </w:r>
          </w:p>
        </w:tc>
        <w:tc>
          <w:tcPr>
            <w:tcW w:type="dxa" w:w="576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Run post-action telemetry and service tests; enforce observation window.</w:t>
            </w:r>
          </w:p>
        </w:tc>
        <w:tc>
          <w:tcPr>
            <w:tcW w:type="dxa" w:w="151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Deterministic</w:t>
            </w:r>
          </w:p>
        </w:tc>
      </w:tr>
      <w:tr>
        <w:tc>
          <w:tcPr>
            <w:tcW w:type="dxa" w:w="6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D05</w:t>
            </w:r>
          </w:p>
        </w:tc>
        <w:tc>
          <w:tcPr>
            <w:tcW w:type="dxa" w:w="201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Restored and stable?</w:t>
            </w:r>
          </w:p>
        </w:tc>
        <w:tc>
          <w:tcPr>
            <w:tcW w:type="dxa" w:w="576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Yes: reconcile and close. No: record attempt and evaluate retry budget.</w:t>
            </w:r>
          </w:p>
        </w:tc>
        <w:tc>
          <w:tcPr>
            <w:tcW w:type="dxa" w:w="151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Deterministic</w:t>
            </w:r>
          </w:p>
        </w:tc>
      </w:tr>
      <w:tr>
        <w:tc>
          <w:tcPr>
            <w:tcW w:type="dxa" w:w="6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D05A</w:t>
            </w:r>
          </w:p>
        </w:tc>
        <w:tc>
          <w:tcPr>
            <w:tcW w:type="dxa" w:w="201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New evidence and budget remaining?</w:t>
            </w:r>
          </w:p>
        </w:tc>
        <w:tc>
          <w:tcPr>
            <w:tcW w:type="dxa" w:w="576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Yes: return to RCA. No: escalate to manual review.</w:t>
            </w:r>
          </w:p>
        </w:tc>
        <w:tc>
          <w:tcPr>
            <w:tcW w:type="dxa" w:w="151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Budget guard + policy</w:t>
            </w:r>
          </w:p>
        </w:tc>
      </w:tr>
      <w:tr>
        <w:tc>
          <w:tcPr>
            <w:tcW w:type="dxa" w:w="6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P14</w:t>
            </w:r>
          </w:p>
        </w:tc>
        <w:tc>
          <w:tcPr>
            <w:tcW w:type="dxa" w:w="201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Reconcile and close</w:t>
            </w:r>
          </w:p>
        </w:tc>
        <w:tc>
          <w:tcPr>
            <w:tcW w:type="dxa" w:w="576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Align alarm, incident, work order, MR and customer status before closure.</w:t>
            </w:r>
          </w:p>
        </w:tc>
        <w:tc>
          <w:tcPr>
            <w:tcW w:type="dxa" w:w="151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Workflow controller</w:t>
            </w:r>
          </w:p>
        </w:tc>
      </w:tr>
    </w:tbl>
    <w:p>
      <w:pPr>
        <w:spacing w:after="0"/>
      </w:pPr>
    </w:p>
    <w:p>
      <w:pPr>
        <w:pStyle w:val="Heading2"/>
      </w:pPr>
      <w:r>
        <w:t>4.3 Interrupt behavior</w:t>
      </w:r>
    </w:p>
    <w:p>
      <w:r>
        <w:t>A human decision uses the verified source pattern: a prepare node commits the ApprovalRequest and stable idempotency key; a separate request node contains exactly one interrupt and no side effects; a router validates the response; and a downstream execution node performs the typed action. Never conditionally skip interrupts within a node, never wrap interrupt() in a bare try/except, and never place an external effect before the interrupt. Because resume restarts the node from its beginning, graph-state reducers and the external-effect idempotency store provide separate, complementary replay protections. [U1][O1]</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376"/>
            <w:shd w:fill="17365D"/>
            <w:vAlign w:val="center"/>
            <w:tcMar>
              <w:top w:w="70" w:type="dxa"/>
              <w:start w:w="100" w:type="dxa"/>
              <w:bottom w:w="70" w:type="dxa"/>
              <w:end w:w="100" w:type="dxa"/>
            </w:tcMar>
          </w:tcPr>
          <w:p>
            <w:r>
              <w:rPr>
                <w:rFonts w:ascii="Liberation Sans" w:hAnsi="Liberation Sans"/>
                <w:b/>
                <w:color w:val="FFFFFF"/>
                <w:sz w:val="16"/>
              </w:rPr>
              <w:t>Approval kind</w:t>
            </w:r>
          </w:p>
        </w:tc>
        <w:tc>
          <w:tcPr>
            <w:tcW w:type="dxa" w:w="2088"/>
            <w:shd w:fill="17365D"/>
            <w:vAlign w:val="center"/>
            <w:tcMar>
              <w:top w:w="70" w:type="dxa"/>
              <w:start w:w="100" w:type="dxa"/>
              <w:bottom w:w="70" w:type="dxa"/>
              <w:end w:w="100" w:type="dxa"/>
            </w:tcMar>
          </w:tcPr>
          <w:p>
            <w:r>
              <w:rPr>
                <w:rFonts w:ascii="Liberation Sans" w:hAnsi="Liberation Sans"/>
                <w:b/>
                <w:color w:val="FFFFFF"/>
                <w:sz w:val="16"/>
              </w:rPr>
              <w:t>Default reviewer</w:t>
            </w:r>
          </w:p>
        </w:tc>
        <w:tc>
          <w:tcPr>
            <w:tcW w:type="dxa" w:w="5688"/>
            <w:shd w:fill="17365D"/>
            <w:vAlign w:val="center"/>
            <w:tcMar>
              <w:top w:w="70" w:type="dxa"/>
              <w:start w:w="100" w:type="dxa"/>
              <w:bottom w:w="70" w:type="dxa"/>
              <w:end w:w="100" w:type="dxa"/>
            </w:tcMar>
          </w:tcPr>
          <w:p>
            <w:r>
              <w:rPr>
                <w:rFonts w:ascii="Liberation Sans" w:hAnsi="Liberation Sans"/>
                <w:b/>
                <w:color w:val="FFFFFF"/>
                <w:sz w:val="16"/>
              </w:rPr>
              <w:t>Mockup trigger</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Low-confidence RCA</w:t>
            </w:r>
          </w:p>
        </w:tc>
        <w:tc>
          <w:tcPr>
            <w:tcW w:type="dxa" w:w="208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L2 / SME</w:t>
            </w:r>
          </w:p>
        </w:tc>
        <w:tc>
          <w:tcPr>
            <w:tcW w:type="dxa" w:w="568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color w:val="1F1F1F"/>
                <w:sz w:val="16"/>
              </w:rPr>
              <w:t>Confidence below threshold or deterministic/LLM responsibility-domain disagreement, even when confidence is otherwise high</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Remote action</w:t>
            </w:r>
          </w:p>
        </w:tc>
        <w:tc>
          <w:tcPr>
            <w:tcW w:type="dxa" w:w="208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NOC analyst or supervisor</w:t>
            </w:r>
          </w:p>
        </w:tc>
        <w:tc>
          <w:tcPr>
            <w:tcW w:type="dxa" w:w="568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Any side-effecting CPE action in the demo</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Dispatch</w:t>
            </w:r>
          </w:p>
        </w:tc>
        <w:tc>
          <w:tcPr>
            <w:tcW w:type="dxa" w:w="208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Dispatcher</w:t>
            </w:r>
          </w:p>
        </w:tc>
        <w:tc>
          <w:tcPr>
            <w:tcW w:type="dxa" w:w="568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Before work-order creation and simulated slot commitment</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Clean-to-Dirty handover</w:t>
            </w:r>
          </w:p>
        </w:tc>
        <w:tc>
          <w:tcPr>
            <w:tcW w:type="dxa" w:w="208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Plant supervisor</w:t>
            </w:r>
          </w:p>
        </w:tc>
        <w:tc>
          <w:tcPr>
            <w:tcW w:type="dxa" w:w="568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Before creating or updating a jTrack MR at tap or ODP</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High-blast-radius action</w:t>
            </w:r>
          </w:p>
        </w:tc>
        <w:tc>
          <w:tcPr>
            <w:tcW w:type="dxa" w:w="208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Operations supervisor</w:t>
            </w:r>
          </w:p>
        </w:tc>
        <w:tc>
          <w:tcPr>
            <w:tcW w:type="dxa" w:w="568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Shared network action affecting multiple services</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Exceptional closure</w:t>
            </w:r>
          </w:p>
        </w:tc>
        <w:tc>
          <w:tcPr>
            <w:tcW w:type="dxa" w:w="208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Operations supervisor</w:t>
            </w:r>
          </w:p>
        </w:tc>
        <w:tc>
          <w:tcPr>
            <w:tcW w:type="dxa" w:w="568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Telemetry cannot prove restoration but approved exception exists</w:t>
            </w:r>
          </w:p>
        </w:tc>
      </w:tr>
    </w:tbl>
    <w:p>
      <w:pPr>
        <w:spacing w:after="0"/>
      </w:pPr>
    </w:p>
    <w:p>
      <w:pPr>
        <w:pStyle w:val="Heading1"/>
        <w:pBdr>
          <w:bottom w:val="single" w:sz="8" w:space="1" w:color="DDEBF7"/>
        </w:pBdr>
      </w:pPr>
      <w:r>
        <w:t>5. Deterministic, LLM-assisted and human decisioning</w:t>
      </w:r>
    </w:p>
    <w:p>
      <w:pPr>
        <w:pStyle w:val="Heading2"/>
      </w:pPr>
      <w:r>
        <w:t>5.1 Decision allocation</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944"/>
            <w:shd w:fill="173F68"/>
            <w:vAlign w:val="center"/>
            <w:tcMar>
              <w:top w:w="55" w:type="dxa"/>
              <w:start w:w="70" w:type="dxa"/>
              <w:bottom w:w="55" w:type="dxa"/>
              <w:end w:w="70" w:type="dxa"/>
            </w:tcMar>
          </w:tcPr>
          <w:p>
            <w:pPr>
              <w:jc w:val="left"/>
            </w:pPr>
            <w:r>
              <w:rPr>
                <w:rFonts w:ascii="Liberation Sans" w:hAnsi="Liberation Sans"/>
                <w:b/>
                <w:color w:val="FFFFFF"/>
                <w:sz w:val="14"/>
              </w:rPr>
              <w:t>Function</w:t>
            </w:r>
          </w:p>
        </w:tc>
        <w:tc>
          <w:tcPr>
            <w:tcW w:type="dxa" w:w="3024"/>
            <w:shd w:fill="173F68"/>
            <w:vAlign w:val="center"/>
            <w:tcMar>
              <w:top w:w="55" w:type="dxa"/>
              <w:start w:w="70" w:type="dxa"/>
              <w:bottom w:w="55" w:type="dxa"/>
              <w:end w:w="70" w:type="dxa"/>
            </w:tcMar>
          </w:tcPr>
          <w:p>
            <w:pPr>
              <w:jc w:val="left"/>
            </w:pPr>
            <w:r>
              <w:rPr>
                <w:rFonts w:ascii="Liberation Sans" w:hAnsi="Liberation Sans"/>
                <w:b/>
                <w:color w:val="FFFFFF"/>
                <w:sz w:val="14"/>
              </w:rPr>
              <w:t>Deterministic service</w:t>
            </w:r>
          </w:p>
        </w:tc>
        <w:tc>
          <w:tcPr>
            <w:tcW w:type="dxa" w:w="3096"/>
            <w:shd w:fill="173F68"/>
            <w:vAlign w:val="center"/>
            <w:tcMar>
              <w:top w:w="55" w:type="dxa"/>
              <w:start w:w="70" w:type="dxa"/>
              <w:bottom w:w="55" w:type="dxa"/>
              <w:end w:w="70" w:type="dxa"/>
            </w:tcMar>
          </w:tcPr>
          <w:p>
            <w:pPr>
              <w:jc w:val="left"/>
            </w:pPr>
            <w:r>
              <w:rPr>
                <w:rFonts w:ascii="Liberation Sans" w:hAnsi="Liberation Sans"/>
                <w:b/>
                <w:color w:val="FFFFFF"/>
                <w:sz w:val="14"/>
              </w:rPr>
              <w:t>LLM assistant</w:t>
            </w:r>
          </w:p>
        </w:tc>
        <w:tc>
          <w:tcPr>
            <w:tcW w:type="dxa" w:w="2088"/>
            <w:shd w:fill="173F68"/>
            <w:vAlign w:val="center"/>
            <w:tcMar>
              <w:top w:w="55" w:type="dxa"/>
              <w:start w:w="70" w:type="dxa"/>
              <w:bottom w:w="55" w:type="dxa"/>
              <w:end w:w="70" w:type="dxa"/>
            </w:tcMar>
          </w:tcPr>
          <w:p>
            <w:pPr>
              <w:jc w:val="left"/>
            </w:pPr>
            <w:r>
              <w:rPr>
                <w:rFonts w:ascii="Liberation Sans" w:hAnsi="Liberation Sans"/>
                <w:b/>
                <w:color w:val="FFFFFF"/>
                <w:sz w:val="14"/>
              </w:rPr>
              <w:t>Human decision</w:t>
            </w:r>
          </w:p>
        </w:tc>
      </w:tr>
      <w:tr>
        <w:tc>
          <w:tcPr>
            <w:tcW w:type="dxa" w:w="1944"/>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Signal validation</w:t>
            </w:r>
          </w:p>
        </w:tc>
        <w:tc>
          <w:tcPr>
            <w:tcW w:type="dxa" w:w="3024"/>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Required</w:t>
            </w:r>
          </w:p>
        </w:tc>
        <w:tc>
          <w:tcPr>
            <w:tcW w:type="dxa" w:w="309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None</w:t>
            </w:r>
          </w:p>
        </w:tc>
        <w:tc>
          <w:tcPr>
            <w:tcW w:type="dxa" w:w="208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Exception only</w:t>
            </w:r>
          </w:p>
        </w:tc>
      </w:tr>
      <w:tr>
        <w:tc>
          <w:tcPr>
            <w:tcW w:type="dxa" w:w="1944"/>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Common-cause correlation</w:t>
            </w:r>
          </w:p>
        </w:tc>
        <w:tc>
          <w:tcPr>
            <w:tcW w:type="dxa" w:w="3024"/>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Required</w:t>
            </w:r>
          </w:p>
        </w:tc>
        <w:tc>
          <w:tcPr>
            <w:tcW w:type="dxa" w:w="309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Explain cluster only</w:t>
            </w:r>
          </w:p>
        </w:tc>
        <w:tc>
          <w:tcPr>
            <w:tcW w:type="dxa" w:w="208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Exception only</w:t>
            </w:r>
          </w:p>
        </w:tc>
      </w:tr>
      <w:tr>
        <w:tc>
          <w:tcPr>
            <w:tcW w:type="dxa" w:w="1944"/>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RCA</w:t>
            </w:r>
          </w:p>
        </w:tc>
        <w:tc>
          <w:tcPr>
            <w:tcW w:type="dxa" w:w="3024"/>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Baseline scores and constraints</w:t>
            </w:r>
          </w:p>
        </w:tc>
        <w:tc>
          <w:tcPr>
            <w:tcW w:type="dxa" w:w="309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Rank, synthesize, identify missing evidence</w:t>
            </w:r>
          </w:p>
        </w:tc>
        <w:tc>
          <w:tcPr>
            <w:tcW w:type="dxa" w:w="208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Approve or override when required</w:t>
            </w:r>
          </w:p>
        </w:tc>
      </w:tr>
      <w:tr>
        <w:tc>
          <w:tcPr>
            <w:tcW w:type="dxa" w:w="1944"/>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RCA domain agreement</w:t>
            </w:r>
          </w:p>
        </w:tc>
        <w:tc>
          <w:tcPr>
            <w:tcW w:type="dxa" w:w="3024"/>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Compare controlled domains and record gate reason</w:t>
            </w:r>
          </w:p>
        </w:tc>
        <w:tc>
          <w:tcPr>
            <w:tcW w:type="dxa" w:w="309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None</w:t>
            </w:r>
          </w:p>
        </w:tc>
        <w:tc>
          <w:tcPr>
            <w:tcW w:type="dxa" w:w="208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Mandatory review on disagreement</w:t>
            </w:r>
          </w:p>
        </w:tc>
      </w:tr>
      <w:tr>
        <w:tc>
          <w:tcPr>
            <w:tcW w:type="dxa" w:w="1944"/>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Best and next-best action</w:t>
            </w:r>
          </w:p>
        </w:tc>
        <w:tc>
          <w:tcPr>
            <w:tcW w:type="dxa" w:w="3024"/>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Risk/cost/success scores and policy filter</w:t>
            </w:r>
          </w:p>
        </w:tc>
        <w:tc>
          <w:tcPr>
            <w:tcW w:type="dxa" w:w="309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Explain sequence and failure trigger</w:t>
            </w:r>
          </w:p>
        </w:tc>
        <w:tc>
          <w:tcPr>
            <w:tcW w:type="dxa" w:w="208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Approve, edit or reject</w:t>
            </w:r>
          </w:p>
        </w:tc>
      </w:tr>
      <w:tr>
        <w:tc>
          <w:tcPr>
            <w:tcW w:type="dxa" w:w="1944"/>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Remote eligibility</w:t>
            </w:r>
          </w:p>
        </w:tc>
        <w:tc>
          <w:tcPr>
            <w:tcW w:type="dxa" w:w="3024"/>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Required</w:t>
            </w:r>
          </w:p>
        </w:tc>
        <w:tc>
          <w:tcPr>
            <w:tcW w:type="dxa" w:w="309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Explain proposed action</w:t>
            </w:r>
          </w:p>
        </w:tc>
        <w:tc>
          <w:tcPr>
            <w:tcW w:type="dxa" w:w="208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Approve side effect</w:t>
            </w:r>
          </w:p>
        </w:tc>
      </w:tr>
      <w:tr>
        <w:tc>
          <w:tcPr>
            <w:tcW w:type="dxa" w:w="1944"/>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Customer self-help</w:t>
            </w:r>
          </w:p>
        </w:tc>
        <w:tc>
          <w:tcPr>
            <w:tcW w:type="dxa" w:w="3024"/>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Safety and eligibility rules</w:t>
            </w:r>
          </w:p>
        </w:tc>
        <w:tc>
          <w:tcPr>
            <w:tcW w:type="dxa" w:w="309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Draft bilingual instructions</w:t>
            </w:r>
          </w:p>
        </w:tc>
        <w:tc>
          <w:tcPr>
            <w:tcW w:type="dxa" w:w="208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Optional review</w:t>
            </w:r>
          </w:p>
        </w:tc>
      </w:tr>
      <w:tr>
        <w:tc>
          <w:tcPr>
            <w:tcW w:type="dxa" w:w="1944"/>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Dispatch</w:t>
            </w:r>
          </w:p>
        </w:tc>
        <w:tc>
          <w:tcPr>
            <w:tcW w:type="dxa" w:w="3024"/>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Constraint solver / fixture schedule</w:t>
            </w:r>
          </w:p>
        </w:tc>
        <w:tc>
          <w:tcPr>
            <w:tcW w:type="dxa" w:w="309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Prepare requirements and rationale</w:t>
            </w:r>
          </w:p>
        </w:tc>
        <w:tc>
          <w:tcPr>
            <w:tcW w:type="dxa" w:w="208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Commit slot</w:t>
            </w:r>
          </w:p>
        </w:tc>
      </w:tr>
      <w:tr>
        <w:tc>
          <w:tcPr>
            <w:tcW w:type="dxa" w:w="1944"/>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Tap/ODP handover</w:t>
            </w:r>
          </w:p>
        </w:tc>
        <w:tc>
          <w:tcPr>
            <w:tcW w:type="dxa" w:w="3024"/>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Evidence completeness and deduplication</w:t>
            </w:r>
          </w:p>
        </w:tc>
        <w:tc>
          <w:tcPr>
            <w:tcW w:type="dxa" w:w="309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Draft structured narrative</w:t>
            </w:r>
          </w:p>
        </w:tc>
        <w:tc>
          <w:tcPr>
            <w:tcW w:type="dxa" w:w="208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Accept responsibility change</w:t>
            </w:r>
          </w:p>
        </w:tc>
      </w:tr>
      <w:tr>
        <w:tc>
          <w:tcPr>
            <w:tcW w:type="dxa" w:w="1944"/>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Restoration</w:t>
            </w:r>
          </w:p>
        </w:tc>
        <w:tc>
          <w:tcPr>
            <w:tcW w:type="dxa" w:w="3024"/>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Thresholds, tests and stability window</w:t>
            </w:r>
          </w:p>
        </w:tc>
        <w:tc>
          <w:tcPr>
            <w:tcW w:type="dxa" w:w="309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Summarize evidence</w:t>
            </w:r>
          </w:p>
        </w:tc>
        <w:tc>
          <w:tcPr>
            <w:tcW w:type="dxa" w:w="208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Exceptional closure only</w:t>
            </w:r>
          </w:p>
        </w:tc>
      </w:tr>
      <w:tr>
        <w:tc>
          <w:tcPr>
            <w:tcW w:type="dxa" w:w="1944"/>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KPI calculation</w:t>
            </w:r>
          </w:p>
        </w:tc>
        <w:tc>
          <w:tcPr>
            <w:tcW w:type="dxa" w:w="3024"/>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Required</w:t>
            </w:r>
          </w:p>
        </w:tc>
        <w:tc>
          <w:tcPr>
            <w:tcW w:type="dxa" w:w="309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None</w:t>
            </w:r>
          </w:p>
        </w:tc>
        <w:tc>
          <w:tcPr>
            <w:tcW w:type="dxa" w:w="208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None</w:t>
            </w:r>
          </w:p>
        </w:tc>
      </w:tr>
    </w:tbl>
    <w:p>
      <w:pPr>
        <w:spacing w:after="0"/>
      </w:pPr>
    </w:p>
    <w:p>
      <w:pPr>
        <w:pStyle w:val="Heading2"/>
      </w:pPr>
      <w:r>
        <w:t>5.2 Decision fusion</w:t>
      </w:r>
    </w:p>
    <w:p>
      <w:pPr>
        <w:jc w:val="center"/>
      </w:pPr>
      <w:r>
        <w:drawing>
          <wp:inline xmlns:a="http://schemas.openxmlformats.org/drawingml/2006/main" xmlns:pic="http://schemas.openxmlformats.org/drawingml/2006/picture">
            <wp:extent cx="5806440" cy="3693645"/>
            <wp:docPr id="3" name="Picture 3"/>
            <wp:cNvGraphicFramePr>
              <a:graphicFrameLocks noChangeAspect="1"/>
            </wp:cNvGraphicFramePr>
            <a:graphic>
              <a:graphicData uri="http://schemas.openxmlformats.org/drawingml/2006/picture">
                <pic:pic>
                  <pic:nvPicPr>
                    <pic:cNvPr id="0" name="decision_fusion.png"/>
                    <pic:cNvPicPr/>
                  </pic:nvPicPr>
                  <pic:blipFill>
                    <a:blip r:embed="rId13"/>
                    <a:stretch>
                      <a:fillRect/>
                    </a:stretch>
                  </pic:blipFill>
                  <pic:spPr>
                    <a:xfrm>
                      <a:off x="0" y="0"/>
                      <a:ext cx="5806440" cy="3693645"/>
                    </a:xfrm>
                    <a:prstGeom prst="rect"/>
                  </pic:spPr>
                </pic:pic>
              </a:graphicData>
            </a:graphic>
          </wp:inline>
        </w:drawing>
      </w:r>
    </w:p>
    <w:p>
      <w:pPr>
        <w:spacing w:after="120"/>
        <w:jc w:val="center"/>
      </w:pPr>
      <w:r>
        <w:rPr>
          <w:rFonts w:ascii="Liberation Sans" w:hAnsi="Liberation Sans"/>
          <w:i/>
          <w:color w:val="666666"/>
          <w:sz w:val="16"/>
        </w:rPr>
        <w:t>Figure 3. Deterministic facts and LLM-assisted analysis are fused, policy-gated, and stored as an immutable decision record before routing.</w:t>
      </w:r>
    </w:p>
    <w:p>
      <w:pPr>
        <w:pStyle w:val="Heading2"/>
      </w:pPr>
      <w:r>
        <w:t>5.3 LLM RCA contract</w:t>
      </w:r>
    </w:p>
    <w:p>
      <w:r>
        <w:t>The RCA assistant receives a compact redacted evidence packet and returns a validated structured object. It does not receive write tools. The assistant must cite evidence IDs rather than restating raw customer data.</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232"/>
            <w:shd w:fill="173F68"/>
            <w:vAlign w:val="center"/>
            <w:tcMar>
              <w:top w:w="55" w:type="dxa"/>
              <w:start w:w="70" w:type="dxa"/>
              <w:bottom w:w="55" w:type="dxa"/>
              <w:end w:w="70" w:type="dxa"/>
            </w:tcMar>
          </w:tcPr>
          <w:p>
            <w:pPr>
              <w:jc w:val="left"/>
            </w:pPr>
            <w:r>
              <w:rPr>
                <w:rFonts w:ascii="Liberation Sans" w:hAnsi="Liberation Sans"/>
                <w:b/>
                <w:color w:val="FFFFFF"/>
                <w:sz w:val="14"/>
              </w:rPr>
              <w:t>Field</w:t>
            </w:r>
          </w:p>
        </w:tc>
        <w:tc>
          <w:tcPr>
            <w:tcW w:type="dxa" w:w="7776"/>
            <w:shd w:fill="173F68"/>
            <w:vAlign w:val="center"/>
            <w:tcMar>
              <w:top w:w="55" w:type="dxa"/>
              <w:start w:w="70" w:type="dxa"/>
              <w:bottom w:w="55" w:type="dxa"/>
              <w:end w:w="70" w:type="dxa"/>
            </w:tcMar>
          </w:tcPr>
          <w:p>
            <w:pPr>
              <w:jc w:val="left"/>
            </w:pPr>
            <w:r>
              <w:rPr>
                <w:rFonts w:ascii="Liberation Sans" w:hAnsi="Liberation Sans"/>
                <w:b/>
                <w:color w:val="FFFFFF"/>
                <w:sz w:val="14"/>
              </w:rPr>
              <w:t>Requirement</w:t>
            </w:r>
          </w:p>
        </w:tc>
      </w:tr>
      <w:tr>
        <w:tc>
          <w:tcPr>
            <w:tcW w:type="dxa" w:w="223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llm_recommended_domain</w:t>
            </w:r>
          </w:p>
        </w:tc>
        <w:tc>
          <w:tcPr>
            <w:tcW w:type="dxa" w:w="777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One controlled value: cpe, wifi_or_home, premise_wiring, drop, hfc_tap, pon_odp, shared_network, plant, provisioning or unknown</w:t>
            </w:r>
          </w:p>
        </w:tc>
      </w:tr>
      <w:tr>
        <w:tc>
          <w:tcPr>
            <w:tcW w:type="dxa" w:w="223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deterministic_domain</w:t>
            </w:r>
          </w:p>
        </w:tc>
        <w:tc>
          <w:tcPr>
            <w:tcW w:type="dxa" w:w="777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Copied from the deterministic RCA result; never authored by the model</w:t>
            </w:r>
          </w:p>
        </w:tc>
      </w:tr>
      <w:tr>
        <w:tc>
          <w:tcPr>
            <w:tcW w:type="dxa" w:w="223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domain_agreement</w:t>
            </w:r>
          </w:p>
        </w:tc>
        <w:tc>
          <w:tcPr>
            <w:tcW w:type="dxa" w:w="777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agree or disagree; disagreement forces the human RCA gate</w:t>
            </w:r>
          </w:p>
        </w:tc>
      </w:tr>
      <w:tr>
        <w:tc>
          <w:tcPr>
            <w:tcW w:type="dxa" w:w="223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gate_reason</w:t>
            </w:r>
          </w:p>
        </w:tc>
        <w:tc>
          <w:tcPr>
            <w:tcW w:type="dxa" w:w="777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low_confidence, domain_disagreement, stale_evidence, policy or none</w:t>
            </w:r>
          </w:p>
        </w:tc>
      </w:tr>
      <w:tr>
        <w:tc>
          <w:tcPr>
            <w:tcW w:type="dxa" w:w="223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hypotheses</w:t>
            </w:r>
          </w:p>
        </w:tc>
        <w:tc>
          <w:tcPr>
            <w:tcW w:type="dxa" w:w="777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Ranked list with probability, supporting evidence IDs and contradicting evidence IDs</w:t>
            </w:r>
          </w:p>
        </w:tc>
      </w:tr>
      <w:tr>
        <w:tc>
          <w:tcPr>
            <w:tcW w:type="dxa" w:w="223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confidence</w:t>
            </w:r>
          </w:p>
        </w:tc>
        <w:tc>
          <w:tcPr>
            <w:tcW w:type="dxa" w:w="777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0.0-1.0; used as a proposal, not an authorization</w:t>
            </w:r>
          </w:p>
        </w:tc>
      </w:tr>
      <w:tr>
        <w:tc>
          <w:tcPr>
            <w:tcW w:type="dxa" w:w="223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missing_evidence</w:t>
            </w:r>
          </w:p>
        </w:tc>
        <w:tc>
          <w:tcPr>
            <w:tcW w:type="dxa" w:w="777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Tests or data required to reduce uncertainty</w:t>
            </w:r>
          </w:p>
        </w:tc>
      </w:tr>
      <w:tr>
        <w:tc>
          <w:tcPr>
            <w:tcW w:type="dxa" w:w="223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ruled_out</w:t>
            </w:r>
          </w:p>
        </w:tc>
        <w:tc>
          <w:tcPr>
            <w:tcW w:type="dxa" w:w="777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Causes excluded and the evidence supporting exclusion</w:t>
            </w:r>
          </w:p>
        </w:tc>
      </w:tr>
      <w:tr>
        <w:tc>
          <w:tcPr>
            <w:tcW w:type="dxa" w:w="223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recommended_tests</w:t>
            </w:r>
          </w:p>
        </w:tc>
        <w:tc>
          <w:tcPr>
            <w:tcW w:type="dxa" w:w="777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Read-only tests only</w:t>
            </w:r>
          </w:p>
        </w:tc>
      </w:tr>
      <w:tr>
        <w:tc>
          <w:tcPr>
            <w:tcW w:type="dxa" w:w="223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concise_rationale</w:t>
            </w:r>
          </w:p>
        </w:tc>
        <w:tc>
          <w:tcPr>
            <w:tcW w:type="dxa" w:w="777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Short operator-facing explanation; no hidden reasoning trace</w:t>
            </w:r>
          </w:p>
        </w:tc>
      </w:tr>
      <w:tr>
        <w:tc>
          <w:tcPr>
            <w:tcW w:type="dxa" w:w="223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model_metadata</w:t>
            </w:r>
          </w:p>
        </w:tc>
        <w:tc>
          <w:tcPr>
            <w:tcW w:type="dxa" w:w="777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Provider, model, prompt version, latency and token/cost metadata</w:t>
            </w:r>
          </w:p>
        </w:tc>
      </w:tr>
    </w:tbl>
    <w:p>
      <w:pPr>
        <w:spacing w:after="0"/>
      </w:pPr>
    </w:p>
    <w:p>
      <w:pPr>
        <w:pStyle w:val="Heading2"/>
      </w:pPr>
      <w:r>
        <w:t>5.4 Best and next-best action contract</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232"/>
            <w:shd w:fill="17365D"/>
            <w:vAlign w:val="center"/>
            <w:tcMar>
              <w:top w:w="70" w:type="dxa"/>
              <w:start w:w="100" w:type="dxa"/>
              <w:bottom w:w="70" w:type="dxa"/>
              <w:end w:w="100" w:type="dxa"/>
            </w:tcMar>
          </w:tcPr>
          <w:p>
            <w:r>
              <w:rPr>
                <w:rFonts w:ascii="Liberation Sans" w:hAnsi="Liberation Sans"/>
                <w:b/>
                <w:color w:val="FFFFFF"/>
                <w:sz w:val="16"/>
              </w:rPr>
              <w:t>Field</w:t>
            </w:r>
          </w:p>
        </w:tc>
        <w:tc>
          <w:tcPr>
            <w:tcW w:type="dxa" w:w="7776"/>
            <w:shd w:fill="17365D"/>
            <w:vAlign w:val="center"/>
            <w:tcMar>
              <w:top w:w="70" w:type="dxa"/>
              <w:start w:w="100" w:type="dxa"/>
              <w:bottom w:w="70" w:type="dxa"/>
              <w:end w:w="100" w:type="dxa"/>
            </w:tcMar>
          </w:tcPr>
          <w:p>
            <w:r>
              <w:rPr>
                <w:rFonts w:ascii="Liberation Sans" w:hAnsi="Liberation Sans"/>
                <w:b/>
                <w:color w:val="FFFFFF"/>
                <w:sz w:val="16"/>
              </w:rPr>
              <w:t>Requirement</w:t>
            </w:r>
          </w:p>
        </w:tc>
      </w:tr>
      <w:tr>
        <w:tc>
          <w:tcPr>
            <w:tcW w:type="dxa" w:w="22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best_action</w:t>
            </w:r>
          </w:p>
        </w:tc>
        <w:tc>
          <w:tcPr>
            <w:tcW w:type="dxa" w:w="77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Preferred action under current evidence and constraints</w:t>
            </w:r>
          </w:p>
        </w:tc>
      </w:tr>
      <w:tr>
        <w:tc>
          <w:tcPr>
            <w:tcW w:type="dxa" w:w="22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next_best_action</w:t>
            </w:r>
          </w:p>
        </w:tc>
        <w:tc>
          <w:tcPr>
            <w:tcW w:type="dxa" w:w="77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Fallback when the preferred action is unavailable, blocked or unsuccessful</w:t>
            </w:r>
          </w:p>
        </w:tc>
      </w:tr>
      <w:tr>
        <w:tc>
          <w:tcPr>
            <w:tcW w:type="dxa" w:w="22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fallback_trigger</w:t>
            </w:r>
          </w:p>
        </w:tc>
        <w:tc>
          <w:tcPr>
            <w:tcW w:type="dxa" w:w="77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Observable condition that causes transition to the next action</w:t>
            </w:r>
          </w:p>
        </w:tc>
      </w:tr>
      <w:tr>
        <w:tc>
          <w:tcPr>
            <w:tcW w:type="dxa" w:w="22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do_not_repeat</w:t>
            </w:r>
          </w:p>
        </w:tc>
        <w:tc>
          <w:tcPr>
            <w:tcW w:type="dxa" w:w="77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Action and attempt condition that forces re-diagnosis</w:t>
            </w:r>
          </w:p>
        </w:tc>
      </w:tr>
      <w:tr>
        <w:tc>
          <w:tcPr>
            <w:tcW w:type="dxa" w:w="22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expected_success</w:t>
            </w:r>
          </w:p>
        </w:tc>
        <w:tc>
          <w:tcPr>
            <w:tcW w:type="dxa" w:w="77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Deterministically supplied probability or band</w:t>
            </w:r>
          </w:p>
        </w:tc>
      </w:tr>
      <w:tr>
        <w:tc>
          <w:tcPr>
            <w:tcW w:type="dxa" w:w="22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expected_duration</w:t>
            </w:r>
          </w:p>
        </w:tc>
        <w:tc>
          <w:tcPr>
            <w:tcW w:type="dxa" w:w="77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Deterministically supplied estimate or fixture value</w:t>
            </w:r>
          </w:p>
        </w:tc>
      </w:tr>
      <w:tr>
        <w:tc>
          <w:tcPr>
            <w:tcW w:type="dxa" w:w="22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cost_class / risk_class</w:t>
            </w:r>
          </w:p>
        </w:tc>
        <w:tc>
          <w:tcPr>
            <w:tcW w:type="dxa" w:w="77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Controlled categories used by policy</w:t>
            </w:r>
          </w:p>
        </w:tc>
      </w:tr>
      <w:tr>
        <w:tc>
          <w:tcPr>
            <w:tcW w:type="dxa" w:w="22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success_test</w:t>
            </w:r>
          </w:p>
        </w:tc>
        <w:tc>
          <w:tcPr>
            <w:tcW w:type="dxa" w:w="77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Telemetry or service-test condition that must pass</w:t>
            </w:r>
          </w:p>
        </w:tc>
      </w:tr>
      <w:tr>
        <w:tc>
          <w:tcPr>
            <w:tcW w:type="dxa" w:w="22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required_evidence</w:t>
            </w:r>
          </w:p>
        </w:tc>
        <w:tc>
          <w:tcPr>
            <w:tcW w:type="dxa" w:w="77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Evidence needed before action can execute</w:t>
            </w:r>
          </w:p>
        </w:tc>
      </w:tr>
    </w:tbl>
    <w:p>
      <w:pPr>
        <w:spacing w:after="0"/>
      </w:pPr>
    </w:p>
    <w:p>
      <w:pPr>
        <w:pStyle w:val="Heading2"/>
      </w:pPr>
      <w:r>
        <w:t>5.5 Staleness and revision rules</w:t>
      </w:r>
    </w:p>
    <w:p>
      <w:pPr>
        <w:pStyle w:val="ListBullet"/>
        <w:ind w:left="331" w:hanging="173"/>
      </w:pPr>
      <w:r>
        <w:t>Every recommendation has a decision ID, created time, expiry time, evidence references, model version, prompt version and policy version.</w:t>
      </w:r>
    </w:p>
    <w:p>
      <w:pPr>
        <w:pStyle w:val="ListBullet"/>
        <w:ind w:left="331" w:hanging="173"/>
      </w:pPr>
      <w:r>
        <w:t>A recommendation becomes stale when new evidence arrives, the fault domain changes, telemetry exceeds its freshness threshold, an action completes, a work order or MR changes status, or SLA context materially changes.</w:t>
      </w:r>
    </w:p>
    <w:p>
      <w:pPr>
        <w:pStyle w:val="ListBullet"/>
        <w:ind w:left="331" w:hanging="173"/>
      </w:pPr>
      <w:r>
        <w:t>The UI never silently overwrites an earlier proposal. Human edits and later model calls create new decision revisions linked to the same incident.</w:t>
      </w:r>
    </w:p>
    <w:p>
      <w:pPr>
        <w:pStyle w:val="ListBullet"/>
        <w:ind w:left="331" w:hanging="173"/>
      </w:pPr>
      <w:r>
        <w:t>The UI shows agreement, disagreement, missing evidence and human override reason; it does not expose private chain-of-thought.</w:t>
      </w:r>
    </w:p>
    <w:p>
      <w:pPr>
        <w:pStyle w:val="Heading1"/>
        <w:pBdr>
          <w:bottom w:val="single" w:sz="8" w:space="1" w:color="DDEBF7"/>
        </w:pBdr>
      </w:pPr>
      <w:r>
        <w:t>6. MCP and simulated LPR system contracts</w:t>
      </w:r>
    </w:p>
    <w:p>
      <w:pPr>
        <w:pStyle w:val="Heading2"/>
      </w:pPr>
      <w:r>
        <w:t>6.1 Recommended MCP pattern</w:t>
      </w:r>
    </w:p>
    <w:p>
      <w:r>
        <w:t>MCP is the tool and context interface. The LLM provider call remains in the API service through a model adapter. The build selects one explicit protocol profile. The simple default is langchain_legacy: langchain-mcp-adapters 0.3.2 with mcp&lt;2 and the handshake-era protocol. A modern profile may use MCP Python SDK 2.0 and protocol 2026-07-28 only after a contract test proves the chosen LangChain integration. Silent negotiation or dependency downgrade is a build failure. [O3][O6][O8][O9][O10]</w:t>
      </w:r>
    </w:p>
    <w:tbl>
      <w:tblPr>
        <w:tblW w:type="auto" w:w="0"/>
        <w:jc w:val="center"/>
        <w:tblLook w:firstColumn="1" w:firstRow="1" w:lastColumn="0" w:lastRow="0" w:noHBand="0" w:noVBand="1" w:val="04A0"/>
      </w:tblPr>
      <w:tblGrid>
        <w:gridCol w:w="10282"/>
      </w:tblGrid>
      <w:tr>
        <w:tc>
          <w:tcPr>
            <w:tcW w:type="dxa" w:w="10282"/>
            <w:shd w:fill="DDEBF7"/>
            <w:tcBorders>
              <w:top w:val="single" w:sz="8" w:color="2F75B5"/>
              <w:left w:val="single" w:sz="8" w:color="2F75B5"/>
              <w:bottom w:val="single" w:sz="8" w:color="2F75B5"/>
              <w:right w:val="single" w:sz="8" w:color="2F75B5"/>
            </w:tcBorders>
            <w:tcMar>
              <w:top w:w="55" w:type="dxa"/>
              <w:start w:w="70" w:type="dxa"/>
              <w:bottom w:w="55" w:type="dxa"/>
              <w:end w:w="70" w:type="dxa"/>
            </w:tcMar>
            <w:vAlign w:val="center"/>
          </w:tcPr>
          <w:p>
            <w:pPr>
              <w:jc w:val="left"/>
            </w:pPr>
            <w:r>
              <w:rPr>
                <w:rFonts w:ascii="Liberation Sans" w:hAnsi="Liberation Sans"/>
                <w:b/>
                <w:color w:val="17365D"/>
                <w:sz w:val="19"/>
              </w:rPr>
              <w:t>Security and execution boundary  Only read-only tools are exposed to the LLM. The graph executes every MCP call. A side-effecting tool first returns a prior result for a consumed idempotency key, then validates approval ownership, action type and status, performs the simulated effect, stores the result, and consumes the approval atomically.</w:t>
            </w:r>
          </w:p>
        </w:tc>
      </w:tr>
    </w:tbl>
    <w:p>
      <w:pPr>
        <w:spacing w:after="0"/>
      </w:pPr>
    </w:p>
    <w:p>
      <w:pPr>
        <w:pStyle w:val="Heading2"/>
      </w:pPr>
      <w:r>
        <w:t>6.2 Read-only tool set</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880"/>
            <w:shd w:fill="17365D"/>
            <w:vAlign w:val="center"/>
            <w:tcMar>
              <w:top w:w="70" w:type="dxa"/>
              <w:start w:w="100" w:type="dxa"/>
              <w:bottom w:w="70" w:type="dxa"/>
              <w:end w:w="100" w:type="dxa"/>
            </w:tcMar>
          </w:tcPr>
          <w:p>
            <w:r>
              <w:rPr>
                <w:rFonts w:ascii="Liberation Sans" w:hAnsi="Liberation Sans"/>
                <w:b/>
                <w:color w:val="FFFFFF"/>
                <w:sz w:val="16"/>
              </w:rPr>
              <w:t>Tool</w:t>
            </w:r>
          </w:p>
        </w:tc>
        <w:tc>
          <w:tcPr>
            <w:tcW w:type="dxa" w:w="7128"/>
            <w:shd w:fill="17365D"/>
            <w:vAlign w:val="center"/>
            <w:tcMar>
              <w:top w:w="70" w:type="dxa"/>
              <w:start w:w="100" w:type="dxa"/>
              <w:bottom w:w="70" w:type="dxa"/>
              <w:end w:w="100" w:type="dxa"/>
            </w:tcMar>
          </w:tcPr>
          <w:p>
            <w:r>
              <w:rPr>
                <w:rFonts w:ascii="Liberation Sans" w:hAnsi="Liberation Sans"/>
                <w:b/>
                <w:color w:val="FFFFFF"/>
                <w:sz w:val="16"/>
              </w:rPr>
              <w:t>Returns</w:t>
            </w:r>
          </w:p>
        </w:tc>
      </w:tr>
      <w:tr>
        <w:tc>
          <w:tcPr>
            <w:tcW w:type="dxa" w:w="28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get_nxt_snapshot</w:t>
            </w:r>
          </w:p>
        </w:tc>
        <w:tc>
          <w:tcPr>
            <w:tcW w:type="dxa" w:w="712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Alarm, health band, measurements, observation time and evidence IDs</w:t>
            </w:r>
          </w:p>
        </w:tc>
      </w:tr>
      <w:tr>
        <w:tc>
          <w:tcPr>
            <w:tcW w:type="dxa" w:w="28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get_nxt_trend</w:t>
            </w:r>
          </w:p>
        </w:tc>
        <w:tc>
          <w:tcPr>
            <w:tcW w:type="dxa" w:w="712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Time-series trend summary and affected-subscriber pattern</w:t>
            </w:r>
          </w:p>
        </w:tc>
      </w:tr>
      <w:tr>
        <w:tc>
          <w:tcPr>
            <w:tcW w:type="dxa" w:w="28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get_topology</w:t>
            </w:r>
          </w:p>
        </w:tc>
        <w:tc>
          <w:tcPr>
            <w:tcW w:type="dxa" w:w="712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Customer/service/CPE to tap or ODP and upstream plant</w:t>
            </w:r>
          </w:p>
        </w:tc>
      </w:tr>
      <w:tr>
        <w:tc>
          <w:tcPr>
            <w:tcW w:type="dxa" w:w="28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get_prior_incidents</w:t>
            </w:r>
          </w:p>
        </w:tc>
        <w:tc>
          <w:tcPr>
            <w:tcW w:type="dxa" w:w="712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Recent related incidents and confirmed outcomes</w:t>
            </w:r>
          </w:p>
        </w:tc>
      </w:tr>
      <w:tr>
        <w:tc>
          <w:tcPr>
            <w:tcW w:type="dxa" w:w="28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get_prior_work_orders</w:t>
            </w:r>
          </w:p>
        </w:tc>
        <w:tc>
          <w:tcPr>
            <w:tcW w:type="dxa" w:w="712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Clean/Dirty visits, parts, findings and repeat count</w:t>
            </w:r>
          </w:p>
        </w:tc>
      </w:tr>
      <w:tr>
        <w:tc>
          <w:tcPr>
            <w:tcW w:type="dxa" w:w="28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find_existing_mr</w:t>
            </w:r>
          </w:p>
        </w:tc>
        <w:tc>
          <w:tcPr>
            <w:tcW w:type="dxa" w:w="712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Related jTrack MR or null</w:t>
            </w:r>
          </w:p>
        </w:tc>
      </w:tr>
      <w:tr>
        <w:tc>
          <w:tcPr>
            <w:tcW w:type="dxa" w:w="28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run_read_only_cpe_test</w:t>
            </w:r>
          </w:p>
        </w:tc>
        <w:tc>
          <w:tcPr>
            <w:tcW w:type="dxa" w:w="712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Typed test result with units, threshold and timestamp</w:t>
            </w:r>
          </w:p>
        </w:tc>
      </w:tr>
      <w:tr>
        <w:tc>
          <w:tcPr>
            <w:tcW w:type="dxa" w:w="28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search_procedure</w:t>
            </w:r>
          </w:p>
        </w:tc>
        <w:tc>
          <w:tcPr>
            <w:tcW w:type="dxa" w:w="712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Approved procedure excerpts and source metadata</w:t>
            </w:r>
          </w:p>
        </w:tc>
      </w:tr>
    </w:tbl>
    <w:p>
      <w:pPr>
        <w:spacing w:after="0"/>
      </w:pPr>
    </w:p>
    <w:p>
      <w:pPr>
        <w:pStyle w:val="Heading2"/>
      </w:pPr>
      <w:r>
        <w:t>6.3 Side-effecting demo tools</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448"/>
            <w:shd w:fill="173F68"/>
            <w:vAlign w:val="center"/>
            <w:tcMar>
              <w:top w:w="55" w:type="dxa"/>
              <w:start w:w="70" w:type="dxa"/>
              <w:bottom w:w="55" w:type="dxa"/>
              <w:end w:w="70" w:type="dxa"/>
            </w:tcMar>
          </w:tcPr>
          <w:p>
            <w:pPr>
              <w:jc w:val="left"/>
            </w:pPr>
            <w:r>
              <w:rPr>
                <w:rFonts w:ascii="Liberation Sans" w:hAnsi="Liberation Sans"/>
                <w:b/>
                <w:color w:val="FFFFFF"/>
                <w:sz w:val="14"/>
              </w:rPr>
              <w:t>Tool</w:t>
            </w:r>
          </w:p>
        </w:tc>
        <w:tc>
          <w:tcPr>
            <w:tcW w:type="dxa" w:w="5256"/>
            <w:shd w:fill="173F68"/>
            <w:vAlign w:val="center"/>
            <w:tcMar>
              <w:top w:w="55" w:type="dxa"/>
              <w:start w:w="70" w:type="dxa"/>
              <w:bottom w:w="55" w:type="dxa"/>
              <w:end w:w="70" w:type="dxa"/>
            </w:tcMar>
          </w:tcPr>
          <w:p>
            <w:pPr>
              <w:jc w:val="left"/>
            </w:pPr>
            <w:r>
              <w:rPr>
                <w:rFonts w:ascii="Liberation Sans" w:hAnsi="Liberation Sans"/>
                <w:b/>
                <w:color w:val="FFFFFF"/>
                <w:sz w:val="14"/>
              </w:rPr>
              <w:t>Required controls</w:t>
            </w:r>
          </w:p>
        </w:tc>
        <w:tc>
          <w:tcPr>
            <w:tcW w:type="dxa" w:w="2304"/>
            <w:shd w:fill="173F68"/>
            <w:vAlign w:val="center"/>
            <w:tcMar>
              <w:top w:w="55" w:type="dxa"/>
              <w:start w:w="70" w:type="dxa"/>
              <w:bottom w:w="55" w:type="dxa"/>
              <w:end w:w="70" w:type="dxa"/>
            </w:tcMar>
          </w:tcPr>
          <w:p>
            <w:pPr>
              <w:jc w:val="left"/>
            </w:pPr>
            <w:r>
              <w:rPr>
                <w:rFonts w:ascii="Liberation Sans" w:hAnsi="Liberation Sans"/>
                <w:b/>
                <w:color w:val="FFFFFF"/>
                <w:sz w:val="14"/>
              </w:rPr>
              <w:t>Mock result</w:t>
            </w:r>
          </w:p>
        </w:tc>
      </w:tr>
      <w:tr>
        <w:tc>
          <w:tcPr>
            <w:tcW w:type="dxa" w:w="24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simulate_remote_action</w:t>
            </w:r>
          </w:p>
        </w:tc>
        <w:tc>
          <w:tcPr>
            <w:tcW w:type="dxa" w:w="525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Approval exists, incident/action match, allowlist, attempt, idempotency lookup</w:t>
            </w:r>
          </w:p>
        </w:tc>
        <w:tc>
          <w:tcPr>
            <w:tcW w:type="dxa" w:w="2304"/>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ActionResult with simulated=True; replay returns stored result with replayed=True</w:t>
            </w:r>
          </w:p>
        </w:tc>
      </w:tr>
      <w:tr>
        <w:tc>
          <w:tcPr>
            <w:tcW w:type="dxa" w:w="24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create_clean_boots_work_order</w:t>
            </w:r>
          </w:p>
        </w:tc>
        <w:tc>
          <w:tcPr>
            <w:tcW w:type="dxa" w:w="525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Dispatch approval, crew requirement, access, parts, slot, unconsumed approval</w:t>
            </w:r>
          </w:p>
        </w:tc>
        <w:tc>
          <w:tcPr>
            <w:tcW w:type="dxa" w:w="2304"/>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One linked WorkOrder; duplicate resume returns prior WorkOrder</w:t>
            </w:r>
          </w:p>
        </w:tc>
      </w:tr>
      <w:tr>
        <w:tc>
          <w:tcPr>
            <w:tcW w:type="dxa" w:w="24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create_or_update_mr</w:t>
            </w:r>
          </w:p>
        </w:tc>
        <w:tc>
          <w:tcPr>
            <w:tcW w:type="dxa" w:w="525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Handover approval, exact tap/ODP, evidence completeness, outage/MR dedupe</w:t>
            </w:r>
          </w:p>
        </w:tc>
        <w:tc>
          <w:tcPr>
            <w:tcW w:type="dxa" w:w="2304"/>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One linked MR record; never a duplicate on replay</w:t>
            </w:r>
          </w:p>
        </w:tc>
      </w:tr>
      <w:tr>
        <w:tc>
          <w:tcPr>
            <w:tcW w:type="dxa" w:w="24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assign_dirty_boots</w:t>
            </w:r>
          </w:p>
        </w:tc>
        <w:tc>
          <w:tcPr>
            <w:tcW w:type="dxa" w:w="525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Accepted MR, matching approval and crew requirements</w:t>
            </w:r>
          </w:p>
        </w:tc>
        <w:tc>
          <w:tcPr>
            <w:tcW w:type="dxa" w:w="2304"/>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Simulated assignment and status timeline</w:t>
            </w:r>
          </w:p>
        </w:tc>
      </w:tr>
      <w:tr>
        <w:tc>
          <w:tcPr>
            <w:tcW w:type="dxa" w:w="244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close_linked_records</w:t>
            </w:r>
          </w:p>
        </w:tc>
        <w:tc>
          <w:tcPr>
            <w:tcW w:type="dxa" w:w="525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Passed validation or exceptional-closure approval</w:t>
            </w:r>
          </w:p>
        </w:tc>
        <w:tc>
          <w:tcPr>
            <w:tcW w:type="dxa" w:w="2304"/>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Reconciled simulated record statuses</w:t>
            </w:r>
          </w:p>
        </w:tc>
      </w:tr>
    </w:tbl>
    <w:p>
      <w:pPr>
        <w:pStyle w:val="Heading2"/>
      </w:pPr>
      <w:r>
        <w:t>6.4 Approval and execution rejection codes</w:t>
      </w:r>
    </w:p>
    <w:p>
      <w:r>
        <w:t>The MCP execution boundary returns typed rejection codes so the Streamlit workbench can prove that the approval gate is operational rather than decorative.</w:t>
      </w:r>
    </w:p>
    <w:tbl>
      <w:tblPr>
        <w:tblW w:type="auto" w:w="0"/>
        <w:tblLayout w:type="autofit"/>
        <w:tblLook w:firstColumn="1" w:firstRow="1" w:lastColumn="0" w:lastRow="0" w:noHBand="0" w:noVBand="1" w:val="04A0"/>
      </w:tblPr>
      <w:tblGrid>
        <w:gridCol w:w="5141"/>
        <w:gridCol w:w="5141"/>
      </w:tblGrid>
      <w:tr>
        <w:trPr>
          <w:tblHeader w:val="true"/>
        </w:trPr>
        <w:tc>
          <w:tcPr>
            <w:tcW w:type="dxa" w:w="3168"/>
            <w:vAlign w:val="center"/>
            <w:tcMar>
              <w:top w:w="55" w:type="dxa"/>
              <w:start w:w="70" w:type="dxa"/>
              <w:bottom w:w="55" w:type="dxa"/>
              <w:end w:w="70" w:type="dxa"/>
            </w:tcMar>
            <w:shd w:fill="173F68"/>
          </w:tcPr>
          <w:p>
            <w:pPr>
              <w:jc w:val="left"/>
            </w:pPr>
            <w:r>
              <w:rPr>
                <w:b/>
                <w:color w:val="FFFFFF"/>
                <w:sz w:val="14"/>
              </w:rPr>
              <w:t>Code</w:t>
            </w:r>
          </w:p>
        </w:tc>
        <w:tc>
          <w:tcPr>
            <w:tcW w:type="dxa" w:w="6912"/>
            <w:vAlign w:val="center"/>
            <w:tcMar>
              <w:top w:w="55" w:type="dxa"/>
              <w:start w:w="70" w:type="dxa"/>
              <w:bottom w:w="55" w:type="dxa"/>
              <w:end w:w="70" w:type="dxa"/>
            </w:tcMar>
            <w:shd w:fill="173F68"/>
          </w:tcPr>
          <w:p>
            <w:pPr>
              <w:jc w:val="left"/>
            </w:pPr>
            <w:r>
              <w:rPr>
                <w:b/>
                <w:color w:val="FFFFFF"/>
                <w:sz w:val="14"/>
              </w:rPr>
              <w:t>Meaning</w:t>
            </w:r>
          </w:p>
        </w:tc>
      </w:tr>
      <w:tr>
        <w:tc>
          <w:tcPr>
            <w:tcW w:type="dxa" w:w="3168"/>
            <w:vAlign w:val="center"/>
            <w:tcMar>
              <w:top w:w="55" w:type="dxa"/>
              <w:start w:w="70" w:type="dxa"/>
              <w:bottom w:w="55" w:type="dxa"/>
              <w:end w:w="70" w:type="dxa"/>
            </w:tcMar>
            <w:shd w:fill="FFFFFF"/>
          </w:tcPr>
          <w:p>
            <w:pPr>
              <w:jc w:val="left"/>
            </w:pPr>
            <w:r>
              <w:rPr>
                <w:b w:val="0"/>
                <w:sz w:val="14"/>
              </w:rPr>
              <w:t>APPROVAL_NOT_FOUND</w:t>
            </w:r>
          </w:p>
        </w:tc>
        <w:tc>
          <w:tcPr>
            <w:tcW w:type="dxa" w:w="6912"/>
            <w:vAlign w:val="center"/>
            <w:tcMar>
              <w:top w:w="55" w:type="dxa"/>
              <w:start w:w="70" w:type="dxa"/>
              <w:bottom w:w="55" w:type="dxa"/>
              <w:end w:w="70" w:type="dxa"/>
            </w:tcMar>
            <w:shd w:fill="FFFFFF"/>
          </w:tcPr>
          <w:p>
            <w:pPr>
              <w:jc w:val="left"/>
            </w:pPr>
            <w:r>
              <w:rPr>
                <w:b w:val="0"/>
                <w:sz w:val="14"/>
              </w:rPr>
              <w:t>No approval record exists.</w:t>
            </w:r>
          </w:p>
        </w:tc>
      </w:tr>
      <w:tr>
        <w:tc>
          <w:tcPr>
            <w:tcW w:type="dxa" w:w="3168"/>
            <w:vAlign w:val="center"/>
            <w:tcMar>
              <w:top w:w="55" w:type="dxa"/>
              <w:start w:w="70" w:type="dxa"/>
              <w:bottom w:w="55" w:type="dxa"/>
              <w:end w:w="70" w:type="dxa"/>
            </w:tcMar>
            <w:shd w:fill="FFFFFF"/>
          </w:tcPr>
          <w:p>
            <w:pPr>
              <w:jc w:val="left"/>
            </w:pPr>
            <w:r>
              <w:rPr>
                <w:b w:val="0"/>
                <w:sz w:val="14"/>
              </w:rPr>
              <w:t>APPROVAL_NOT_GRANTED</w:t>
            </w:r>
          </w:p>
        </w:tc>
        <w:tc>
          <w:tcPr>
            <w:tcW w:type="dxa" w:w="6912"/>
            <w:vAlign w:val="center"/>
            <w:tcMar>
              <w:top w:w="55" w:type="dxa"/>
              <w:start w:w="70" w:type="dxa"/>
              <w:bottom w:w="55" w:type="dxa"/>
              <w:end w:w="70" w:type="dxa"/>
            </w:tcMar>
            <w:shd w:fill="FFFFFF"/>
          </w:tcPr>
          <w:p>
            <w:pPr>
              <w:jc w:val="left"/>
            </w:pPr>
            <w:r>
              <w:rPr>
                <w:b w:val="0"/>
                <w:sz w:val="14"/>
              </w:rPr>
              <w:t>The approval is pending, rejected or expired.</w:t>
            </w:r>
          </w:p>
        </w:tc>
      </w:tr>
      <w:tr>
        <w:tc>
          <w:tcPr>
            <w:tcW w:type="dxa" w:w="3168"/>
            <w:vAlign w:val="center"/>
            <w:tcMar>
              <w:top w:w="55" w:type="dxa"/>
              <w:start w:w="70" w:type="dxa"/>
              <w:bottom w:w="55" w:type="dxa"/>
              <w:end w:w="70" w:type="dxa"/>
            </w:tcMar>
            <w:shd w:fill="FFFFFF"/>
          </w:tcPr>
          <w:p>
            <w:pPr>
              <w:jc w:val="left"/>
            </w:pPr>
            <w:r>
              <w:rPr>
                <w:b w:val="0"/>
                <w:sz w:val="14"/>
              </w:rPr>
              <w:t>APPROVAL_INCIDENT_MISMATCH</w:t>
            </w:r>
          </w:p>
        </w:tc>
        <w:tc>
          <w:tcPr>
            <w:tcW w:type="dxa" w:w="6912"/>
            <w:vAlign w:val="center"/>
            <w:tcMar>
              <w:top w:w="55" w:type="dxa"/>
              <w:start w:w="70" w:type="dxa"/>
              <w:bottom w:w="55" w:type="dxa"/>
              <w:end w:w="70" w:type="dxa"/>
            </w:tcMar>
            <w:shd w:fill="FFFFFF"/>
          </w:tcPr>
          <w:p>
            <w:pPr>
              <w:jc w:val="left"/>
            </w:pPr>
            <w:r>
              <w:rPr>
                <w:b w:val="0"/>
                <w:sz w:val="14"/>
              </w:rPr>
              <w:t>The approval belongs to another incident.</w:t>
            </w:r>
          </w:p>
        </w:tc>
      </w:tr>
      <w:tr>
        <w:tc>
          <w:tcPr>
            <w:tcW w:type="dxa" w:w="3168"/>
            <w:vAlign w:val="center"/>
            <w:tcMar>
              <w:top w:w="55" w:type="dxa"/>
              <w:start w:w="70" w:type="dxa"/>
              <w:bottom w:w="55" w:type="dxa"/>
              <w:end w:w="70" w:type="dxa"/>
            </w:tcMar>
            <w:shd w:fill="FFFFFF"/>
          </w:tcPr>
          <w:p>
            <w:pPr>
              <w:jc w:val="left"/>
            </w:pPr>
            <w:r>
              <w:rPr>
                <w:b w:val="0"/>
                <w:sz w:val="14"/>
              </w:rPr>
              <w:t>APPROVAL_ACTION_MISMATCH</w:t>
            </w:r>
          </w:p>
        </w:tc>
        <w:tc>
          <w:tcPr>
            <w:tcW w:type="dxa" w:w="6912"/>
            <w:vAlign w:val="center"/>
            <w:tcMar>
              <w:top w:w="55" w:type="dxa"/>
              <w:start w:w="70" w:type="dxa"/>
              <w:bottom w:w="55" w:type="dxa"/>
              <w:end w:w="70" w:type="dxa"/>
            </w:tcMar>
            <w:shd w:fill="FFFFFF"/>
          </w:tcPr>
          <w:p>
            <w:pPr>
              <w:jc w:val="left"/>
            </w:pPr>
            <w:r>
              <w:rPr>
                <w:b w:val="0"/>
                <w:sz w:val="14"/>
              </w:rPr>
              <w:t>The approval authorizes another action type.</w:t>
            </w:r>
          </w:p>
        </w:tc>
      </w:tr>
      <w:tr>
        <w:tc>
          <w:tcPr>
            <w:tcW w:type="dxa" w:w="3168"/>
            <w:vAlign w:val="center"/>
            <w:tcMar>
              <w:top w:w="55" w:type="dxa"/>
              <w:start w:w="70" w:type="dxa"/>
              <w:bottom w:w="55" w:type="dxa"/>
              <w:end w:w="70" w:type="dxa"/>
            </w:tcMar>
            <w:shd w:fill="FFFFFF"/>
          </w:tcPr>
          <w:p>
            <w:pPr>
              <w:jc w:val="left"/>
            </w:pPr>
            <w:r>
              <w:rPr>
                <w:b w:val="0"/>
                <w:sz w:val="14"/>
              </w:rPr>
              <w:t>APPROVAL_ALREADY_CONSUMED</w:t>
            </w:r>
          </w:p>
        </w:tc>
        <w:tc>
          <w:tcPr>
            <w:tcW w:type="dxa" w:w="6912"/>
            <w:vAlign w:val="center"/>
            <w:tcMar>
              <w:top w:w="55" w:type="dxa"/>
              <w:start w:w="70" w:type="dxa"/>
              <w:bottom w:w="55" w:type="dxa"/>
              <w:end w:w="70" w:type="dxa"/>
            </w:tcMar>
            <w:shd w:fill="FFFFFF"/>
          </w:tcPr>
          <w:p>
            <w:pPr>
              <w:jc w:val="left"/>
            </w:pPr>
            <w:r>
              <w:rPr>
                <w:b w:val="0"/>
                <w:sz w:val="14"/>
              </w:rPr>
              <w:t>The approval was already used; replay is accepted only through the matching idempotency key.</w:t>
            </w:r>
          </w:p>
        </w:tc>
      </w:tr>
    </w:tbl>
    <w:p>
      <w:pPr>
        <w:spacing w:after="0"/>
      </w:pPr>
    </w:p>
    <w:p>
      <w:pPr>
        <w:pStyle w:val="Heading2"/>
      </w:pPr>
      <w:r>
        <w:t>6.5 LPR evidence contract for MR creation</w:t>
      </w:r>
    </w:p>
    <w:p>
      <w:pPr>
        <w:pStyle w:val="ListBullet"/>
        <w:ind w:left="331" w:hanging="173"/>
      </w:pPr>
      <w:r>
        <w:t>Unchanged incident ID and SLA clock.</w:t>
      </w:r>
    </w:p>
    <w:p>
      <w:pPr>
        <w:pStyle w:val="ListBullet"/>
        <w:ind w:left="331" w:hanging="173"/>
      </w:pPr>
      <w:r>
        <w:t>HFC or PON technology and exact tap or ODP identifier.</w:t>
      </w:r>
    </w:p>
    <w:p>
      <w:pPr>
        <w:pStyle w:val="ListBullet"/>
        <w:ind w:left="331" w:hanging="173"/>
      </w:pPr>
      <w:r>
        <w:t>Customer, service, CPE, address/GIS and upstream topology references.</w:t>
      </w:r>
    </w:p>
    <w:p>
      <w:pPr>
        <w:pStyle w:val="ListBullet"/>
        <w:ind w:left="331" w:hanging="173"/>
      </w:pPr>
      <w:r>
        <w:t>Fault-domain classification and confidence.</w:t>
      </w:r>
    </w:p>
    <w:p>
      <w:pPr>
        <w:pStyle w:val="ListBullet"/>
        <w:ind w:left="331" w:hanging="173"/>
      </w:pPr>
      <w:r>
        <w:t>NXT-style alarms, trend and pre-fix snapshot.</w:t>
      </w:r>
    </w:p>
    <w:p>
      <w:pPr>
        <w:pStyle w:val="ListBullet"/>
        <w:ind w:left="331" w:hanging="173"/>
      </w:pPr>
      <w:r>
        <w:t>Remote/self-help actions and outcomes.</w:t>
      </w:r>
    </w:p>
    <w:p>
      <w:pPr>
        <w:pStyle w:val="ListBullet"/>
        <w:ind w:left="331" w:hanging="173"/>
      </w:pPr>
      <w:r>
        <w:t>Clean Boots tests, measurements, photos, parts, last clean point and first failed point.</w:t>
      </w:r>
    </w:p>
    <w:p>
      <w:pPr>
        <w:pStyle w:val="ListBullet"/>
        <w:ind w:left="331" w:hanging="173"/>
      </w:pPr>
      <w:r>
        <w:t>Existing outage and MR deduplication result.</w:t>
      </w:r>
    </w:p>
    <w:p>
      <w:pPr>
        <w:pStyle w:val="ListBullet"/>
        <w:ind w:left="331" w:hanging="173"/>
      </w:pPr>
      <w:r>
        <w:t>Required plant skill, tools, access, owner, priority and recommended action.</w:t>
      </w:r>
    </w:p>
    <w:p>
      <w:pPr>
        <w:pStyle w:val="ListBullet"/>
        <w:ind w:left="331" w:hanging="173"/>
      </w:pPr>
      <w:r>
        <w:t>MR acceptance, status, resolution code and post-fix evidence.</w:t>
      </w:r>
    </w:p>
    <w:p>
      <w:r>
        <w:t>The user-supplied LPR material treats jTrack as the MR system. Its vendor attribution and real API are not established in the source; the mockup therefore uses a generic adapter and simulation schema. [U3]</w:t>
      </w:r>
    </w:p>
    <w:p>
      <w:pPr>
        <w:pStyle w:val="Heading1"/>
        <w:pBdr>
          <w:bottom w:val="single" w:sz="8" w:space="1" w:color="DDEBF7"/>
        </w:pBdr>
      </w:pPr>
      <w:r>
        <w:t>7. Streamlit user experience</w:t>
      </w:r>
    </w:p>
    <w:p>
      <w:pPr>
        <w:pStyle w:val="Heading2"/>
      </w:pPr>
      <w:r>
        <w:t>7.1 Page structure</w:t>
      </w:r>
    </w:p>
    <w:p>
      <w:r>
        <w:t>Use a multipage Streamlit app defined with st.Page and st.navigation. Cockpit, incident-stage and decision-queue regions poll the FastAPI read model with st.fragment(run_every="2s"); the UI never reads the checkpointer. Streamlit remains suitable for the demonstration because it supports multipage navigation, forms, dialogs, independently rerunning fragments, interactive dataframes and Docker deployment. [O4][O5][O11]</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088"/>
            <w:shd w:fill="173F68"/>
            <w:vAlign w:val="center"/>
            <w:tcMar>
              <w:top w:w="55" w:type="dxa"/>
              <w:start w:w="70" w:type="dxa"/>
              <w:bottom w:w="55" w:type="dxa"/>
              <w:end w:w="70" w:type="dxa"/>
            </w:tcMar>
          </w:tcPr>
          <w:p>
            <w:pPr>
              <w:jc w:val="left"/>
            </w:pPr>
            <w:r>
              <w:rPr>
                <w:rFonts w:ascii="Liberation Sans" w:hAnsi="Liberation Sans"/>
                <w:b/>
                <w:color w:val="FFFFFF"/>
                <w:sz w:val="14"/>
              </w:rPr>
              <w:t>Page</w:t>
            </w:r>
          </w:p>
        </w:tc>
        <w:tc>
          <w:tcPr>
            <w:tcW w:type="dxa" w:w="4536"/>
            <w:shd w:fill="173F68"/>
            <w:vAlign w:val="center"/>
            <w:tcMar>
              <w:top w:w="55" w:type="dxa"/>
              <w:start w:w="70" w:type="dxa"/>
              <w:bottom w:w="55" w:type="dxa"/>
              <w:end w:w="70" w:type="dxa"/>
            </w:tcMar>
          </w:tcPr>
          <w:p>
            <w:pPr>
              <w:jc w:val="left"/>
            </w:pPr>
            <w:r>
              <w:rPr>
                <w:rFonts w:ascii="Liberation Sans" w:hAnsi="Liberation Sans"/>
                <w:b/>
                <w:color w:val="FFFFFF"/>
                <w:sz w:val="14"/>
              </w:rPr>
              <w:t>Purpose</w:t>
            </w:r>
          </w:p>
        </w:tc>
        <w:tc>
          <w:tcPr>
            <w:tcW w:type="dxa" w:w="3384"/>
            <w:shd w:fill="173F68"/>
            <w:vAlign w:val="center"/>
            <w:tcMar>
              <w:top w:w="55" w:type="dxa"/>
              <w:start w:w="70" w:type="dxa"/>
              <w:bottom w:w="55" w:type="dxa"/>
              <w:end w:w="70" w:type="dxa"/>
            </w:tcMar>
          </w:tcPr>
          <w:p>
            <w:pPr>
              <w:jc w:val="left"/>
            </w:pPr>
            <w:r>
              <w:rPr>
                <w:rFonts w:ascii="Liberation Sans" w:hAnsi="Liberation Sans"/>
                <w:b/>
                <w:color w:val="FFFFFF"/>
                <w:sz w:val="14"/>
              </w:rPr>
              <w:t>Key controls</w:t>
            </w:r>
          </w:p>
        </w:tc>
      </w:tr>
      <w:tr>
        <w:tc>
          <w:tcPr>
            <w:tcW w:type="dxa" w:w="208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Scenario Launcher</w:t>
            </w:r>
          </w:p>
        </w:tc>
        <w:tc>
          <w:tcPr>
            <w:tcW w:type="dxa" w:w="453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Create fixture incidents and choose fake or external model mode</w:t>
            </w:r>
          </w:p>
        </w:tc>
        <w:tc>
          <w:tcPr>
            <w:tcW w:type="dxa" w:w="3384"/>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Technology, scenario, auto-run-until-decision, start/reset</w:t>
            </w:r>
          </w:p>
        </w:tc>
      </w:tr>
      <w:tr>
        <w:tc>
          <w:tcPr>
            <w:tcW w:type="dxa" w:w="208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Operations Cockpit</w:t>
            </w:r>
          </w:p>
        </w:tc>
        <w:tc>
          <w:tcPr>
            <w:tcW w:type="dxa" w:w="453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Monitor open cases, workflow stages, pending decisions and demo KPI</w:t>
            </w:r>
          </w:p>
        </w:tc>
        <w:tc>
          <w:tcPr>
            <w:tcW w:type="dxa" w:w="3384"/>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2-second read-model fragment, filters, click-through</w:t>
            </w:r>
          </w:p>
        </w:tc>
      </w:tr>
      <w:tr>
        <w:tc>
          <w:tcPr>
            <w:tcW w:type="dxa" w:w="208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Incident Queue</w:t>
            </w:r>
          </w:p>
        </w:tc>
        <w:tc>
          <w:tcPr>
            <w:tcW w:type="dxa" w:w="453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Find and select cases</w:t>
            </w:r>
          </w:p>
        </w:tc>
        <w:tc>
          <w:tcPr>
            <w:tcW w:type="dxa" w:w="3384"/>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Interactive table, priority/stage/technology filters, 2-second refresh</w:t>
            </w:r>
          </w:p>
        </w:tc>
      </w:tr>
      <w:tr>
        <w:tc>
          <w:tcPr>
            <w:tcW w:type="dxa" w:w="208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Incident Workbench</w:t>
            </w:r>
          </w:p>
        </w:tc>
        <w:tc>
          <w:tcPr>
            <w:tcW w:type="dxa" w:w="453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Inspect evidence, both RCA domains, gate reason, best/next action, action history and current state</w:t>
            </w:r>
          </w:p>
        </w:tc>
        <w:tc>
          <w:tcPr>
            <w:tcW w:type="dxa" w:w="3384"/>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Request test, run next, open decision dialog, stale-proposal warning</w:t>
            </w:r>
          </w:p>
        </w:tc>
      </w:tr>
      <w:tr>
        <w:tc>
          <w:tcPr>
            <w:tcW w:type="dxa" w:w="208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Decision Center</w:t>
            </w:r>
          </w:p>
        </w:tc>
        <w:tc>
          <w:tcPr>
            <w:tcW w:type="dxa" w:w="453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Review all pending interrupts</w:t>
            </w:r>
          </w:p>
        </w:tc>
        <w:tc>
          <w:tcPr>
            <w:tcW w:type="dxa" w:w="3384"/>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Approve, edit, reject, request more evidence, escalate; 2-second refresh</w:t>
            </w:r>
          </w:p>
        </w:tc>
      </w:tr>
      <w:tr>
        <w:tc>
          <w:tcPr>
            <w:tcW w:type="dxa" w:w="208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Field and Handover</w:t>
            </w:r>
          </w:p>
        </w:tc>
        <w:tc>
          <w:tcPr>
            <w:tcW w:type="dxa" w:w="453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Review Clean/Dirty boundary, tap/ODP evidence, MR package and reverse handover</w:t>
            </w:r>
          </w:p>
        </w:tc>
        <w:tc>
          <w:tcPr>
            <w:tcW w:type="dxa" w:w="3384"/>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Accept, return for evidence, associate existing MR, reverse responsibility</w:t>
            </w:r>
          </w:p>
        </w:tc>
      </w:tr>
      <w:tr>
        <w:tc>
          <w:tcPr>
            <w:tcW w:type="dxa" w:w="208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System and Agent Monitor</w:t>
            </w:r>
          </w:p>
        </w:tc>
        <w:tc>
          <w:tcPr>
            <w:tcW w:type="dxa" w:w="453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Show service health, protocol profile, model calls, MCP tools, errors and current interrupts</w:t>
            </w:r>
          </w:p>
        </w:tc>
        <w:tc>
          <w:tcPr>
            <w:tcW w:type="dxa" w:w="3384"/>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Health refresh, protocol check, model switch in demo mode</w:t>
            </w:r>
          </w:p>
        </w:tc>
      </w:tr>
    </w:tbl>
    <w:p>
      <w:pPr>
        <w:spacing w:after="0"/>
      </w:pPr>
    </w:p>
    <w:p>
      <w:pPr>
        <w:pStyle w:val="Heading2"/>
      </w:pPr>
      <w:r>
        <w:t>7.2 Incident workbench wireframe</w:t>
      </w:r>
    </w:p>
    <w:p>
      <w:pPr>
        <w:jc w:val="center"/>
      </w:pPr>
      <w:r>
        <w:drawing>
          <wp:inline xmlns:a="http://schemas.openxmlformats.org/drawingml/2006/main" xmlns:pic="http://schemas.openxmlformats.org/drawingml/2006/picture">
            <wp:extent cx="6400800" cy="3636961"/>
            <wp:docPr id="4" name="Picture 4"/>
            <wp:cNvGraphicFramePr>
              <a:graphicFrameLocks noChangeAspect="1"/>
            </wp:cNvGraphicFramePr>
            <a:graphic>
              <a:graphicData uri="http://schemas.openxmlformats.org/drawingml/2006/picture">
                <pic:pic>
                  <pic:nvPicPr>
                    <pic:cNvPr id="0" name="gui_wireframe.png"/>
                    <pic:cNvPicPr/>
                  </pic:nvPicPr>
                  <pic:blipFill>
                    <a:blip r:embed="rId14"/>
                    <a:stretch>
                      <a:fillRect/>
                    </a:stretch>
                  </pic:blipFill>
                  <pic:spPr>
                    <a:xfrm>
                      <a:off x="0" y="0"/>
                      <a:ext cx="6400800" cy="3636961"/>
                    </a:xfrm>
                    <a:prstGeom prst="rect"/>
                  </pic:spPr>
                </pic:pic>
              </a:graphicData>
            </a:graphic>
          </wp:inline>
        </w:drawing>
      </w:r>
    </w:p>
    <w:p>
      <w:pPr>
        <w:spacing w:after="120"/>
        <w:jc w:val="center"/>
      </w:pPr>
      <w:r>
        <w:rPr>
          <w:rFonts w:ascii="Liberation Sans" w:hAnsi="Liberation Sans"/>
          <w:i/>
          <w:color w:val="666666"/>
          <w:sz w:val="16"/>
        </w:rPr>
        <w:t>Figure 4. Incident workbench wireframe. Evidence and deterministic results are displayed beside the LLM proposal and the policy-controlled human decision.</w:t>
      </w:r>
    </w:p>
    <w:p>
      <w:pPr>
        <w:pStyle w:val="Heading2"/>
      </w:pPr>
      <w:r>
        <w:t>7.3 Human decision form</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232"/>
            <w:shd w:fill="17365D"/>
            <w:vAlign w:val="center"/>
            <w:tcMar>
              <w:top w:w="70" w:type="dxa"/>
              <w:start w:w="100" w:type="dxa"/>
              <w:bottom w:w="70" w:type="dxa"/>
              <w:end w:w="100" w:type="dxa"/>
            </w:tcMar>
          </w:tcPr>
          <w:p>
            <w:r>
              <w:rPr>
                <w:rFonts w:ascii="Liberation Sans" w:hAnsi="Liberation Sans"/>
                <w:b/>
                <w:color w:val="FFFFFF"/>
                <w:sz w:val="16"/>
              </w:rPr>
              <w:t>Displayed information</w:t>
            </w:r>
          </w:p>
        </w:tc>
        <w:tc>
          <w:tcPr>
            <w:tcW w:type="dxa" w:w="7776"/>
            <w:shd w:fill="17365D"/>
            <w:vAlign w:val="center"/>
            <w:tcMar>
              <w:top w:w="70" w:type="dxa"/>
              <w:start w:w="100" w:type="dxa"/>
              <w:bottom w:w="70" w:type="dxa"/>
              <w:end w:w="100" w:type="dxa"/>
            </w:tcMar>
          </w:tcPr>
          <w:p>
            <w:r>
              <w:rPr>
                <w:rFonts w:ascii="Liberation Sans" w:hAnsi="Liberation Sans"/>
                <w:b/>
                <w:color w:val="FFFFFF"/>
                <w:sz w:val="16"/>
              </w:rPr>
              <w:t>Required behavior</w:t>
            </w:r>
          </w:p>
        </w:tc>
      </w:tr>
      <w:tr>
        <w:tc>
          <w:tcPr>
            <w:tcW w:type="dxa" w:w="22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Recommendation</w:t>
            </w:r>
          </w:p>
        </w:tc>
        <w:tc>
          <w:tcPr>
            <w:tcW w:type="dxa" w:w="77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Best action, next-best action and fallback trigger</w:t>
            </w:r>
          </w:p>
        </w:tc>
      </w:tr>
      <w:tr>
        <w:tc>
          <w:tcPr>
            <w:tcW w:type="dxa" w:w="22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Evidence</w:t>
            </w:r>
          </w:p>
        </w:tc>
        <w:tc>
          <w:tcPr>
            <w:tcW w:type="dxa" w:w="77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Evidence IDs, source, timestamp and freshness</w:t>
            </w:r>
          </w:p>
        </w:tc>
      </w:tr>
      <w:tr>
        <w:tc>
          <w:tcPr>
            <w:tcW w:type="dxa" w:w="22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Alternatives</w:t>
            </w:r>
          </w:p>
        </w:tc>
        <w:tc>
          <w:tcPr>
            <w:tcW w:type="dxa" w:w="77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Ranked RCA hypotheses or action candidates</w:t>
            </w:r>
          </w:p>
        </w:tc>
      </w:tr>
      <w:tr>
        <w:tc>
          <w:tcPr>
            <w:tcW w:type="dxa" w:w="22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Policy</w:t>
            </w:r>
          </w:p>
        </w:tc>
        <w:tc>
          <w:tcPr>
            <w:tcW w:type="dxa" w:w="77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Verdict, reason codes, required role and expiry</w:t>
            </w:r>
          </w:p>
        </w:tc>
      </w:tr>
      <w:tr>
        <w:tc>
          <w:tcPr>
            <w:tcW w:type="dxa" w:w="22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Operational impact</w:t>
            </w:r>
          </w:p>
        </w:tc>
        <w:tc>
          <w:tcPr>
            <w:tcW w:type="dxa" w:w="77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SLA, estimated time, cost class, customer effort and risk</w:t>
            </w:r>
          </w:p>
        </w:tc>
      </w:tr>
      <w:tr>
        <w:tc>
          <w:tcPr>
            <w:tcW w:type="dxa" w:w="22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Responses</w:t>
            </w:r>
          </w:p>
        </w:tc>
        <w:tc>
          <w:tcPr>
            <w:tcW w:type="dxa" w:w="77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Approve as proposed; approve alternative; edit permitted fields; request more evidence; reject; return to RCA; escalate</w:t>
            </w:r>
          </w:p>
        </w:tc>
      </w:tr>
      <w:tr>
        <w:tc>
          <w:tcPr>
            <w:tcW w:type="dxa" w:w="22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Audit</w:t>
            </w:r>
          </w:p>
        </w:tc>
        <w:tc>
          <w:tcPr>
            <w:tcW w:type="dxa" w:w="77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Operator identity, timestamp, reason code, free-text reason and decision revision</w:t>
            </w:r>
          </w:p>
        </w:tc>
      </w:tr>
      <w:tr>
        <w:tc>
          <w:tcPr>
            <w:tcW w:type="dxa" w:w="223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Gate state</w:t>
            </w:r>
          </w:p>
        </w:tc>
        <w:tc>
          <w:tcPr>
            <w:tcW w:type="dxa" w:w="777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Deterministic domain, LLM domain, agreement result, gate reason and proposal freshness</w:t>
            </w:r>
          </w:p>
        </w:tc>
      </w:tr>
    </w:tbl>
    <w:p>
      <w:pPr>
        <w:spacing w:after="0"/>
      </w:pPr>
    </w:p>
    <w:p>
      <w:pPr>
        <w:pStyle w:val="Heading2"/>
      </w:pPr>
      <w:r>
        <w:t>7.4 Session-state boundary</w:t>
      </w:r>
    </w:p>
    <w:p>
      <w:r>
        <w:t>Streamlit session state may store the selected incident, filters, active tab and unsaved form values. It must not hold authoritative incident state, approval state, SLA timestamps, work orders or MR records. Authoritative data is fetched from FastAPI on each fragment refresh; a fragment must not create a side effect because it can rerun automatically.</w:t>
      </w:r>
    </w:p>
    <w:p>
      <w:pPr>
        <w:pStyle w:val="Heading1"/>
        <w:pBdr>
          <w:bottom w:val="single" w:sz="8" w:space="1" w:color="DDEBF7"/>
        </w:pBdr>
      </w:pPr>
      <w:r>
        <w:t>8. API, state, persistence and read model</w:t>
      </w:r>
    </w:p>
    <w:p>
      <w:pPr>
        <w:pStyle w:val="Heading2"/>
      </w:pPr>
      <w:r>
        <w:t>8.1 Minimum API</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936"/>
            <w:shd w:fill="17365D"/>
            <w:vAlign w:val="center"/>
            <w:tcMar>
              <w:top w:w="70" w:type="dxa"/>
              <w:start w:w="100" w:type="dxa"/>
              <w:bottom w:w="70" w:type="dxa"/>
              <w:end w:w="100" w:type="dxa"/>
            </w:tcMar>
          </w:tcPr>
          <w:p>
            <w:r>
              <w:rPr>
                <w:rFonts w:ascii="Liberation Sans" w:hAnsi="Liberation Sans"/>
                <w:b/>
                <w:color w:val="FFFFFF"/>
                <w:sz w:val="15"/>
              </w:rPr>
              <w:t>Method</w:t>
            </w:r>
          </w:p>
        </w:tc>
        <w:tc>
          <w:tcPr>
            <w:tcW w:type="dxa" w:w="4032"/>
            <w:shd w:fill="17365D"/>
            <w:vAlign w:val="center"/>
            <w:tcMar>
              <w:top w:w="70" w:type="dxa"/>
              <w:start w:w="100" w:type="dxa"/>
              <w:bottom w:w="70" w:type="dxa"/>
              <w:end w:w="100" w:type="dxa"/>
            </w:tcMar>
          </w:tcPr>
          <w:p>
            <w:r>
              <w:rPr>
                <w:rFonts w:ascii="Liberation Sans" w:hAnsi="Liberation Sans"/>
                <w:b/>
                <w:color w:val="FFFFFF"/>
                <w:sz w:val="15"/>
              </w:rPr>
              <w:t>Endpoint</w:t>
            </w:r>
          </w:p>
        </w:tc>
        <w:tc>
          <w:tcPr>
            <w:tcW w:type="dxa" w:w="5040"/>
            <w:shd w:fill="17365D"/>
            <w:vAlign w:val="center"/>
            <w:tcMar>
              <w:top w:w="70" w:type="dxa"/>
              <w:start w:w="100" w:type="dxa"/>
              <w:bottom w:w="70" w:type="dxa"/>
              <w:end w:w="100" w:type="dxa"/>
            </w:tcMar>
          </w:tcPr>
          <w:p>
            <w:r>
              <w:rPr>
                <w:rFonts w:ascii="Liberation Sans" w:hAnsi="Liberation Sans"/>
                <w:b/>
                <w:color w:val="FFFFFF"/>
                <w:sz w:val="15"/>
              </w:rPr>
              <w:t>Purpose</w:t>
            </w:r>
          </w:p>
        </w:tc>
      </w:tr>
      <w:tr>
        <w:tc>
          <w:tcPr>
            <w:tcW w:type="dxa" w:w="93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POST</w:t>
            </w:r>
          </w:p>
        </w:tc>
        <w:tc>
          <w:tcPr>
            <w:tcW w:type="dxa" w:w="40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/demo/scenarios/{name}/start</w:t>
            </w:r>
          </w:p>
        </w:tc>
        <w:tc>
          <w:tcPr>
            <w:tcW w:type="dxa" w:w="504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Create a fixture case and run until completion or interrupt</w:t>
            </w:r>
          </w:p>
        </w:tc>
      </w:tr>
      <w:tr>
        <w:tc>
          <w:tcPr>
            <w:tcW w:type="dxa" w:w="93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5"/>
              </w:rPr>
              <w:t>GET</w:t>
            </w:r>
          </w:p>
        </w:tc>
        <w:tc>
          <w:tcPr>
            <w:tcW w:type="dxa" w:w="40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5"/>
              </w:rPr>
              <w:t>/demo/incidents</w:t>
            </w:r>
          </w:p>
        </w:tc>
        <w:tc>
          <w:tcPr>
            <w:tcW w:type="dxa" w:w="504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5"/>
              </w:rPr>
              <w:t>List queryable incident summaries</w:t>
            </w:r>
          </w:p>
        </w:tc>
      </w:tr>
      <w:tr>
        <w:tc>
          <w:tcPr>
            <w:tcW w:type="dxa" w:w="93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GET</w:t>
            </w:r>
          </w:p>
        </w:tc>
        <w:tc>
          <w:tcPr>
            <w:tcW w:type="dxa" w:w="40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/demo/incidents/{id}</w:t>
            </w:r>
          </w:p>
        </w:tc>
        <w:tc>
          <w:tcPr>
            <w:tcW w:type="dxa" w:w="504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Get current workbench projection</w:t>
            </w:r>
          </w:p>
        </w:tc>
      </w:tr>
      <w:tr>
        <w:tc>
          <w:tcPr>
            <w:tcW w:type="dxa" w:w="93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5"/>
              </w:rPr>
              <w:t>GET</w:t>
            </w:r>
          </w:p>
        </w:tc>
        <w:tc>
          <w:tcPr>
            <w:tcW w:type="dxa" w:w="40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5"/>
              </w:rPr>
              <w:t>/demo/incidents/{id}/timeline</w:t>
            </w:r>
          </w:p>
        </w:tc>
        <w:tc>
          <w:tcPr>
            <w:tcW w:type="dxa" w:w="504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5"/>
              </w:rPr>
              <w:t>Get ordered domain and decision events</w:t>
            </w:r>
          </w:p>
        </w:tc>
      </w:tr>
      <w:tr>
        <w:tc>
          <w:tcPr>
            <w:tcW w:type="dxa" w:w="93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GET</w:t>
            </w:r>
          </w:p>
        </w:tc>
        <w:tc>
          <w:tcPr>
            <w:tcW w:type="dxa" w:w="40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/demo/incidents/{id}/decisions</w:t>
            </w:r>
          </w:p>
        </w:tc>
        <w:tc>
          <w:tcPr>
            <w:tcW w:type="dxa" w:w="504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Get decision revisions and human outcomes</w:t>
            </w:r>
          </w:p>
        </w:tc>
      </w:tr>
      <w:tr>
        <w:tc>
          <w:tcPr>
            <w:tcW w:type="dxa" w:w="93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5"/>
              </w:rPr>
              <w:t>GET</w:t>
            </w:r>
          </w:p>
        </w:tc>
        <w:tc>
          <w:tcPr>
            <w:tcW w:type="dxa" w:w="40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5"/>
              </w:rPr>
              <w:t>/demo/approvals</w:t>
            </w:r>
          </w:p>
        </w:tc>
        <w:tc>
          <w:tcPr>
            <w:tcW w:type="dxa" w:w="504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5"/>
              </w:rPr>
              <w:t>List pending approvals</w:t>
            </w:r>
          </w:p>
        </w:tc>
      </w:tr>
      <w:tr>
        <w:tc>
          <w:tcPr>
            <w:tcW w:type="dxa" w:w="93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POST</w:t>
            </w:r>
          </w:p>
        </w:tc>
        <w:tc>
          <w:tcPr>
            <w:tcW w:type="dxa" w:w="40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/demo/approvals/{approval_id}/decision</w:t>
            </w:r>
          </w:p>
        </w:tc>
        <w:tc>
          <w:tcPr>
            <w:tcW w:type="dxa" w:w="504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Validate decision, store it and resume the same thread</w:t>
            </w:r>
          </w:p>
        </w:tc>
      </w:tr>
      <w:tr>
        <w:tc>
          <w:tcPr>
            <w:tcW w:type="dxa" w:w="93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5"/>
              </w:rPr>
              <w:t>POST</w:t>
            </w:r>
          </w:p>
        </w:tc>
        <w:tc>
          <w:tcPr>
            <w:tcW w:type="dxa" w:w="40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5"/>
              </w:rPr>
              <w:t>/demo/incidents/{id}/run-next</w:t>
            </w:r>
          </w:p>
        </w:tc>
        <w:tc>
          <w:tcPr>
            <w:tcW w:type="dxa" w:w="504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5"/>
              </w:rPr>
              <w:t>Run one graph step</w:t>
            </w:r>
          </w:p>
        </w:tc>
      </w:tr>
      <w:tr>
        <w:tc>
          <w:tcPr>
            <w:tcW w:type="dxa" w:w="93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POST</w:t>
            </w:r>
          </w:p>
        </w:tc>
        <w:tc>
          <w:tcPr>
            <w:tcW w:type="dxa" w:w="40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/demo/incidents/{id}/run-until-decision</w:t>
            </w:r>
          </w:p>
        </w:tc>
        <w:tc>
          <w:tcPr>
            <w:tcW w:type="dxa" w:w="504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5"/>
              </w:rPr>
              <w:t>Run until interrupt or terminal state</w:t>
            </w:r>
          </w:p>
        </w:tc>
      </w:tr>
      <w:tr>
        <w:tc>
          <w:tcPr>
            <w:tcW w:type="dxa" w:w="93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5"/>
              </w:rPr>
              <w:t>GET</w:t>
            </w:r>
          </w:p>
        </w:tc>
        <w:tc>
          <w:tcPr>
            <w:tcW w:type="dxa" w:w="40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5"/>
              </w:rPr>
              <w:t>/demo/system/status</w:t>
            </w:r>
          </w:p>
        </w:tc>
        <w:tc>
          <w:tcPr>
            <w:tcW w:type="dxa" w:w="504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5"/>
              </w:rPr>
              <w:t>Return UI, API, database, MCP and model health</w:t>
            </w:r>
          </w:p>
        </w:tc>
      </w:tr>
    </w:tbl>
    <w:p>
      <w:pPr>
        <w:spacing w:after="0"/>
      </w:pPr>
    </w:p>
    <w:p>
      <w:pPr>
        <w:pStyle w:val="Heading2"/>
      </w:pPr>
      <w:r>
        <w:t>8.2 Graph state</w:t>
      </w:r>
    </w:p>
    <w:p>
      <w:r>
        <w:t>Reuse the source state conventions: one IncidentState, append-only evidence and action history, write-once incident/thread/SLA identifiers, replay-safe counters, validated lifecycle transitions, and node-entry budget checks. [U1] The demo may use a smaller state type but must preserve these invariants. State reducers make checkpoint replay safe; they do not replace the external-effect idempotency record.</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1800"/>
            <w:shd w:fill="173F68"/>
            <w:vAlign w:val="center"/>
            <w:tcMar>
              <w:top w:w="55" w:type="dxa"/>
              <w:start w:w="70" w:type="dxa"/>
              <w:bottom w:w="55" w:type="dxa"/>
              <w:end w:w="70" w:type="dxa"/>
            </w:tcMar>
          </w:tcPr>
          <w:p>
            <w:pPr>
              <w:jc w:val="left"/>
            </w:pPr>
            <w:r>
              <w:rPr>
                <w:rFonts w:ascii="Liberation Sans" w:hAnsi="Liberation Sans"/>
                <w:b/>
                <w:color w:val="FFFFFF"/>
                <w:sz w:val="14"/>
              </w:rPr>
              <w:t>State group</w:t>
            </w:r>
          </w:p>
        </w:tc>
        <w:tc>
          <w:tcPr>
            <w:tcW w:type="dxa" w:w="8208"/>
            <w:shd w:fill="173F68"/>
            <w:vAlign w:val="center"/>
            <w:tcMar>
              <w:top w:w="55" w:type="dxa"/>
              <w:start w:w="70" w:type="dxa"/>
              <w:bottom w:w="55" w:type="dxa"/>
              <w:end w:w="70" w:type="dxa"/>
            </w:tcMar>
          </w:tcPr>
          <w:p>
            <w:pPr>
              <w:jc w:val="left"/>
            </w:pPr>
            <w:r>
              <w:rPr>
                <w:rFonts w:ascii="Liberation Sans" w:hAnsi="Liberation Sans"/>
                <w:b/>
                <w:color w:val="FFFFFF"/>
                <w:sz w:val="14"/>
              </w:rPr>
              <w:t>Minimum fields</w:t>
            </w:r>
          </w:p>
        </w:tc>
      </w:tr>
      <w:tr>
        <w:tc>
          <w:tcPr>
            <w:tcW w:type="dxa" w:w="180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Identity</w:t>
            </w:r>
          </w:p>
        </w:tc>
        <w:tc>
          <w:tcPr>
            <w:tcW w:type="dxa" w:w="820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incident_id, thread_id, parent_incident_id, source, technology, customer_ref, service_ref, cpe_ref</w:t>
            </w:r>
          </w:p>
        </w:tc>
      </w:tr>
      <w:tr>
        <w:tc>
          <w:tcPr>
            <w:tcW w:type="dxa" w:w="180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Topology</w:t>
            </w:r>
          </w:p>
        </w:tc>
        <w:tc>
          <w:tcPr>
            <w:tcW w:type="dxa" w:w="820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premise, drop, delimiter_type, delimiter_id, node_or_olt, upstream_resource</w:t>
            </w:r>
          </w:p>
        </w:tc>
      </w:tr>
      <w:tr>
        <w:tc>
          <w:tcPr>
            <w:tcW w:type="dxa" w:w="180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Control</w:t>
            </w:r>
          </w:p>
        </w:tc>
        <w:tc>
          <w:tcPr>
            <w:tcW w:type="dxa" w:w="820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status, stage, SLA, sla_mode, attempt counts, budget/escalation state, approval state</w:t>
            </w:r>
          </w:p>
        </w:tc>
      </w:tr>
      <w:tr>
        <w:tc>
          <w:tcPr>
            <w:tcW w:type="dxa" w:w="180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Evidence</w:t>
            </w:r>
          </w:p>
        </w:tc>
        <w:tc>
          <w:tcPr>
            <w:tcW w:type="dxa" w:w="820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events, evidence items, test plan, test results, data-quality result, new_evidence_since_last_rca</w:t>
            </w:r>
          </w:p>
        </w:tc>
      </w:tr>
      <w:tr>
        <w:tc>
          <w:tcPr>
            <w:tcW w:type="dxa" w:w="180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Decision</w:t>
            </w:r>
          </w:p>
        </w:tc>
        <w:tc>
          <w:tcPr>
            <w:tcW w:type="dxa" w:w="820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deterministic_domain, llm_domain, domain_agreement, gate_reason, fused RCA, best/next-best action, policy decision</w:t>
            </w:r>
          </w:p>
        </w:tc>
      </w:tr>
      <w:tr>
        <w:tc>
          <w:tcPr>
            <w:tcW w:type="dxa" w:w="180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Execution</w:t>
            </w:r>
          </w:p>
        </w:tc>
        <w:tc>
          <w:tcPr>
            <w:tcW w:type="dxa" w:w="820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action history, idempotency key, work orders, MR records, crew type, handover contract</w:t>
            </w:r>
          </w:p>
        </w:tc>
      </w:tr>
      <w:tr>
        <w:tc>
          <w:tcPr>
            <w:tcW w:type="dxa" w:w="180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Closure</w:t>
            </w:r>
          </w:p>
        </w:tc>
        <w:tc>
          <w:tcPr>
            <w:tcW w:type="dxa" w:w="820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validation result, reconciliation result, closure record, KPI timestamps</w:t>
            </w:r>
          </w:p>
        </w:tc>
      </w:tr>
      <w:tr>
        <w:tc>
          <w:tcPr>
            <w:tcW w:type="dxa" w:w="180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Audit</w:t>
            </w:r>
          </w:p>
        </w:tc>
        <w:tc>
          <w:tcPr>
            <w:tcW w:type="dxa" w:w="8208"/>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decision revisions, approvals, errors, model metadata, tool-call records and replay flags</w:t>
            </w:r>
          </w:p>
        </w:tc>
      </w:tr>
    </w:tbl>
    <w:p>
      <w:pPr>
        <w:spacing w:after="0"/>
      </w:pPr>
    </w:p>
    <w:p>
      <w:pPr>
        <w:pStyle w:val="Heading2"/>
      </w:pPr>
      <w:r>
        <w:t>8.3 Persistence</w:t>
      </w:r>
    </w:p>
    <w:p>
      <w:pPr>
        <w:pStyle w:val="ListBullet"/>
        <w:ind w:left="331" w:hanging="173"/>
      </w:pPr>
      <w:r>
        <w:t>Use PostgreSQL-backed LangGraph checkpoints for any approval or restart demonstration. In-memory persistence is acceptable only for unit tests. [O2]</w:t>
      </w:r>
    </w:p>
    <w:p>
      <w:pPr>
        <w:pStyle w:val="ListBullet"/>
        <w:ind w:left="331" w:hanging="173"/>
      </w:pPr>
      <w:r>
        <w:t>Use the incident ID as the stable thread ID and keep it under the checkpointer limit; a UUID-compatible identifier is preferred. [O2]</w:t>
      </w:r>
    </w:p>
    <w:p>
      <w:pPr>
        <w:pStyle w:val="ListBullet"/>
        <w:ind w:left="331" w:hanging="173"/>
      </w:pPr>
      <w:r>
        <w:t>Store large telemetry and photos outside graph state; graph state contains secure object references and metadata.</w:t>
      </w:r>
    </w:p>
    <w:p>
      <w:pPr>
        <w:pStyle w:val="ListBullet"/>
        <w:ind w:left="331" w:hanging="173"/>
      </w:pPr>
      <w:r>
        <w:t>Use a separate read model for cross-incident queries. A checkpointer is not a reporting database, which is an explicit current-state limitation in the source. [U1]</w:t>
      </w:r>
    </w:p>
    <w:p>
      <w:pPr>
        <w:pStyle w:val="Heading2"/>
      </w:pPr>
      <w:r>
        <w:t>8.4 Minimum read model</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016"/>
            <w:shd w:fill="173F68"/>
            <w:vAlign w:val="center"/>
            <w:tcMar>
              <w:top w:w="55" w:type="dxa"/>
              <w:start w:w="70" w:type="dxa"/>
              <w:bottom w:w="55" w:type="dxa"/>
              <w:end w:w="70" w:type="dxa"/>
            </w:tcMar>
          </w:tcPr>
          <w:p>
            <w:pPr>
              <w:jc w:val="left"/>
            </w:pPr>
            <w:r>
              <w:rPr>
                <w:rFonts w:ascii="Liberation Sans" w:hAnsi="Liberation Sans"/>
                <w:b/>
                <w:color w:val="FFFFFF"/>
                <w:sz w:val="14"/>
              </w:rPr>
              <w:t>Table</w:t>
            </w:r>
          </w:p>
        </w:tc>
        <w:tc>
          <w:tcPr>
            <w:tcW w:type="dxa" w:w="2880"/>
            <w:shd w:fill="173F68"/>
            <w:vAlign w:val="center"/>
            <w:tcMar>
              <w:top w:w="55" w:type="dxa"/>
              <w:start w:w="70" w:type="dxa"/>
              <w:bottom w:w="55" w:type="dxa"/>
              <w:end w:w="70" w:type="dxa"/>
            </w:tcMar>
          </w:tcPr>
          <w:p>
            <w:pPr>
              <w:jc w:val="left"/>
            </w:pPr>
            <w:r>
              <w:rPr>
                <w:rFonts w:ascii="Liberation Sans" w:hAnsi="Liberation Sans"/>
                <w:b/>
                <w:color w:val="FFFFFF"/>
                <w:sz w:val="14"/>
              </w:rPr>
              <w:t>Purpose</w:t>
            </w:r>
          </w:p>
        </w:tc>
        <w:tc>
          <w:tcPr>
            <w:tcW w:type="dxa" w:w="5112"/>
            <w:shd w:fill="173F68"/>
            <w:vAlign w:val="center"/>
            <w:tcMar>
              <w:top w:w="55" w:type="dxa"/>
              <w:start w:w="70" w:type="dxa"/>
              <w:bottom w:w="55" w:type="dxa"/>
              <w:end w:w="70" w:type="dxa"/>
            </w:tcMar>
          </w:tcPr>
          <w:p>
            <w:pPr>
              <w:jc w:val="left"/>
            </w:pPr>
            <w:r>
              <w:rPr>
                <w:rFonts w:ascii="Liberation Sans" w:hAnsi="Liberation Sans"/>
                <w:b/>
                <w:color w:val="FFFFFF"/>
                <w:sz w:val="14"/>
              </w:rPr>
              <w:t>Key fields</w:t>
            </w:r>
          </w:p>
        </w:tc>
      </w:tr>
      <w:tr>
        <w:tc>
          <w:tcPr>
            <w:tcW w:type="dxa" w:w="201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incident_summary</w:t>
            </w:r>
          </w:p>
        </w:tc>
        <w:tc>
          <w:tcPr>
            <w:tcW w:type="dxa" w:w="288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Queue and cockpit</w:t>
            </w:r>
          </w:p>
        </w:tc>
        <w:tc>
          <w:tcPr>
            <w:tcW w:type="dxa" w:w="511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incident_id, parent_incident_id, sla_mode, technology, priority, stage, displayed SLA, both RCA domains, domain agreement, gate reason, proposed action, attempts, updated_at</w:t>
            </w:r>
          </w:p>
        </w:tc>
      </w:tr>
      <w:tr>
        <w:tc>
          <w:tcPr>
            <w:tcW w:type="dxa" w:w="201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incident_timeline</w:t>
            </w:r>
          </w:p>
        </w:tc>
        <w:tc>
          <w:tcPr>
            <w:tcW w:type="dxa" w:w="288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Workbench event history</w:t>
            </w:r>
          </w:p>
        </w:tc>
        <w:tc>
          <w:tcPr>
            <w:tcW w:type="dxa" w:w="511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incident_id, sequence, event_type, actor, timestamp, summary, evidence refs</w:t>
            </w:r>
          </w:p>
        </w:tc>
      </w:tr>
      <w:tr>
        <w:tc>
          <w:tcPr>
            <w:tcW w:type="dxa" w:w="201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decision_proposal</w:t>
            </w:r>
          </w:p>
        </w:tc>
        <w:tc>
          <w:tcPr>
            <w:tcW w:type="dxa" w:w="288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RCA and action revisions</w:t>
            </w:r>
          </w:p>
        </w:tc>
        <w:tc>
          <w:tcPr>
            <w:tcW w:type="dxa" w:w="511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decision ID, type, candidates, confidence, both domains, agreement, gate reason, evidence, model/prompt versions, policy result, expiry</w:t>
            </w:r>
          </w:p>
        </w:tc>
      </w:tr>
      <w:tr>
        <w:tc>
          <w:tcPr>
            <w:tcW w:type="dxa" w:w="201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approval</w:t>
            </w:r>
          </w:p>
        </w:tc>
        <w:tc>
          <w:tcPr>
            <w:tcW w:type="dxa" w:w="288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Decision Center and execution control</w:t>
            </w:r>
          </w:p>
        </w:tc>
        <w:tc>
          <w:tcPr>
            <w:tcW w:type="dxa" w:w="511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approval ID, incident, action type, required role, status, expiry, idempotency key, consumed_at</w:t>
            </w:r>
          </w:p>
        </w:tc>
      </w:tr>
      <w:tr>
        <w:tc>
          <w:tcPr>
            <w:tcW w:type="dxa" w:w="201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human_decision</w:t>
            </w:r>
          </w:p>
        </w:tc>
        <w:tc>
          <w:tcPr>
            <w:tcW w:type="dxa" w:w="288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Audit</w:t>
            </w:r>
          </w:p>
        </w:tc>
        <w:tc>
          <w:tcPr>
            <w:tcW w:type="dxa" w:w="511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approval ID, operator, response, edits, reason and time</w:t>
            </w:r>
          </w:p>
        </w:tc>
      </w:tr>
      <w:tr>
        <w:tc>
          <w:tcPr>
            <w:tcW w:type="dxa" w:w="201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idempotency_record</w:t>
            </w:r>
          </w:p>
        </w:tc>
        <w:tc>
          <w:tcPr>
            <w:tcW w:type="dxa" w:w="288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Effect replay protection</w:t>
            </w:r>
          </w:p>
        </w:tc>
        <w:tc>
          <w:tcPr>
            <w:tcW w:type="dxa" w:w="511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idempotency key, incident, tool, approval, result JSON, created time</w:t>
            </w:r>
          </w:p>
        </w:tc>
      </w:tr>
      <w:tr>
        <w:tc>
          <w:tcPr>
            <w:tcW w:type="dxa" w:w="201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agent_run</w:t>
            </w:r>
          </w:p>
        </w:tc>
        <w:tc>
          <w:tcPr>
            <w:tcW w:type="dxa" w:w="288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System monitor</w:t>
            </w:r>
          </w:p>
        </w:tc>
        <w:tc>
          <w:tcPr>
            <w:tcW w:type="dxa" w:w="511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provider/model, latency, tokens/cost, validation result, error and tool calls</w:t>
            </w:r>
          </w:p>
        </w:tc>
      </w:tr>
      <w:tr>
        <w:tc>
          <w:tcPr>
            <w:tcW w:type="dxa" w:w="201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kpi_snapshot</w:t>
            </w:r>
          </w:p>
        </w:tc>
        <w:tc>
          <w:tcPr>
            <w:tcW w:type="dxa" w:w="288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Cockpit</w:t>
            </w:r>
          </w:p>
        </w:tc>
        <w:tc>
          <w:tcPr>
            <w:tcW w:type="dxa" w:w="511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period, technology, stage, count, rate numerator/denominator and duration metrics</w:t>
            </w:r>
          </w:p>
        </w:tc>
      </w:tr>
    </w:tbl>
    <w:p>
      <w:pPr>
        <w:pStyle w:val="Heading2"/>
      </w:pPr>
      <w:r>
        <w:t>8.5 Parent/child SLA rule</w:t>
      </w:r>
    </w:p>
    <w:p>
      <w:r>
        <w:t>sla_mode is own, inherits_parent or paused. A common-cause child retains its original SLA start but uses the parent deadline for current breach calculation while attached. Detaching restores its own clock without resetting it. The display and API must identify which clock is authoritative.</w:t>
      </w:r>
    </w:p>
    <w:p>
      <w:pPr>
        <w:spacing w:after="0"/>
      </w:pPr>
    </w:p>
    <w:p>
      <w:pPr>
        <w:pStyle w:val="Heading1"/>
        <w:pBdr>
          <w:bottom w:val="single" w:sz="8" w:space="1" w:color="DDEBF7"/>
        </w:pBdr>
      </w:pPr>
      <w:r>
        <w:t>9. Docker Desktop deployment</w:t>
      </w:r>
    </w:p>
    <w:p>
      <w:pPr>
        <w:pStyle w:val="Heading2"/>
      </w:pPr>
      <w:r>
        <w:t>9.1 Deployment topology</w:t>
      </w:r>
    </w:p>
    <w:p>
      <w:pPr>
        <w:jc w:val="center"/>
      </w:pPr>
      <w:r>
        <w:drawing>
          <wp:inline xmlns:a="http://schemas.openxmlformats.org/drawingml/2006/main" xmlns:pic="http://schemas.openxmlformats.org/drawingml/2006/picture">
            <wp:extent cx="6400800" cy="1793823"/>
            <wp:docPr id="5" name="Picture 5"/>
            <wp:cNvGraphicFramePr>
              <a:graphicFrameLocks noChangeAspect="1"/>
            </wp:cNvGraphicFramePr>
            <a:graphic>
              <a:graphicData uri="http://schemas.openxmlformats.org/drawingml/2006/picture">
                <pic:pic>
                  <pic:nvPicPr>
                    <pic:cNvPr id="0" name="deployment.png"/>
                    <pic:cNvPicPr/>
                  </pic:nvPicPr>
                  <pic:blipFill>
                    <a:blip r:embed="rId15"/>
                    <a:stretch>
                      <a:fillRect/>
                    </a:stretch>
                  </pic:blipFill>
                  <pic:spPr>
                    <a:xfrm>
                      <a:off x="0" y="0"/>
                      <a:ext cx="6400800" cy="1793823"/>
                    </a:xfrm>
                    <a:prstGeom prst="rect"/>
                  </pic:spPr>
                </pic:pic>
              </a:graphicData>
            </a:graphic>
          </wp:inline>
        </w:drawing>
      </w:r>
    </w:p>
    <w:p>
      <w:pPr>
        <w:spacing w:after="120"/>
        <w:jc w:val="center"/>
      </w:pPr>
      <w:r>
        <w:rPr>
          <w:rFonts w:ascii="Liberation Sans" w:hAnsi="Liberation Sans"/>
          <w:i/>
          <w:color w:val="666666"/>
          <w:sz w:val="16"/>
        </w:rPr>
        <w:t>Figure 5. Four-container Docker Desktop footprint with an optional external LLM API. PostgreSQL data persists in a named volume.</w:t>
      </w:r>
    </w:p>
    <w:p>
      <w:r>
        <w:t>Docker Compose is used because the demonstration has multiple cooperating services. PostgreSQL and mcp-sim both expose health checks, and the API waits on service_healthy for both before accepting traffic. The API also runs an MCP protocol/profile compatibility probe at startup. [O7] Streamlit uses its standard container port and health endpoint. [O5]</w:t>
      </w:r>
    </w:p>
    <w:p>
      <w:pPr>
        <w:pStyle w:val="Heading2"/>
      </w:pPr>
      <w:r>
        <w:t>9.2 Service specification</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584"/>
            <w:shd w:fill="17365D"/>
            <w:vAlign w:val="center"/>
            <w:tcMar>
              <w:top w:w="70" w:type="dxa"/>
              <w:start w:w="100" w:type="dxa"/>
              <w:bottom w:w="70" w:type="dxa"/>
              <w:end w:w="100" w:type="dxa"/>
            </w:tcMar>
          </w:tcPr>
          <w:p>
            <w:r>
              <w:rPr>
                <w:rFonts w:ascii="Liberation Sans" w:hAnsi="Liberation Sans"/>
                <w:b/>
                <w:color w:val="FFFFFF"/>
                <w:sz w:val="16"/>
              </w:rPr>
              <w:t>Service</w:t>
            </w:r>
          </w:p>
        </w:tc>
        <w:tc>
          <w:tcPr>
            <w:tcW w:type="dxa" w:w="1008"/>
            <w:shd w:fill="17365D"/>
            <w:vAlign w:val="center"/>
            <w:tcMar>
              <w:top w:w="70" w:type="dxa"/>
              <w:start w:w="100" w:type="dxa"/>
              <w:bottom w:w="70" w:type="dxa"/>
              <w:end w:w="100" w:type="dxa"/>
            </w:tcMar>
          </w:tcPr>
          <w:p>
            <w:r>
              <w:rPr>
                <w:rFonts w:ascii="Liberation Sans" w:hAnsi="Liberation Sans"/>
                <w:b/>
                <w:color w:val="FFFFFF"/>
                <w:sz w:val="16"/>
              </w:rPr>
              <w:t>Port</w:t>
            </w:r>
          </w:p>
        </w:tc>
        <w:tc>
          <w:tcPr>
            <w:tcW w:type="dxa" w:w="4896"/>
            <w:shd w:fill="17365D"/>
            <w:vAlign w:val="center"/>
            <w:tcMar>
              <w:top w:w="70" w:type="dxa"/>
              <w:start w:w="100" w:type="dxa"/>
              <w:bottom w:w="70" w:type="dxa"/>
              <w:end w:w="100" w:type="dxa"/>
            </w:tcMar>
          </w:tcPr>
          <w:p>
            <w:r>
              <w:rPr>
                <w:rFonts w:ascii="Liberation Sans" w:hAnsi="Liberation Sans"/>
                <w:b/>
                <w:color w:val="FFFFFF"/>
                <w:sz w:val="16"/>
              </w:rPr>
              <w:t>Dependencies</w:t>
            </w:r>
          </w:p>
        </w:tc>
        <w:tc>
          <w:tcPr>
            <w:tcW w:type="dxa" w:w="2520"/>
            <w:shd w:fill="17365D"/>
            <w:vAlign w:val="center"/>
            <w:tcMar>
              <w:top w:w="70" w:type="dxa"/>
              <w:start w:w="100" w:type="dxa"/>
              <w:bottom w:w="70" w:type="dxa"/>
              <w:end w:w="100" w:type="dxa"/>
            </w:tcMar>
          </w:tcPr>
          <w:p>
            <w:r>
              <w:rPr>
                <w:rFonts w:ascii="Liberation Sans" w:hAnsi="Liberation Sans"/>
                <w:b/>
                <w:color w:val="FFFFFF"/>
                <w:sz w:val="16"/>
              </w:rPr>
              <w:t>Health</w:t>
            </w:r>
          </w:p>
        </w:tc>
      </w:tr>
      <w:tr>
        <w:tc>
          <w:tcPr>
            <w:tcW w:type="dxa" w:w="158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ui</w:t>
            </w:r>
          </w:p>
        </w:tc>
        <w:tc>
          <w:tcPr>
            <w:tcW w:type="dxa" w:w="100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8501</w:t>
            </w:r>
          </w:p>
        </w:tc>
        <w:tc>
          <w:tcPr>
            <w:tcW w:type="dxa" w:w="489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api</w:t>
            </w:r>
          </w:p>
        </w:tc>
        <w:tc>
          <w:tcPr>
            <w:tcW w:type="dxa" w:w="252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GET /_stcore/health</w:t>
            </w:r>
          </w:p>
        </w:tc>
      </w:tr>
      <w:tr>
        <w:tc>
          <w:tcPr>
            <w:tcW w:type="dxa" w:w="158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api</w:t>
            </w:r>
          </w:p>
        </w:tc>
        <w:tc>
          <w:tcPr>
            <w:tcW w:type="dxa" w:w="100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8000</w:t>
            </w:r>
          </w:p>
        </w:tc>
        <w:tc>
          <w:tcPr>
            <w:tcW w:type="dxa" w:w="489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tcPr>
          <w:p>
            <w:pPr>
              <w:spacing w:after="0"/>
              <w:jc w:val="left"/>
            </w:pPr>
            <w:r>
              <w:rPr>
                <w:rFonts w:ascii="Liberation Sans" w:hAnsi="Liberation Sans"/>
                <w:color w:val="1F1F1F"/>
                <w:sz w:val="16"/>
              </w:rPr>
              <w:t>postgres healthy; mcp-sim healthy</w:t>
            </w:r>
          </w:p>
        </w:tc>
        <w:tc>
          <w:tcPr>
            <w:tcW w:type="dxa" w:w="252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GET /health and /ready</w:t>
            </w:r>
          </w:p>
        </w:tc>
      </w:tr>
      <w:tr>
        <w:tc>
          <w:tcPr>
            <w:tcW w:type="dxa" w:w="158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mcp-sim</w:t>
            </w:r>
          </w:p>
        </w:tc>
        <w:tc>
          <w:tcPr>
            <w:tcW w:type="dxa" w:w="100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8100</w:t>
            </w:r>
          </w:p>
        </w:tc>
        <w:tc>
          <w:tcPr>
            <w:tcW w:type="dxa" w:w="489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none</w:t>
            </w:r>
          </w:p>
        </w:tc>
        <w:tc>
          <w:tcPr>
            <w:tcW w:type="dxa" w:w="252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GET /health plus MCP endpoint test</w:t>
            </w:r>
          </w:p>
        </w:tc>
      </w:tr>
      <w:tr>
        <w:tc>
          <w:tcPr>
            <w:tcW w:type="dxa" w:w="1584"/>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postgres</w:t>
            </w:r>
          </w:p>
        </w:tc>
        <w:tc>
          <w:tcPr>
            <w:tcW w:type="dxa" w:w="100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5432</w:t>
            </w:r>
          </w:p>
        </w:tc>
        <w:tc>
          <w:tcPr>
            <w:tcW w:type="dxa" w:w="489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named volume</w:t>
            </w:r>
          </w:p>
        </w:tc>
        <w:tc>
          <w:tcPr>
            <w:tcW w:type="dxa" w:w="252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pg_isready</w:t>
            </w:r>
          </w:p>
        </w:tc>
      </w:tr>
    </w:tbl>
    <w:p>
      <w:pPr>
        <w:spacing w:after="0"/>
      </w:pPr>
    </w:p>
    <w:p>
      <w:pPr>
        <w:pStyle w:val="Heading2"/>
      </w:pPr>
      <w:r>
        <w:t>9.3 Configuration</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3096"/>
            <w:shd w:fill="173F68"/>
            <w:vAlign w:val="center"/>
            <w:tcMar>
              <w:top w:w="55" w:type="dxa"/>
              <w:start w:w="70" w:type="dxa"/>
              <w:bottom w:w="55" w:type="dxa"/>
              <w:end w:w="70" w:type="dxa"/>
            </w:tcMar>
          </w:tcPr>
          <w:p>
            <w:pPr>
              <w:jc w:val="left"/>
            </w:pPr>
            <w:r>
              <w:rPr>
                <w:rFonts w:ascii="Liberation Sans" w:hAnsi="Liberation Sans"/>
                <w:b/>
                <w:color w:val="FFFFFF"/>
                <w:sz w:val="14"/>
              </w:rPr>
              <w:t>Setting</w:t>
            </w:r>
          </w:p>
        </w:tc>
        <w:tc>
          <w:tcPr>
            <w:tcW w:type="dxa" w:w="2232"/>
            <w:shd w:fill="173F68"/>
            <w:vAlign w:val="center"/>
            <w:tcMar>
              <w:top w:w="55" w:type="dxa"/>
              <w:start w:w="70" w:type="dxa"/>
              <w:bottom w:w="55" w:type="dxa"/>
              <w:end w:w="70" w:type="dxa"/>
            </w:tcMar>
          </w:tcPr>
          <w:p>
            <w:pPr>
              <w:jc w:val="left"/>
            </w:pPr>
            <w:r>
              <w:rPr>
                <w:rFonts w:ascii="Liberation Sans" w:hAnsi="Liberation Sans"/>
                <w:b/>
                <w:color w:val="FFFFFF"/>
                <w:sz w:val="14"/>
              </w:rPr>
              <w:t>Default</w:t>
            </w:r>
          </w:p>
        </w:tc>
        <w:tc>
          <w:tcPr>
            <w:tcW w:type="dxa" w:w="4680"/>
            <w:shd w:fill="173F68"/>
            <w:vAlign w:val="center"/>
            <w:tcMar>
              <w:top w:w="55" w:type="dxa"/>
              <w:start w:w="70" w:type="dxa"/>
              <w:bottom w:w="55" w:type="dxa"/>
              <w:end w:w="70" w:type="dxa"/>
            </w:tcMar>
          </w:tcPr>
          <w:p>
            <w:pPr>
              <w:jc w:val="left"/>
            </w:pPr>
            <w:r>
              <w:rPr>
                <w:rFonts w:ascii="Liberation Sans" w:hAnsi="Liberation Sans"/>
                <w:b/>
                <w:color w:val="FFFFFF"/>
                <w:sz w:val="14"/>
              </w:rPr>
              <w:t>Purpose</w:t>
            </w:r>
          </w:p>
        </w:tc>
      </w:tr>
      <w:tr>
        <w:tc>
          <w:tcPr>
            <w:tcW w:type="dxa" w:w="309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APPLICATION_MODE</w:t>
            </w:r>
          </w:p>
        </w:tc>
        <w:tc>
          <w:tcPr>
            <w:tcW w:type="dxa" w:w="223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simulation</w:t>
            </w:r>
          </w:p>
        </w:tc>
        <w:tc>
          <w:tcPr>
            <w:tcW w:type="dxa" w:w="468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Prevents production semantics</w:t>
            </w:r>
          </w:p>
        </w:tc>
      </w:tr>
      <w:tr>
        <w:tc>
          <w:tcPr>
            <w:tcW w:type="dxa" w:w="309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PRODUCTION_WRITES_ENABLED</w:t>
            </w:r>
          </w:p>
        </w:tc>
        <w:tc>
          <w:tcPr>
            <w:tcW w:type="dxa" w:w="223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false</w:t>
            </w:r>
          </w:p>
        </w:tc>
        <w:tc>
          <w:tcPr>
            <w:tcW w:type="dxa" w:w="468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Second independent write guard</w:t>
            </w:r>
          </w:p>
        </w:tc>
      </w:tr>
      <w:tr>
        <w:tc>
          <w:tcPr>
            <w:tcW w:type="dxa" w:w="309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MODEL_PROVIDER</w:t>
            </w:r>
          </w:p>
        </w:tc>
        <w:tc>
          <w:tcPr>
            <w:tcW w:type="dxa" w:w="223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fake</w:t>
            </w:r>
          </w:p>
        </w:tc>
        <w:tc>
          <w:tcPr>
            <w:tcW w:type="dxa" w:w="468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Runs without API credentials</w:t>
            </w:r>
          </w:p>
        </w:tc>
      </w:tr>
      <w:tr>
        <w:tc>
          <w:tcPr>
            <w:tcW w:type="dxa" w:w="309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MODEL_NAME</w:t>
            </w:r>
          </w:p>
        </w:tc>
        <w:tc>
          <w:tcPr>
            <w:tcW w:type="dxa" w:w="223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demo</w:t>
            </w:r>
          </w:p>
        </w:tc>
        <w:tc>
          <w:tcPr>
            <w:tcW w:type="dxa" w:w="468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Model adapter label</w:t>
            </w:r>
          </w:p>
        </w:tc>
      </w:tr>
      <w:tr>
        <w:tc>
          <w:tcPr>
            <w:tcW w:type="dxa" w:w="309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MODEL_API_KEY</w:t>
            </w:r>
          </w:p>
        </w:tc>
        <w:tc>
          <w:tcPr>
            <w:tcW w:type="dxa" w:w="223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unset</w:t>
            </w:r>
          </w:p>
        </w:tc>
        <w:tc>
          <w:tcPr>
            <w:tcW w:type="dxa" w:w="468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Optional external model key, API container only</w:t>
            </w:r>
          </w:p>
        </w:tc>
      </w:tr>
      <w:tr>
        <w:tc>
          <w:tcPr>
            <w:tcW w:type="dxa" w:w="309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MCP_PROFILE</w:t>
            </w:r>
          </w:p>
        </w:tc>
        <w:tc>
          <w:tcPr>
            <w:tcW w:type="dxa" w:w="223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langchain_legacy</w:t>
            </w:r>
          </w:p>
        </w:tc>
        <w:tc>
          <w:tcPr>
            <w:tcW w:type="dxa" w:w="468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Explicit client/server compatibility profile</w:t>
            </w:r>
          </w:p>
        </w:tc>
      </w:tr>
      <w:tr>
        <w:tc>
          <w:tcPr>
            <w:tcW w:type="dxa" w:w="309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MCP_PROTOCOL_VERSION</w:t>
            </w:r>
          </w:p>
        </w:tc>
        <w:tc>
          <w:tcPr>
            <w:tcW w:type="dxa" w:w="223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2025-11-25</w:t>
            </w:r>
          </w:p>
        </w:tc>
        <w:tc>
          <w:tcPr>
            <w:tcW w:type="dxa" w:w="468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Default with langchain-mcp-adapters 0.3.2 and mcp&lt;2; modern profile uses 2026-07-28</w:t>
            </w:r>
          </w:p>
        </w:tc>
      </w:tr>
      <w:tr>
        <w:tc>
          <w:tcPr>
            <w:tcW w:type="dxa" w:w="309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MCP_STRICT_VERSION</w:t>
            </w:r>
          </w:p>
        </w:tc>
        <w:tc>
          <w:tcPr>
            <w:tcW w:type="dxa" w:w="223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true</w:t>
            </w:r>
          </w:p>
        </w:tc>
        <w:tc>
          <w:tcPr>
            <w:tcW w:type="dxa" w:w="468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Fail startup if the observed version differs from the selected profile</w:t>
            </w:r>
          </w:p>
        </w:tc>
      </w:tr>
      <w:tr>
        <w:tc>
          <w:tcPr>
            <w:tcW w:type="dxa" w:w="309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MCP_URL</w:t>
            </w:r>
          </w:p>
        </w:tc>
        <w:tc>
          <w:tcPr>
            <w:tcW w:type="dxa" w:w="223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http://mcp-sim:8100/mcp</w:t>
            </w:r>
          </w:p>
        </w:tc>
        <w:tc>
          <w:tcPr>
            <w:tcW w:type="dxa" w:w="468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Container-to-container tool endpoint</w:t>
            </w:r>
          </w:p>
        </w:tc>
      </w:tr>
      <w:tr>
        <w:tc>
          <w:tcPr>
            <w:tcW w:type="dxa" w:w="309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DATABASE_URL</w:t>
            </w:r>
          </w:p>
        </w:tc>
        <w:tc>
          <w:tcPr>
            <w:tcW w:type="dxa" w:w="223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postgresql://...@postgres:5432/...</w:t>
            </w:r>
          </w:p>
        </w:tc>
        <w:tc>
          <w:tcPr>
            <w:tcW w:type="dxa" w:w="468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Checkpoint, approval, idempotency and read-model database</w:t>
            </w:r>
          </w:p>
        </w:tc>
      </w:tr>
      <w:tr>
        <w:tc>
          <w:tcPr>
            <w:tcW w:type="dxa" w:w="309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DEMO_SCENARIO_DIR</w:t>
            </w:r>
          </w:p>
        </w:tc>
        <w:tc>
          <w:tcPr>
            <w:tcW w:type="dxa" w:w="223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/app/fixtures</w:t>
            </w:r>
          </w:p>
        </w:tc>
        <w:tc>
          <w:tcPr>
            <w:tcW w:type="dxa" w:w="468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Fixture location</w:t>
            </w:r>
          </w:p>
        </w:tc>
      </w:tr>
      <w:tr>
        <w:tc>
          <w:tcPr>
            <w:tcW w:type="dxa" w:w="309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UI_REFRESH_SECONDS</w:t>
            </w:r>
          </w:p>
        </w:tc>
        <w:tc>
          <w:tcPr>
            <w:tcW w:type="dxa" w:w="223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2</w:t>
            </w:r>
          </w:p>
        </w:tc>
        <w:tc>
          <w:tcPr>
            <w:tcW w:type="dxa" w:w="468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Read-model polling interval for live regions</w:t>
            </w:r>
          </w:p>
        </w:tc>
      </w:tr>
      <w:tr>
        <w:tc>
          <w:tcPr>
            <w:tcW w:type="dxa" w:w="309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LOG_LEVEL</w:t>
            </w:r>
          </w:p>
        </w:tc>
        <w:tc>
          <w:tcPr>
            <w:tcW w:type="dxa" w:w="223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INFO</w:t>
            </w:r>
          </w:p>
        </w:tc>
        <w:tc>
          <w:tcPr>
            <w:tcW w:type="dxa" w:w="468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Structured logging verbosity</w:t>
            </w:r>
          </w:p>
        </w:tc>
      </w:tr>
    </w:tbl>
    <w:p>
      <w:pPr>
        <w:spacing w:after="0"/>
      </w:pPr>
    </w:p>
    <w:p>
      <w:pPr>
        <w:pStyle w:val="Heading1"/>
        <w:pBdr>
          <w:bottom w:val="single" w:sz="8" w:space="1" w:color="DDEBF7"/>
        </w:pBdr>
      </w:pPr>
      <w:r>
        <w:t>10. Security, observability and KPI design</w:t>
      </w:r>
    </w:p>
    <w:p>
      <w:pPr>
        <w:pStyle w:val="Heading2"/>
      </w:pPr>
      <w:r>
        <w:t>10.1 Security controls</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376"/>
            <w:shd w:fill="17365D"/>
            <w:vAlign w:val="center"/>
            <w:tcMar>
              <w:top w:w="70" w:type="dxa"/>
              <w:start w:w="100" w:type="dxa"/>
              <w:bottom w:w="70" w:type="dxa"/>
              <w:end w:w="100" w:type="dxa"/>
            </w:tcMar>
          </w:tcPr>
          <w:p>
            <w:r>
              <w:rPr>
                <w:rFonts w:ascii="Liberation Sans" w:hAnsi="Liberation Sans"/>
                <w:b/>
                <w:color w:val="FFFFFF"/>
                <w:sz w:val="16"/>
              </w:rPr>
              <w:t>Control</w:t>
            </w:r>
          </w:p>
        </w:tc>
        <w:tc>
          <w:tcPr>
            <w:tcW w:type="dxa" w:w="7632"/>
            <w:shd w:fill="17365D"/>
            <w:vAlign w:val="center"/>
            <w:tcMar>
              <w:top w:w="70" w:type="dxa"/>
              <w:start w:w="100" w:type="dxa"/>
              <w:bottom w:w="70" w:type="dxa"/>
              <w:end w:w="100" w:type="dxa"/>
            </w:tcMar>
          </w:tcPr>
          <w:p>
            <w:r>
              <w:rPr>
                <w:rFonts w:ascii="Liberation Sans" w:hAnsi="Liberation Sans"/>
                <w:b/>
                <w:color w:val="FFFFFF"/>
                <w:sz w:val="16"/>
              </w:rPr>
              <w:t>Mockup requirement</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Demonstration banner</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Persistent visual warning that all operational actions are simulated</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RBAC</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FastAPI validates role for every approval and action; Streamlit controls are not the security boundary</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Secrets</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Model keys live only in API-container environment or Docker secrets; never in browser state, checkpoints or fixtures</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PII minimization</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Use synthetic customer data; redact identifiers before model calls and traces</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Prompt injection</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Treat technician notes, procedures and retrieved text as data; do not execute embedded instructions</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Tool allowlist</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LLM sees read-only tools only; graph nodes own write calls</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Idempotency</w:t>
            </w:r>
          </w:p>
        </w:tc>
        <w:tc>
          <w:tcPr>
            <w:tcW w:type="dxa" w:w="763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color w:val="1F1F1F"/>
                <w:sz w:val="16"/>
              </w:rPr>
              <w:t>Every write request has a deterministic key. The execution boundary returns the stored result on matching replay and rejects an approval that is missing, mismatched, not granted or already consumed by another key.</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Stale decision protection</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Recheck evidence freshness and policy after an approval resumes</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Origin control</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The MCP HTTP server validates allowed origins and is exposed only on the local Compose network by default [O6]</w:t>
            </w:r>
          </w:p>
        </w:tc>
      </w:tr>
      <w:tr>
        <w:tc>
          <w:tcPr>
            <w:tcW w:type="dxa" w:w="237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Protocol compatibility</w:t>
            </w:r>
          </w:p>
        </w:tc>
        <w:tc>
          <w:tcPr>
            <w:tcW w:type="dxa" w:w="763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shd w:fill="F9FAFB"/>
          </w:tcPr>
          <w:p>
            <w:pPr>
              <w:spacing w:after="0"/>
              <w:jc w:val="left"/>
            </w:pPr>
            <w:r>
              <w:rPr>
                <w:rFonts w:ascii="Liberation Sans" w:hAnsi="Liberation Sans"/>
                <w:b w:val="0"/>
                <w:color w:val="1F1F1F"/>
                <w:sz w:val="14"/>
              </w:rPr>
              <w:t>Client and server profile is pinned and verified at startup; no silent modern-to-legacy downgrade</w:t>
            </w:r>
          </w:p>
        </w:tc>
      </w:tr>
    </w:tbl>
    <w:p>
      <w:pPr>
        <w:spacing w:after="0"/>
      </w:pPr>
    </w:p>
    <w:p>
      <w:pPr>
        <w:pStyle w:val="Heading2"/>
      </w:pPr>
      <w:r>
        <w:t>10.2 Observability</w:t>
      </w:r>
    </w:p>
    <w:p>
      <w:pPr>
        <w:pStyle w:val="ListBullet"/>
        <w:ind w:left="331" w:hanging="173"/>
      </w:pPr>
      <w:r>
        <w:t>Structured logs with incident ID, correlation ID, stage, node, decision ID, approval ID and tool call ID.</w:t>
      </w:r>
    </w:p>
    <w:p>
      <w:pPr>
        <w:pStyle w:val="ListBullet"/>
        <w:ind w:left="331" w:hanging="173"/>
      </w:pPr>
      <w:r>
        <w:t>OpenTelemetry-compatible spans for graph nodes, model calls, MCP calls, database operations and human wait time.</w:t>
      </w:r>
    </w:p>
    <w:p>
      <w:pPr>
        <w:pStyle w:val="ListBullet"/>
        <w:ind w:left="331" w:hanging="173"/>
      </w:pPr>
      <w:r>
        <w:t>Optional LangSmith tracing for model and tool evaluation, disabled by default and redacted.</w:t>
      </w:r>
    </w:p>
    <w:p>
      <w:pPr>
        <w:pStyle w:val="ListBullet"/>
        <w:ind w:left="331" w:hanging="173"/>
      </w:pPr>
      <w:r>
        <w:t>System monitor showing service status, current interrupts, model latency, structured-output failures and MCP errors.</w:t>
      </w:r>
    </w:p>
    <w:p>
      <w:pPr>
        <w:pStyle w:val="ListBullet"/>
        <w:ind w:left="331" w:hanging="173"/>
      </w:pPr>
      <w:r>
        <w:t>Immutable audit timeline showing deterministic outputs, LLM proposals, policy reason codes, human decisions and action outcomes.</w:t>
      </w:r>
    </w:p>
    <w:p>
      <w:pPr>
        <w:pStyle w:val="Heading2"/>
      </w:pPr>
      <w:r>
        <w:t>10.3 Demonstration KPIs</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376"/>
            <w:shd w:fill="17365D"/>
            <w:vAlign w:val="center"/>
            <w:tcMar>
              <w:top w:w="70" w:type="dxa"/>
              <w:start w:w="100" w:type="dxa"/>
              <w:bottom w:w="70" w:type="dxa"/>
              <w:end w:w="100" w:type="dxa"/>
            </w:tcMar>
          </w:tcPr>
          <w:p>
            <w:r>
              <w:rPr>
                <w:rFonts w:ascii="Liberation Sans" w:hAnsi="Liberation Sans"/>
                <w:b/>
                <w:color w:val="FFFFFF"/>
                <w:sz w:val="16"/>
              </w:rPr>
              <w:t>KPI</w:t>
            </w:r>
          </w:p>
        </w:tc>
        <w:tc>
          <w:tcPr>
            <w:tcW w:type="dxa" w:w="7632"/>
            <w:shd w:fill="17365D"/>
            <w:vAlign w:val="center"/>
            <w:tcMar>
              <w:top w:w="70" w:type="dxa"/>
              <w:start w:w="100" w:type="dxa"/>
              <w:bottom w:w="70" w:type="dxa"/>
              <w:end w:w="100" w:type="dxa"/>
            </w:tcMar>
          </w:tcPr>
          <w:p>
            <w:r>
              <w:rPr>
                <w:rFonts w:ascii="Liberation Sans" w:hAnsi="Liberation Sans"/>
                <w:b/>
                <w:color w:val="FFFFFF"/>
                <w:sz w:val="16"/>
              </w:rPr>
              <w:t>Definition in mockup</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Workflow throughput</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Cases completed per scenario run</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Time to detect</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Signal occurrence to incident creation</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Time to diagnose</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Incident creation to approved RCA</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Human wait time</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Approval request to decision</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Recommendation acceptance</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Approved best-action recommendations / decisions reviewed</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Human override rate</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Approved alternative or edited decisions / decisions reviewed</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Remote resolution</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Cases closed after remote action / eligible cases</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Truck-roll avoidance</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Cases resolved without Clean/Dirty work order / active service incidents</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Repeat attempt rate</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Cases returning to RCA after an unsuccessful action / acted cases</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Handover acceptance</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Accepted MR handovers / handovers proposed</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Premature closure blocks</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Closure attempts blocked by validation or reconciliation</w:t>
            </w:r>
          </w:p>
        </w:tc>
      </w:tr>
      <w:tr>
        <w:tc>
          <w:tcPr>
            <w:tcW w:type="dxa" w:w="2376"/>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Model quality</w:t>
            </w:r>
          </w:p>
        </w:tc>
        <w:tc>
          <w:tcPr>
            <w:tcW w:type="dxa" w:w="7632"/>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RCA agreement and final confirmed-domain accuracy across fixtures</w:t>
            </w:r>
          </w:p>
        </w:tc>
      </w:tr>
    </w:tbl>
    <w:p>
      <w:pPr>
        <w:spacing w:after="0"/>
      </w:pPr>
    </w:p>
    <w:p>
      <w:pPr>
        <w:pStyle w:val="Heading1"/>
        <w:pBdr>
          <w:bottom w:val="single" w:sz="8" w:space="1" w:color="DDEBF7"/>
        </w:pBdr>
      </w:pPr>
      <w:r>
        <w:t>11. Test scenarios, acceptance criteria and future hardening</w:t>
      </w:r>
    </w:p>
    <w:p>
      <w:pPr>
        <w:pStyle w:val="Heading2"/>
      </w:pPr>
      <w:r>
        <w:t>11.1 Test strategy</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1728"/>
            <w:shd w:fill="17365D"/>
            <w:vAlign w:val="center"/>
            <w:tcMar>
              <w:top w:w="70" w:type="dxa"/>
              <w:start w:w="100" w:type="dxa"/>
              <w:bottom w:w="70" w:type="dxa"/>
              <w:end w:w="100" w:type="dxa"/>
            </w:tcMar>
          </w:tcPr>
          <w:p>
            <w:r>
              <w:rPr>
                <w:rFonts w:ascii="Liberation Sans" w:hAnsi="Liberation Sans"/>
                <w:b/>
                <w:color w:val="FFFFFF"/>
                <w:sz w:val="16"/>
              </w:rPr>
              <w:t>Layer</w:t>
            </w:r>
          </w:p>
        </w:tc>
        <w:tc>
          <w:tcPr>
            <w:tcW w:type="dxa" w:w="8280"/>
            <w:shd w:fill="17365D"/>
            <w:vAlign w:val="center"/>
            <w:tcMar>
              <w:top w:w="70" w:type="dxa"/>
              <w:start w:w="100" w:type="dxa"/>
              <w:bottom w:w="70" w:type="dxa"/>
              <w:end w:w="100" w:type="dxa"/>
            </w:tcMar>
          </w:tcPr>
          <w:p>
            <w:r>
              <w:rPr>
                <w:rFonts w:ascii="Liberation Sans" w:hAnsi="Liberation Sans"/>
                <w:b/>
                <w:color w:val="FFFFFF"/>
                <w:sz w:val="16"/>
              </w:rPr>
              <w:t>Tests</w:t>
            </w:r>
          </w:p>
        </w:tc>
      </w:tr>
      <w:tr>
        <w:tc>
          <w:tcPr>
            <w:tcW w:type="dxa" w:w="172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Unit</w:t>
            </w:r>
          </w:p>
        </w:tc>
        <w:tc>
          <w:tcPr>
            <w:tcW w:type="dxa" w:w="82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Detectors, policy, fusion, schemas, routing, staleness, role checks, idempotency and KPI calculations</w:t>
            </w:r>
          </w:p>
        </w:tc>
      </w:tr>
      <w:tr>
        <w:tc>
          <w:tcPr>
            <w:tcW w:type="dxa" w:w="172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Contract</w:t>
            </w:r>
          </w:p>
        </w:tc>
        <w:tc>
          <w:tcPr>
            <w:tcW w:type="dxa" w:w="82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Every MCP tool, model adapter, FastAPI endpoint and persistence adapter</w:t>
            </w:r>
          </w:p>
        </w:tc>
      </w:tr>
      <w:tr>
        <w:tc>
          <w:tcPr>
            <w:tcW w:type="dxa" w:w="172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Graph</w:t>
            </w:r>
          </w:p>
        </w:tc>
        <w:tc>
          <w:tcPr>
            <w:tcW w:type="dxa" w:w="82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Each branch, interrupt, resume, retry loop, failure budget and closure gate</w:t>
            </w:r>
          </w:p>
        </w:tc>
      </w:tr>
      <w:tr>
        <w:tc>
          <w:tcPr>
            <w:tcW w:type="dxa" w:w="172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Integration</w:t>
            </w:r>
          </w:p>
        </w:tc>
        <w:tc>
          <w:tcPr>
            <w:tcW w:type="dxa" w:w="82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FastAPI + LangGraph + Postgres + MCP simulation</w:t>
            </w:r>
          </w:p>
        </w:tc>
      </w:tr>
      <w:tr>
        <w:tc>
          <w:tcPr>
            <w:tcW w:type="dxa" w:w="172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UI</w:t>
            </w:r>
          </w:p>
        </w:tc>
        <w:tc>
          <w:tcPr>
            <w:tcW w:type="dxa" w:w="82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Streamlit page rendering, filters, selection, approval dialogs and error states</w:t>
            </w:r>
          </w:p>
        </w:tc>
      </w:tr>
      <w:tr>
        <w:tc>
          <w:tcPr>
            <w:tcW w:type="dxa" w:w="172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Scenario</w:t>
            </w:r>
          </w:p>
        </w:tc>
        <w:tc>
          <w:tcPr>
            <w:tcW w:type="dxa" w:w="8280"/>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tcPr>
          <w:p>
            <w:pPr>
              <w:spacing w:after="0"/>
              <w:jc w:val="left"/>
            </w:pPr>
            <w:r>
              <w:rPr>
                <w:rFonts w:ascii="Liberation Sans" w:hAnsi="Liberation Sans"/>
                <w:color w:val="1F1F1F"/>
                <w:sz w:val="16"/>
              </w:rPr>
              <w:t>S1-S9 from a clean Compose environment, including reverse handover, domain disagreement, duplicate resume and bounded escalation</w:t>
            </w:r>
          </w:p>
        </w:tc>
      </w:tr>
      <w:tr>
        <w:tc>
          <w:tcPr>
            <w:tcW w:type="dxa" w:w="172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Resilience</w:t>
            </w:r>
          </w:p>
        </w:tc>
        <w:tc>
          <w:tcPr>
            <w:tcW w:type="dxa" w:w="828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Container restart during approval, duplicate webhook, stale telemetry, MCP timeout and model unavailable</w:t>
            </w:r>
          </w:p>
        </w:tc>
      </w:tr>
    </w:tbl>
    <w:p>
      <w:pPr>
        <w:spacing w:after="0"/>
      </w:pPr>
    </w:p>
    <w:p>
      <w:pPr>
        <w:pStyle w:val="Heading2"/>
      </w:pPr>
      <w:r>
        <w:t>11.2 Acceptance criteria</w:t>
      </w:r>
    </w:p>
    <w:p>
      <w:pPr>
        <w:ind w:left="346" w:hanging="346"/>
      </w:pPr>
      <w:r>
        <w:rPr>
          <w:rFonts w:ascii="Liberation Sans" w:hAnsi="Liberation Sans"/>
          <w:b/>
          <w:color w:val="1F7A8C"/>
        </w:rPr>
        <w:t>1.  A clean workstation with Docker Desktop can run the stack using docker compose up --build.</w:t>
      </w:r>
    </w:p>
    <w:p>
      <w:pPr>
        <w:ind w:left="346" w:hanging="346"/>
      </w:pPr>
      <w:r>
        <w:rPr>
          <w:rFonts w:ascii="Liberation Sans" w:hAnsi="Liberation Sans"/>
          <w:b/>
          <w:color w:val="1F7A8C"/>
        </w:rPr>
        <w:t>2.  The Streamlit console is available at localhost:8501 and FastAPI documentation at localhost:8000/docs.</w:t>
      </w:r>
    </w:p>
    <w:p>
      <w:pPr>
        <w:ind w:left="346" w:hanging="346"/>
      </w:pPr>
      <w:r>
        <w:rPr>
          <w:rFonts w:ascii="Liberation Sans" w:hAnsi="Liberation Sans"/>
          <w:b/>
          <w:color w:val="1F7A8C"/>
        </w:rPr>
        <w:t>3.  The demo runs with MODEL_PROVIDER=fake and no external credentials.</w:t>
      </w:r>
    </w:p>
    <w:p>
      <w:pPr>
        <w:ind w:left="346" w:hanging="346"/>
      </w:pPr>
      <w:r>
        <w:rPr>
          <w:rFonts w:ascii="Liberation Sans" w:hAnsi="Liberation Sans"/>
          <w:b/>
          <w:color w:val="1F7A8C"/>
        </w:rPr>
        <w:t>4.  Each scenario creates one incident and one durable thread; the SLA start never resets.</w:t>
      </w:r>
    </w:p>
    <w:p>
      <w:pPr>
        <w:ind w:left="346" w:hanging="346"/>
      </w:pPr>
      <w:r>
        <w:rPr>
          <w:rFonts w:ascii="Liberation Sans" w:hAnsi="Liberation Sans"/>
          <w:b/>
          <w:color w:val="1F7A8C"/>
        </w:rPr>
        <w:t>5.  Common-cause children expose parent_incident_id and the authoritative SLA mode without losing their original clock.</w:t>
      </w:r>
    </w:p>
    <w:p>
      <w:pPr>
        <w:ind w:left="346" w:hanging="346"/>
      </w:pPr>
      <w:r>
        <w:rPr>
          <w:rFonts w:ascii="Liberation Sans" w:hAnsi="Liberation Sans"/>
          <w:b/>
          <w:color w:val="1F7A8C"/>
        </w:rPr>
        <w:t>6.  At least one graph path pauses for human approval and resumes correctly after an API-container restart.</w:t>
      </w:r>
    </w:p>
    <w:p>
      <w:pPr>
        <w:ind w:left="346" w:hanging="346"/>
      </w:pPr>
      <w:r>
        <w:rPr>
          <w:rFonts w:ascii="Liberation Sans" w:hAnsi="Liberation Sans"/>
          <w:b/>
          <w:color w:val="1F7A8C"/>
        </w:rPr>
        <w:t>7.  The incident queue is populated from the read model rather than checkpoint scanning.</w:t>
      </w:r>
    </w:p>
    <w:p>
      <w:pPr>
        <w:ind w:left="346" w:hanging="346"/>
      </w:pPr>
      <w:r>
        <w:rPr>
          <w:rFonts w:ascii="Liberation Sans" w:hAnsi="Liberation Sans"/>
          <w:b/>
          <w:color w:val="1F7A8C"/>
        </w:rPr>
        <w:t>8.  The workbench shows deterministic analysis, LLM proposal, evidence, confidence, both responsibility domains, gate reason, policy result, best action and next-best action.</w:t>
      </w:r>
    </w:p>
    <w:p>
      <w:pPr>
        <w:ind w:left="346" w:hanging="346"/>
      </w:pPr>
      <w:r>
        <w:rPr>
          <w:rFonts w:ascii="Liberation Sans" w:hAnsi="Liberation Sans"/>
          <w:b/>
          <w:color w:val="1F7A8C"/>
        </w:rPr>
        <w:t>9.  Confidence above threshold does not bypass a human when deterministic and LLM responsibility domains disagree.</w:t>
      </w:r>
    </w:p>
    <w:p>
      <w:pPr>
        <w:ind w:left="346" w:hanging="346"/>
      </w:pPr>
      <w:r>
        <w:rPr>
          <w:rFonts w:ascii="Liberation Sans" w:hAnsi="Liberation Sans"/>
          <w:b/>
          <w:color w:val="1F7A8C"/>
        </w:rPr>
        <w:t>10.  Resuming an approved action twice creates exactly one effect; the second request returns replayed=true.</w:t>
      </w:r>
    </w:p>
    <w:p>
      <w:pPr>
        <w:ind w:left="346" w:hanging="346"/>
      </w:pPr>
      <w:r>
        <w:rPr>
          <w:rFonts w:ascii="Liberation Sans" w:hAnsi="Liberation Sans"/>
          <w:b/>
          <w:color w:val="1F7A8C"/>
        </w:rPr>
        <w:t>11.  Using an already-consumed approval with a different key returns APPROVAL_ALREADY_CONSUMED and records the rejection.</w:t>
      </w:r>
    </w:p>
    <w:p>
      <w:pPr>
        <w:ind w:left="346" w:hanging="346"/>
      </w:pPr>
      <w:r>
        <w:rPr>
          <w:rFonts w:ascii="Liberation Sans" w:hAnsi="Liberation Sans"/>
          <w:b/>
          <w:color w:val="1F7A8C"/>
        </w:rPr>
        <w:t>12.  A failed action records the attempt and returns to RCA only when new evidence exists and the existing budget guard permits another cycle.</w:t>
      </w:r>
    </w:p>
    <w:p>
      <w:r>
        <w:t>13.  Exceeding the diagnostic or attempt budget escalates instead of starting another loop.</w:t>
      </w:r>
    </w:p>
    <w:p>
      <w:r>
        <w:t>14.  Clean-to-Dirty handover requires exact tap/ODP and complete evidence; incomplete evidence blocks MR creation.</w:t>
      </w:r>
    </w:p>
    <w:p>
      <w:r>
        <w:t>15.  Reverse handover returns the same incident from Dirty Boots to Clean Boots without a new SLA clock.</w:t>
      </w:r>
    </w:p>
    <w:p>
      <w:r>
        <w:t>16.  Closure is blocked until post-action validation and linked-record reconciliation pass.</w:t>
      </w:r>
    </w:p>
    <w:p>
      <w:r>
        <w:t>17.  All external actions are marked simulated; production writes remain disabled; both PostgreSQL and mcp-sim report healthy before the API becomes ready.</w:t>
      </w:r>
    </w:p>
    <w:p>
      <w:r>
        <w:t>18.  The observed MCP protocol version matches the selected compatibility profile, or startup fails with a clear diagnostic.</w:t>
      </w:r>
    </w:p>
    <w:p>
      <w:pPr>
        <w:pStyle w:val="Heading2"/>
      </w:pPr>
      <w:r>
        <w:t>11.3 Production hardening path</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3240"/>
            <w:shd w:fill="17365D"/>
            <w:vAlign w:val="center"/>
            <w:tcMar>
              <w:top w:w="70" w:type="dxa"/>
              <w:start w:w="100" w:type="dxa"/>
              <w:bottom w:w="70" w:type="dxa"/>
              <w:end w:w="100" w:type="dxa"/>
            </w:tcMar>
          </w:tcPr>
          <w:p>
            <w:r>
              <w:rPr>
                <w:rFonts w:ascii="Liberation Sans" w:hAnsi="Liberation Sans"/>
                <w:b/>
                <w:color w:val="FFFFFF"/>
                <w:sz w:val="16"/>
              </w:rPr>
              <w:t>Mockup capability</w:t>
            </w:r>
          </w:p>
        </w:tc>
        <w:tc>
          <w:tcPr>
            <w:tcW w:type="dxa" w:w="6768"/>
            <w:shd w:fill="17365D"/>
            <w:vAlign w:val="center"/>
            <w:tcMar>
              <w:top w:w="70" w:type="dxa"/>
              <w:start w:w="100" w:type="dxa"/>
              <w:bottom w:w="70" w:type="dxa"/>
              <w:end w:w="100" w:type="dxa"/>
            </w:tcMar>
          </w:tcPr>
          <w:p>
            <w:r>
              <w:rPr>
                <w:rFonts w:ascii="Liberation Sans" w:hAnsi="Liberation Sans"/>
                <w:b/>
                <w:color w:val="FFFFFF"/>
                <w:sz w:val="16"/>
              </w:rPr>
              <w:t>Production upgrade</w:t>
            </w:r>
          </w:p>
        </w:tc>
      </w:tr>
      <w:tr>
        <w:tc>
          <w:tcPr>
            <w:tcW w:type="dxa" w:w="324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Synthetic roles</w:t>
            </w:r>
          </w:p>
        </w:tc>
        <w:tc>
          <w:tcPr>
            <w:tcW w:type="dxa" w:w="676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Enterprise OIDC and backend RBAC binding</w:t>
            </w:r>
          </w:p>
        </w:tc>
      </w:tr>
      <w:tr>
        <w:tc>
          <w:tcPr>
            <w:tcW w:type="dxa" w:w="324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One API process</w:t>
            </w:r>
          </w:p>
        </w:tc>
        <w:tc>
          <w:tcPr>
            <w:tcW w:type="dxa" w:w="676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Separate API and workflow workers with queueing and concurrency control</w:t>
            </w:r>
          </w:p>
        </w:tc>
      </w:tr>
      <w:tr>
        <w:tc>
          <w:tcPr>
            <w:tcW w:type="dxa" w:w="324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Fixture MCP server</w:t>
            </w:r>
          </w:p>
        </w:tc>
        <w:tc>
          <w:tcPr>
            <w:tcW w:type="dxa" w:w="676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Verified adapters for NXT, CPE, WFM, inventory and jTrack; per-system authentication</w:t>
            </w:r>
          </w:p>
        </w:tc>
      </w:tr>
      <w:tr>
        <w:tc>
          <w:tcPr>
            <w:tcW w:type="dxa" w:w="324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Single Postgres</w:t>
            </w:r>
          </w:p>
        </w:tc>
        <w:tc>
          <w:tcPr>
            <w:tcW w:type="dxa" w:w="676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Managed database, backup, retention, encryption and HA</w:t>
            </w:r>
          </w:p>
        </w:tc>
      </w:tr>
      <w:tr>
        <w:tc>
          <w:tcPr>
            <w:tcW w:type="dxa" w:w="324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Simple read model</w:t>
            </w:r>
          </w:p>
        </w:tc>
        <w:tc>
          <w:tcPr>
            <w:tcW w:type="dxa" w:w="676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Event/outbox projector, durable event stream and historical KPI warehouse</w:t>
            </w:r>
          </w:p>
        </w:tc>
      </w:tr>
      <w:tr>
        <w:tc>
          <w:tcPr>
            <w:tcW w:type="dxa" w:w="324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Optional external LLM</w:t>
            </w:r>
          </w:p>
        </w:tc>
        <w:tc>
          <w:tcPr>
            <w:tcW w:type="dxa" w:w="676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Approved model gateway, prompt/model registry, evaluation, rate limits and cost controls</w:t>
            </w:r>
          </w:p>
        </w:tc>
      </w:tr>
      <w:tr>
        <w:tc>
          <w:tcPr>
            <w:tcW w:type="dxa" w:w="324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Demo dispatch fixture</w:t>
            </w:r>
          </w:p>
        </w:tc>
        <w:tc>
          <w:tcPr>
            <w:tcW w:type="dxa" w:w="676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6"/>
              </w:rPr>
              <w:t>Deterministic optimizer integrated with real availability, travel, parts and access constraints</w:t>
            </w:r>
          </w:p>
        </w:tc>
      </w:tr>
      <w:tr>
        <w:tc>
          <w:tcPr>
            <w:tcW w:type="dxa" w:w="3240"/>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Basic audit</w:t>
            </w:r>
          </w:p>
        </w:tc>
        <w:tc>
          <w:tcPr>
            <w:tcW w:type="dxa" w:w="6768"/>
            <w:vAlign w:val="top"/>
            <w:tcMar>
              <w:top w:w="60" w:type="dxa"/>
              <w:start w:w="100" w:type="dxa"/>
              <w:bottom w:w="60"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6"/>
              </w:rPr>
              <w:t>Enterprise SIEM, immutable retention and operational runbooks</w:t>
            </w:r>
          </w:p>
        </w:tc>
      </w:tr>
    </w:tbl>
    <w:p>
      <w:pPr>
        <w:spacing w:after="0"/>
      </w:pPr>
    </w:p>
    <w:p>
      <w:pPr>
        <w:pStyle w:val="Heading1"/>
        <w:pBdr>
          <w:bottom w:val="single" w:sz="8" w:space="1" w:color="DDEBF7"/>
        </w:pBdr>
      </w:pPr>
      <w:r>
        <w:t>Appendix A. Schemas and interfaces</w:t>
      </w:r>
    </w:p>
    <w:p>
      <w:pPr>
        <w:pStyle w:val="Heading2"/>
      </w:pPr>
      <w:r>
        <w:t>A.1 RCA proposal</w:t>
      </w:r>
    </w:p>
    <w:p>
      <w:pPr>
        <w:spacing w:after="40"/>
      </w:pPr>
      <w:r>
        <w:rPr>
          <w:rFonts w:ascii="Liberation Sans" w:hAnsi="Liberation Sans"/>
          <w:b/>
          <w:color w:val="7030A0"/>
          <w:sz w:val="16"/>
        </w:rPr>
        <w:t>Illustrative Pydantic contract</w:t>
      </w:r>
    </w:p>
    <w:tbl>
      <w:tblPr>
        <w:tblW w:type="auto" w:w="0"/>
        <w:tblLook w:firstColumn="1" w:firstRow="1" w:lastColumn="0" w:lastRow="0" w:noHBand="0" w:noVBand="1" w:val="04A0"/>
      </w:tblPr>
      <w:tblGrid>
        <w:gridCol w:w="10282"/>
      </w:tblGrid>
      <w:tr>
        <w:tc>
          <w:tcPr>
            <w:tcW w:type="dxa" w:w="10282"/>
            <w:shd w:fill="F7F7F7"/>
            <w:tcBorders>
              <w:top w:val="single" w:sz="4" w:color="BFC7CE"/>
              <w:left w:val="single" w:sz="4" w:color="BFC7CE"/>
              <w:bottom w:val="single" w:sz="4" w:color="BFC7CE"/>
              <w:right w:val="single" w:sz="4" w:color="BFC7CE"/>
            </w:tcBorders>
            <w:tcMar>
              <w:top w:w="55" w:type="dxa"/>
              <w:start w:w="70" w:type="dxa"/>
              <w:bottom w:w="55" w:type="dxa"/>
              <w:end w:w="70" w:type="dxa"/>
            </w:tcMar>
            <w:vAlign w:val="center"/>
          </w:tcPr>
          <w:p>
            <w:pPr>
              <w:pStyle w:val="Code"/>
              <w:jc w:val="left"/>
            </w:pPr>
            <w:r>
              <w:rPr>
                <w:rFonts w:ascii="Liberation Mono" w:hAnsi="Liberation Mono"/>
                <w:sz w:val="14"/>
              </w:rPr>
              <w:t>class RCAProposal(BaseModel):</w:t>
              <w:br/>
              <w:t xml:space="preserve">    decision_id: str</w:t>
              <w:br/>
              <w:t xml:space="preserve">    llm_recommended_domain: FaultDomain</w:t>
              <w:br/>
              <w:t xml:space="preserve">    hypotheses: list[RCAHypothesis]</w:t>
              <w:br/>
              <w:t xml:space="preserve">    confidence: float = Field(ge=0.0, le=1.0)</w:t>
              <w:br/>
              <w:t xml:space="preserve">    evidence_refs: list[str]</w:t>
              <w:br/>
              <w:t xml:space="preserve">    ruled_out: list[str]</w:t>
              <w:br/>
              <w:t xml:space="preserve">    missing_evidence: list[str]</w:t>
              <w:br/>
              <w:t xml:space="preserve">    recommended_tests: list[str]</w:t>
              <w:br/>
              <w:t xml:space="preserve">    concise_rationale: str</w:t>
              <w:br/>
              <w:t xml:space="preserve">    model_name: str</w:t>
              <w:br/>
              <w:t xml:space="preserve">    prompt_version: str</w:t>
              <w:br/>
              <w:t xml:space="preserve">    created_at: datetime</w:t>
              <w:br/>
              <w:t xml:space="preserve">    expires_at: datetime</w:t>
              <w:br/>
              <w:br/>
              <w:t>class FusedRCA(BaseModel):</w:t>
              <w:br/>
              <w:t xml:space="preserve">    deterministic_domain: FaultDomain</w:t>
              <w:br/>
              <w:t xml:space="preserve">    llm_domain: FaultDomain</w:t>
              <w:br/>
              <w:t xml:space="preserve">    domain_agreement: Literal["agree", "disagree"]</w:t>
              <w:br/>
              <w:t xml:space="preserve">    gate_reason: Literal["low_confidence", "domain_disagreement", "stale_evidence", "policy", "none"]</w:t>
              <w:br/>
              <w:t xml:space="preserve">    confidence: float</w:t>
            </w:r>
          </w:p>
        </w:tc>
      </w:tr>
    </w:tbl>
    <w:p>
      <w:pPr>
        <w:spacing w:after="0"/>
      </w:pPr>
    </w:p>
    <w:p>
      <w:pPr>
        <w:pStyle w:val="Heading2"/>
      </w:pPr>
      <w:r>
        <w:t>A.2 Action proposal</w:t>
      </w:r>
    </w:p>
    <w:p>
      <w:pPr>
        <w:spacing w:after="40"/>
      </w:pPr>
      <w:r>
        <w:rPr>
          <w:rFonts w:ascii="Liberation Sans" w:hAnsi="Liberation Sans"/>
          <w:b/>
          <w:color w:val="7030A0"/>
          <w:sz w:val="16"/>
        </w:rPr>
        <w:t>Illustrative Pydantic contract</w:t>
      </w:r>
    </w:p>
    <w:tbl>
      <w:tblPr>
        <w:tblW w:type="auto" w:w="0"/>
        <w:tblLook w:firstColumn="1" w:firstRow="1" w:lastColumn="0" w:lastRow="0" w:noHBand="0" w:noVBand="1" w:val="04A0"/>
      </w:tblPr>
      <w:tblGrid>
        <w:gridCol w:w="10282"/>
      </w:tblGrid>
      <w:tr>
        <w:tc>
          <w:tcPr>
            <w:tcW w:type="dxa" w:w="10282"/>
            <w:shd w:fill="F7F7F7"/>
            <w:tcBorders>
              <w:top w:val="single" w:sz="4" w:color="BFC7CE"/>
              <w:left w:val="single" w:sz="4" w:color="BFC7CE"/>
              <w:bottom w:val="single" w:sz="4" w:color="BFC7CE"/>
              <w:right w:val="single" w:sz="4" w:color="BFC7CE"/>
            </w:tcBorders>
            <w:tcMar>
              <w:top w:w="100" w:type="dxa"/>
              <w:start w:w="130" w:type="dxa"/>
              <w:bottom w:w="100" w:type="dxa"/>
              <w:end w:w="130" w:type="dxa"/>
            </w:tcMar>
          </w:tcPr>
          <w:p>
            <w:pPr>
              <w:pStyle w:val="Code"/>
            </w:pPr>
            <w:r>
              <w:t>class ActionPlan(BaseModel):</w:t>
              <w:br/>
              <w:t xml:space="preserve">    best_action: ActionCandidate</w:t>
              <w:br/>
              <w:t xml:space="preserve">    next_best_action: ActionCandidate | None</w:t>
              <w:br/>
              <w:t xml:space="preserve">    fallback_trigger: str | None</w:t>
              <w:br/>
              <w:t xml:space="preserve">    do_not_repeat: str | None</w:t>
              <w:br/>
              <w:t xml:space="preserve">    evidence_refs: list[str]</w:t>
              <w:br/>
              <w:t xml:space="preserve">    policy_decision_id: str | None = None</w:t>
              <w:br/>
              <w:t xml:space="preserve">    approval_kind: ApprovalKind | None = None</w:t>
            </w:r>
          </w:p>
        </w:tc>
      </w:tr>
    </w:tbl>
    <w:p>
      <w:pPr>
        <w:spacing w:after="0"/>
      </w:pPr>
    </w:p>
    <w:p>
      <w:pPr>
        <w:pStyle w:val="Heading2"/>
      </w:pPr>
      <w:r>
        <w:t>A.3 Approval response</w:t>
      </w:r>
    </w:p>
    <w:p>
      <w:pPr>
        <w:spacing w:after="40"/>
      </w:pPr>
      <w:r>
        <w:rPr>
          <w:rFonts w:ascii="Liberation Sans" w:hAnsi="Liberation Sans"/>
          <w:b/>
          <w:color w:val="7030A0"/>
          <w:sz w:val="16"/>
        </w:rPr>
        <w:t>Illustrative Pydantic contract</w:t>
      </w:r>
    </w:p>
    <w:tbl>
      <w:tblPr>
        <w:tblW w:type="auto" w:w="0"/>
        <w:tblLook w:firstColumn="1" w:firstRow="1" w:lastColumn="0" w:lastRow="0" w:noHBand="0" w:noVBand="1" w:val="04A0"/>
      </w:tblPr>
      <w:tblGrid>
        <w:gridCol w:w="10282"/>
      </w:tblGrid>
      <w:tr>
        <w:tc>
          <w:tcPr>
            <w:tcW w:type="dxa" w:w="10282"/>
            <w:shd w:fill="F7F7F7"/>
            <w:tcBorders>
              <w:top w:val="single" w:sz="4" w:color="BFC7CE"/>
              <w:left w:val="single" w:sz="4" w:color="BFC7CE"/>
              <w:bottom w:val="single" w:sz="4" w:color="BFC7CE"/>
              <w:right w:val="single" w:sz="4" w:color="BFC7CE"/>
            </w:tcBorders>
            <w:tcMar>
              <w:top w:w="100" w:type="dxa"/>
              <w:start w:w="130" w:type="dxa"/>
              <w:bottom w:w="100" w:type="dxa"/>
              <w:end w:w="130" w:type="dxa"/>
            </w:tcMar>
          </w:tcPr>
          <w:p>
            <w:pPr>
              <w:pStyle w:val="Code"/>
            </w:pPr>
            <w:r>
              <w:t>class ApprovalDecision(BaseModel):</w:t>
              <w:br/>
              <w:t xml:space="preserve">    approval_id: str</w:t>
              <w:br/>
              <w:t xml:space="preserve">    incident_id: str</w:t>
              <w:br/>
              <w:t xml:space="preserve">    response: Literal[</w:t>
              <w:br/>
              <w:t xml:space="preserve">        "approve", "approve_alternative", "edit",</w:t>
              <w:br/>
              <w:t xml:space="preserve">        "request_more", "reject", "return_to_rca", "escalate"</w:t>
              <w:br/>
              <w:t xml:space="preserve">    ]</w:t>
              <w:br/>
              <w:t xml:space="preserve">    selected_option_id: str | None = None</w:t>
              <w:br/>
              <w:t xml:space="preserve">    permitted_edits: dict[str, JsonValue] = Field(default_factory=dict)</w:t>
              <w:br/>
              <w:t xml:space="preserve">    reason_code: str</w:t>
              <w:br/>
              <w:t xml:space="preserve">    reason_text: str</w:t>
              <w:br/>
              <w:t xml:space="preserve">    actor_id: str</w:t>
              <w:br/>
              <w:t xml:space="preserve">    actor_role: Role</w:t>
              <w:br/>
              <w:t xml:space="preserve">    idempotency_key: str</w:t>
              <w:br/>
              <w:t xml:space="preserve">    decided_at: datetime</w:t>
            </w:r>
          </w:p>
        </w:tc>
      </w:tr>
    </w:tbl>
    <w:p>
      <w:pPr>
        <w:spacing w:after="0"/>
      </w:pPr>
    </w:p>
    <w:p>
      <w:pPr>
        <w:pStyle w:val="Heading2"/>
      </w:pPr>
      <w:r>
        <w:t>A.4 Write-tool envelope</w:t>
      </w:r>
    </w:p>
    <w:p>
      <w:pPr>
        <w:spacing w:after="40"/>
      </w:pPr>
      <w:r>
        <w:rPr>
          <w:rFonts w:ascii="Liberation Sans" w:hAnsi="Liberation Sans"/>
          <w:b/>
          <w:color w:val="7030A0"/>
          <w:sz w:val="16"/>
        </w:rPr>
        <w:t>Illustrative Pydantic contract</w:t>
      </w:r>
    </w:p>
    <w:tbl>
      <w:tblPr>
        <w:tblW w:type="auto" w:w="0"/>
        <w:tblLook w:firstColumn="1" w:firstRow="1" w:lastColumn="0" w:lastRow="0" w:noHBand="0" w:noVBand="1" w:val="04A0"/>
      </w:tblPr>
      <w:tblGrid>
        <w:gridCol w:w="10282"/>
      </w:tblGrid>
      <w:tr>
        <w:tc>
          <w:tcPr>
            <w:tcW w:type="dxa" w:w="10282"/>
            <w:shd w:fill="F7F7F7"/>
            <w:tcBorders>
              <w:top w:val="single" w:sz="4" w:color="BFC7CE"/>
              <w:left w:val="single" w:sz="4" w:color="BFC7CE"/>
              <w:bottom w:val="single" w:sz="4" w:color="BFC7CE"/>
              <w:right w:val="single" w:sz="4" w:color="BFC7CE"/>
            </w:tcBorders>
            <w:tcMar>
              <w:top w:w="55" w:type="dxa"/>
              <w:start w:w="70" w:type="dxa"/>
              <w:bottom w:w="55" w:type="dxa"/>
              <w:end w:w="70" w:type="dxa"/>
            </w:tcMar>
            <w:vAlign w:val="center"/>
          </w:tcPr>
          <w:p>
            <w:pPr>
              <w:pStyle w:val="Code"/>
              <w:jc w:val="left"/>
            </w:pPr>
            <w:r>
              <w:rPr>
                <w:rFonts w:ascii="Liberation Mono" w:hAnsi="Liberation Mono"/>
                <w:sz w:val="14"/>
              </w:rPr>
              <w:t>class ToolActionRequest(BaseModel):</w:t>
              <w:br/>
              <w:t xml:space="preserve">    incident_id: str</w:t>
              <w:br/>
              <w:t xml:space="preserve">    correlation_id: str</w:t>
              <w:br/>
              <w:t xml:space="preserve">    action_type: ActionType</w:t>
              <w:br/>
              <w:t xml:space="preserve">    target_ref: str</w:t>
              <w:br/>
              <w:t xml:space="preserve">    attempt: int</w:t>
              <w:br/>
              <w:t xml:space="preserve">    approval_id: str | None</w:t>
              <w:br/>
              <w:t xml:space="preserve">    actor_id: str</w:t>
              <w:br/>
              <w:t xml:space="preserve">    reason_code: str</w:t>
              <w:br/>
              <w:t xml:space="preserve">    idempotency_key: str</w:t>
              <w:br/>
              <w:t xml:space="preserve">    dry_run: bool = True</w:t>
              <w:br/>
              <w:t xml:space="preserve">    payload: dict[str, JsonValue]</w:t>
              <w:br/>
              <w:br/>
              <w:t>class ToolActionResult(BaseModel):</w:t>
              <w:br/>
              <w:t xml:space="preserve">    outcome: ActionOutcome</w:t>
              <w:br/>
              <w:t xml:space="preserve">    simulated: bool = True</w:t>
              <w:br/>
              <w:t xml:space="preserve">    replayed: bool = False</w:t>
              <w:br/>
              <w:t xml:space="preserve">    approval_consumed: bool</w:t>
              <w:br/>
              <w:t xml:space="preserve">    result_ref: str</w:t>
            </w:r>
          </w:p>
        </w:tc>
      </w:tr>
    </w:tbl>
    <w:p>
      <w:pPr>
        <w:spacing w:after="0"/>
      </w:pPr>
    </w:p>
    <w:p>
      <w:pPr>
        <w:pStyle w:val="Heading1"/>
        <w:pBdr>
          <w:bottom w:val="single" w:sz="8" w:space="1" w:color="DDEBF7"/>
        </w:pBdr>
      </w:pPr>
      <w:r>
        <w:t>Appendix B. References</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936"/>
            <w:shd w:fill="17365D"/>
            <w:vAlign w:val="center"/>
            <w:tcMar>
              <w:top w:w="35" w:type="dxa"/>
              <w:start w:w="100" w:type="dxa"/>
              <w:bottom w:w="35" w:type="dxa"/>
              <w:end w:w="100" w:type="dxa"/>
            </w:tcMar>
          </w:tcPr>
          <w:p>
            <w:r>
              <w:rPr>
                <w:rFonts w:ascii="Liberation Sans" w:hAnsi="Liberation Sans"/>
                <w:b/>
                <w:color w:val="FFFFFF"/>
                <w:sz w:val="14"/>
              </w:rPr>
              <w:t>Ref.</w:t>
            </w:r>
          </w:p>
        </w:tc>
        <w:tc>
          <w:tcPr>
            <w:tcW w:type="dxa" w:w="9072"/>
            <w:shd w:fill="17365D"/>
            <w:vAlign w:val="center"/>
            <w:tcMar>
              <w:top w:w="35" w:type="dxa"/>
              <w:start w:w="100" w:type="dxa"/>
              <w:bottom w:w="35" w:type="dxa"/>
              <w:end w:w="100" w:type="dxa"/>
            </w:tcMar>
          </w:tcPr>
          <w:p>
            <w:r>
              <w:rPr>
                <w:rFonts w:ascii="Liberation Sans" w:hAnsi="Liberation Sans"/>
                <w:b/>
                <w:color w:val="FFFFFF"/>
                <w:sz w:val="14"/>
              </w:rPr>
              <w:t>Source</w:t>
            </w:r>
          </w:p>
        </w:tc>
      </w:tr>
      <w:tr>
        <w:tc>
          <w:tcPr>
            <w:tcW w:type="dxa" w:w="936"/>
            <w:vAlign w:val="top"/>
            <w:tcMar>
              <w:top w:w="35" w:type="dxa"/>
              <w:start w:w="100" w:type="dxa"/>
              <w:bottom w:w="35"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4"/>
              </w:rPr>
              <w:t>[U1]</w:t>
            </w:r>
          </w:p>
        </w:tc>
        <w:tc>
          <w:tcPr>
            <w:tcW w:type="dxa" w:w="9072"/>
            <w:vAlign w:val="top"/>
            <w:tcMar>
              <w:top w:w="35" w:type="dxa"/>
              <w:start w:w="100" w:type="dxa"/>
              <w:bottom w:w="35"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4"/>
              </w:rPr>
              <w:t>CPE Service Assurance Workflow — Architecture and Engineering Handover, e2e_CPE_service_assurance, revision at commit 0296d09, 16 August 2026. User-supplied source.</w:t>
            </w:r>
          </w:p>
        </w:tc>
      </w:tr>
      <w:tr>
        <w:tc>
          <w:tcPr>
            <w:tcW w:type="dxa" w:w="936"/>
            <w:vAlign w:val="top"/>
            <w:tcMar>
              <w:top w:w="35" w:type="dxa"/>
              <w:start w:w="100" w:type="dxa"/>
              <w:bottom w:w="35"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4"/>
              </w:rPr>
              <w:t>[U2]</w:t>
            </w:r>
          </w:p>
        </w:tc>
        <w:tc>
          <w:tcPr>
            <w:tcW w:type="dxa" w:w="9072"/>
            <w:vAlign w:val="top"/>
            <w:tcMar>
              <w:top w:w="35" w:type="dxa"/>
              <w:start w:w="100" w:type="dxa"/>
              <w:bottom w:w="35"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4"/>
              </w:rPr>
              <w:t>LangChain CPE orchestration architecture. User-supplied source describing deterministic prediction/scheduling, one durable thread, typed state, dispatch constraints and Clean/Dirty handover.</w:t>
            </w:r>
          </w:p>
        </w:tc>
      </w:tr>
      <w:tr>
        <w:tc>
          <w:tcPr>
            <w:tcW w:type="dxa" w:w="936"/>
            <w:vAlign w:val="top"/>
            <w:tcMar>
              <w:top w:w="35" w:type="dxa"/>
              <w:start w:w="100" w:type="dxa"/>
              <w:bottom w:w="35"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4"/>
              </w:rPr>
              <w:t>[U3]</w:t>
            </w:r>
          </w:p>
        </w:tc>
        <w:tc>
          <w:tcPr>
            <w:tcW w:type="dxa" w:w="9072"/>
            <w:vAlign w:val="top"/>
            <w:tcMar>
              <w:top w:w="35" w:type="dxa"/>
              <w:start w:w="100" w:type="dxa"/>
              <w:bottom w:w="35"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4"/>
              </w:rPr>
              <w:t>LPR CPE Flow — Puerto Rico HFC/PON KPIs, TM Forum alignment and LPR-specific NXT, Clean Boots, tap/ODP and jTrack/MR process. User-supplied source.</w:t>
            </w:r>
          </w:p>
        </w:tc>
      </w:tr>
      <w:tr>
        <w:tc>
          <w:tcPr>
            <w:tcW w:type="dxa" w:w="936"/>
            <w:vAlign w:val="top"/>
            <w:tcMar>
              <w:top w:w="35" w:type="dxa"/>
              <w:start w:w="100" w:type="dxa"/>
              <w:bottom w:w="35"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4"/>
              </w:rPr>
              <w:t>[O1]</w:t>
            </w:r>
          </w:p>
        </w:tc>
        <w:tc>
          <w:tcPr>
            <w:tcW w:type="dxa" w:w="9072"/>
            <w:vAlign w:val="top"/>
            <w:tcMar>
              <w:top w:w="35" w:type="dxa"/>
              <w:start w:w="100" w:type="dxa"/>
              <w:bottom w:w="35"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4"/>
              </w:rPr>
              <w:t>LangChain, LangGraph Interrupts, official documentation, accessed 16 August 2026: https://docs.langchain.com/oss/python/langgraph/interrupts</w:t>
            </w:r>
          </w:p>
        </w:tc>
      </w:tr>
      <w:tr>
        <w:tc>
          <w:tcPr>
            <w:tcW w:type="dxa" w:w="936"/>
            <w:vAlign w:val="top"/>
            <w:tcMar>
              <w:top w:w="35" w:type="dxa"/>
              <w:start w:w="100" w:type="dxa"/>
              <w:bottom w:w="35"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4"/>
              </w:rPr>
              <w:t>[O2]</w:t>
            </w:r>
          </w:p>
        </w:tc>
        <w:tc>
          <w:tcPr>
            <w:tcW w:type="dxa" w:w="9072"/>
            <w:vAlign w:val="top"/>
            <w:tcMar>
              <w:top w:w="35" w:type="dxa"/>
              <w:start w:w="100" w:type="dxa"/>
              <w:bottom w:w="35"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4"/>
              </w:rPr>
              <w:t>LangChain, LangGraph Persistence, official documentation, accessed 16 August 2026: https://docs.langchain.com/oss/python/langgraph/persistence</w:t>
            </w:r>
          </w:p>
        </w:tc>
      </w:tr>
      <w:tr>
        <w:tc>
          <w:tcPr>
            <w:tcW w:type="dxa" w:w="936"/>
            <w:vAlign w:val="top"/>
            <w:tcMar>
              <w:top w:w="35" w:type="dxa"/>
              <w:start w:w="100" w:type="dxa"/>
              <w:bottom w:w="35"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4"/>
              </w:rPr>
              <w:t>[O3]</w:t>
            </w:r>
          </w:p>
        </w:tc>
        <w:tc>
          <w:tcPr>
            <w:tcW w:type="dxa" w:w="9072"/>
            <w:vAlign w:val="top"/>
            <w:tcMar>
              <w:top w:w="35" w:type="dxa"/>
              <w:start w:w="100" w:type="dxa"/>
              <w:bottom w:w="35"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4"/>
              </w:rPr>
              <w:t>LangChain, Model Context Protocol, official documentation, accessed 16 August 2026: https://docs.langchain.com/oss/python/langchain/mcp</w:t>
            </w:r>
          </w:p>
        </w:tc>
      </w:tr>
      <w:tr>
        <w:tc>
          <w:tcPr>
            <w:tcW w:type="dxa" w:w="936"/>
            <w:vAlign w:val="top"/>
            <w:tcMar>
              <w:top w:w="35" w:type="dxa"/>
              <w:start w:w="100" w:type="dxa"/>
              <w:bottom w:w="35"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4"/>
              </w:rPr>
              <w:t>[O4]</w:t>
            </w:r>
          </w:p>
        </w:tc>
        <w:tc>
          <w:tcPr>
            <w:tcW w:type="dxa" w:w="9072"/>
            <w:vAlign w:val="top"/>
            <w:tcMar>
              <w:top w:w="35" w:type="dxa"/>
              <w:start w:w="100" w:type="dxa"/>
              <w:bottom w:w="35"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4"/>
              </w:rPr>
              <w:t>Streamlit, Multipage Apps and st.navigation, official documentation, accessed 16 August 2026: https://docs.streamlit.io/develop/concepts/multipage-apps/page-and-navigation</w:t>
            </w:r>
          </w:p>
        </w:tc>
      </w:tr>
      <w:tr>
        <w:tc>
          <w:tcPr>
            <w:tcW w:type="dxa" w:w="936"/>
            <w:vAlign w:val="top"/>
            <w:tcMar>
              <w:top w:w="35" w:type="dxa"/>
              <w:start w:w="100" w:type="dxa"/>
              <w:bottom w:w="35"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4"/>
              </w:rPr>
              <w:t>[O5]</w:t>
            </w:r>
          </w:p>
        </w:tc>
        <w:tc>
          <w:tcPr>
            <w:tcW w:type="dxa" w:w="9072"/>
            <w:vAlign w:val="top"/>
            <w:tcMar>
              <w:top w:w="35" w:type="dxa"/>
              <w:start w:w="100" w:type="dxa"/>
              <w:bottom w:w="35"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4"/>
              </w:rPr>
              <w:t>Streamlit, Deploy Streamlit using Docker, official documentation, accessed 16 August 2026: https://docs.streamlit.io/deploy/tutorials/docker</w:t>
            </w:r>
          </w:p>
        </w:tc>
      </w:tr>
      <w:tr>
        <w:tc>
          <w:tcPr>
            <w:tcW w:type="dxa" w:w="936"/>
            <w:vAlign w:val="top"/>
            <w:tcMar>
              <w:top w:w="35" w:type="dxa"/>
              <w:start w:w="100" w:type="dxa"/>
              <w:bottom w:w="35"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4"/>
              </w:rPr>
              <w:t>[O6]</w:t>
            </w:r>
          </w:p>
        </w:tc>
        <w:tc>
          <w:tcPr>
            <w:tcW w:type="dxa" w:w="9072"/>
            <w:vAlign w:val="top"/>
            <w:tcMar>
              <w:top w:w="35" w:type="dxa"/>
              <w:start w:w="100" w:type="dxa"/>
              <w:bottom w:w="35" w:type="dxa"/>
              <w:end w:w="100" w:type="dxa"/>
            </w:tcMar>
            <w:tcBorders>
              <w:top w:val="single" w:sz="2" w:color="D5DCE3"/>
              <w:left w:val="single" w:sz="2" w:color="D5DCE3"/>
              <w:bottom w:val="single" w:sz="2" w:color="D5DCE3"/>
              <w:right w:val="single" w:sz="2" w:color="D5DCE3"/>
            </w:tcBorders>
            <w:shd w:fill="F9FAFB"/>
          </w:tcPr>
          <w:p>
            <w:pPr>
              <w:spacing w:after="0"/>
            </w:pPr>
            <w:r>
              <w:rPr>
                <w:rFonts w:ascii="Liberation Sans" w:hAnsi="Liberation Sans"/>
                <w:color w:val="1F1F1F"/>
                <w:sz w:val="14"/>
              </w:rPr>
              <w:t>Model Context Protocol, Streamable HTTP transport, specification revision 2026-07-28: https://modelcontextprotocol.io/specification/2026-07-28/basic/transports/streamable-http</w:t>
            </w:r>
          </w:p>
        </w:tc>
      </w:tr>
      <w:tr>
        <w:tc>
          <w:tcPr>
            <w:tcW w:type="dxa" w:w="936"/>
            <w:vAlign w:val="top"/>
            <w:tcMar>
              <w:top w:w="35" w:type="dxa"/>
              <w:start w:w="100" w:type="dxa"/>
              <w:bottom w:w="35"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4"/>
              </w:rPr>
              <w:t>[O7]</w:t>
            </w:r>
          </w:p>
        </w:tc>
        <w:tc>
          <w:tcPr>
            <w:tcW w:type="dxa" w:w="9072"/>
            <w:vAlign w:val="top"/>
            <w:tcMar>
              <w:top w:w="35" w:type="dxa"/>
              <w:start w:w="100" w:type="dxa"/>
              <w:bottom w:w="35" w:type="dxa"/>
              <w:end w:w="100" w:type="dxa"/>
            </w:tcMar>
            <w:tcBorders>
              <w:top w:val="single" w:sz="2" w:color="D5DCE3"/>
              <w:left w:val="single" w:sz="2" w:color="D5DCE3"/>
              <w:bottom w:val="single" w:sz="2" w:color="D5DCE3"/>
              <w:right w:val="single" w:sz="2" w:color="D5DCE3"/>
            </w:tcBorders>
          </w:tcPr>
          <w:p>
            <w:pPr>
              <w:spacing w:after="0"/>
            </w:pPr>
            <w:r>
              <w:rPr>
                <w:rFonts w:ascii="Liberation Sans" w:hAnsi="Liberation Sans"/>
                <w:color w:val="1F1F1F"/>
                <w:sz w:val="14"/>
              </w:rPr>
              <w:t>Docker, Compose startup order and health checks, official documentation, accessed 16 August 2026: https://docs.docker.com/compose/how-tos/startup-order/</w:t>
            </w:r>
          </w:p>
        </w:tc>
      </w:tr>
      <w:tr>
        <w:tc>
          <w:tcPr>
            <w:tcW w:type="dxa" w:w="93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tcPr>
          <w:p>
            <w:pPr>
              <w:spacing w:after="0"/>
              <w:jc w:val="left"/>
            </w:pPr>
            <w:r>
              <w:rPr>
                <w:rFonts w:ascii="Liberation Sans" w:hAnsi="Liberation Sans"/>
                <w:b w:val="0"/>
                <w:color w:val="1F1F1F"/>
                <w:sz w:val="14"/>
              </w:rPr>
              <w:t>[U4]</w:t>
            </w:r>
          </w:p>
        </w:tc>
        <w:tc>
          <w:tcPr>
            <w:tcW w:type="dxa" w:w="907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tcPr>
          <w:p>
            <w:pPr>
              <w:spacing w:after="0"/>
              <w:jc w:val="left"/>
            </w:pPr>
            <w:r>
              <w:rPr>
                <w:rFonts w:ascii="Liberation Sans" w:hAnsi="Liberation Sans"/>
                <w:b w:val="0"/>
                <w:color w:val="1F1F1F"/>
                <w:sz w:val="14"/>
              </w:rPr>
              <w:t>CPE demo mockup — specification audit and proposed changes, 12 August 2026. User-supplied source.</w:t>
            </w:r>
          </w:p>
        </w:tc>
      </w:tr>
      <w:tr>
        <w:tc>
          <w:tcPr>
            <w:tcW w:type="dxa" w:w="93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tcPr>
          <w:p>
            <w:pPr>
              <w:spacing w:after="0"/>
              <w:jc w:val="left"/>
            </w:pPr>
            <w:r>
              <w:rPr>
                <w:rFonts w:ascii="Liberation Sans" w:hAnsi="Liberation Sans"/>
                <w:b w:val="0"/>
                <w:color w:val="1F1F1F"/>
                <w:sz w:val="14"/>
              </w:rPr>
              <w:t>[O8]</w:t>
            </w:r>
          </w:p>
        </w:tc>
        <w:tc>
          <w:tcPr>
            <w:tcW w:type="dxa" w:w="907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tcPr>
          <w:p>
            <w:pPr>
              <w:spacing w:after="0"/>
              <w:jc w:val="left"/>
            </w:pPr>
            <w:r>
              <w:rPr>
                <w:rFonts w:ascii="Liberation Sans" w:hAnsi="Liberation Sans"/>
                <w:b w:val="0"/>
                <w:color w:val="1F1F1F"/>
                <w:sz w:val="14"/>
              </w:rPr>
              <w:t>Model Context Protocol, The 2026-07-28 Specification release notes: https://blog.modelcontextprotocol.io/posts/2026-07-28/</w:t>
            </w:r>
          </w:p>
        </w:tc>
      </w:tr>
      <w:tr>
        <w:tc>
          <w:tcPr>
            <w:tcW w:type="dxa" w:w="93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tcPr>
          <w:p>
            <w:pPr>
              <w:spacing w:after="0"/>
              <w:jc w:val="left"/>
            </w:pPr>
            <w:r>
              <w:rPr>
                <w:rFonts w:ascii="Liberation Sans" w:hAnsi="Liberation Sans"/>
                <w:b w:val="0"/>
                <w:color w:val="1F1F1F"/>
                <w:sz w:val="14"/>
              </w:rPr>
              <w:t>[O9]</w:t>
            </w:r>
          </w:p>
        </w:tc>
        <w:tc>
          <w:tcPr>
            <w:tcW w:type="dxa" w:w="907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tcPr>
          <w:p>
            <w:pPr>
              <w:spacing w:after="0"/>
              <w:jc w:val="left"/>
            </w:pPr>
            <w:r>
              <w:rPr>
                <w:rFonts w:ascii="Liberation Sans" w:hAnsi="Liberation Sans"/>
                <w:b w:val="0"/>
                <w:color w:val="1F1F1F"/>
                <w:sz w:val="14"/>
              </w:rPr>
              <w:t>Model Context Protocol Python SDK v2 protocol versions and release notes: https://github.com/modelcontextprotocol/python-sdk/blob/main/docs/protocol-versions.md</w:t>
            </w:r>
          </w:p>
        </w:tc>
      </w:tr>
      <w:tr>
        <w:tc>
          <w:tcPr>
            <w:tcW w:type="dxa" w:w="93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tcPr>
          <w:p>
            <w:pPr>
              <w:spacing w:after="0"/>
              <w:jc w:val="left"/>
            </w:pPr>
            <w:r>
              <w:rPr>
                <w:rFonts w:ascii="Liberation Sans" w:hAnsi="Liberation Sans"/>
                <w:b w:val="0"/>
                <w:color w:val="1F1F1F"/>
                <w:sz w:val="14"/>
              </w:rPr>
              <w:t>[O10]</w:t>
            </w:r>
          </w:p>
        </w:tc>
        <w:tc>
          <w:tcPr>
            <w:tcW w:type="dxa" w:w="907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tcPr>
          <w:p>
            <w:pPr>
              <w:spacing w:after="0"/>
              <w:jc w:val="left"/>
            </w:pPr>
            <w:r>
              <w:rPr>
                <w:rFonts w:ascii="Liberation Sans" w:hAnsi="Liberation Sans"/>
                <w:b w:val="0"/>
                <w:color w:val="1F1F1F"/>
                <w:sz w:val="14"/>
              </w:rPr>
              <w:t>LangChain MCP Adapters 0.3.2 release, including mcp&lt;2 compatibility cap: https://github.com/langchain-ai/langchain-mcp-adapters/releases</w:t>
            </w:r>
          </w:p>
        </w:tc>
      </w:tr>
      <w:tr>
        <w:tc>
          <w:tcPr>
            <w:tcW w:type="dxa" w:w="936"/>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tcPr>
          <w:p>
            <w:pPr>
              <w:spacing w:after="0"/>
              <w:jc w:val="left"/>
            </w:pPr>
            <w:r>
              <w:rPr>
                <w:rFonts w:ascii="Liberation Sans" w:hAnsi="Liberation Sans"/>
                <w:b w:val="0"/>
                <w:color w:val="1F1F1F"/>
                <w:sz w:val="14"/>
              </w:rPr>
              <w:t>[O11]</w:t>
            </w:r>
          </w:p>
        </w:tc>
        <w:tc>
          <w:tcPr>
            <w:tcW w:type="dxa" w:w="9072"/>
            <w:vAlign w:val="center"/>
            <w:tcMar>
              <w:top w:w="55" w:type="dxa"/>
              <w:start w:w="70" w:type="dxa"/>
              <w:bottom w:w="55" w:type="dxa"/>
              <w:end w:w="70" w:type="dxa"/>
            </w:tcMar>
            <w:tcBorders>
              <w:top w:val="single" w:sz="2" w:color="D5DCE3"/>
              <w:left w:val="single" w:sz="2" w:color="D5DCE3"/>
              <w:bottom w:val="single" w:sz="2" w:color="D5DCE3"/>
              <w:right w:val="single" w:sz="2" w:color="D5DCE3"/>
            </w:tcBorders>
          </w:tcPr>
          <w:p>
            <w:pPr>
              <w:spacing w:after="0"/>
              <w:jc w:val="left"/>
            </w:pPr>
            <w:r>
              <w:rPr>
                <w:rFonts w:ascii="Liberation Sans" w:hAnsi="Liberation Sans"/>
                <w:b w:val="0"/>
                <w:color w:val="1F1F1F"/>
                <w:sz w:val="14"/>
              </w:rPr>
              <w:t>Streamlit st.fragment official documentation: https://docs.streamlit.io/develop/api-reference/execution-flow/st.fragment</w:t>
            </w:r>
          </w:p>
        </w:tc>
      </w:tr>
    </w:tbl>
    <w:p>
      <w:pPr>
        <w:spacing w:after="0"/>
      </w:pPr>
    </w:p>
    <w:sectPr w:rsidR="00FC693F" w:rsidRPr="0006063C" w:rsidSect="00034616">
      <w:headerReference w:type="default" r:id="rId9"/>
      <w:footerReference w:type="default" r:id="rId10"/>
      <w:pgSz w:w="12240" w:h="15840"/>
      <w:pgMar w:top="936" w:right="979" w:bottom="893"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666666"/>
        <w:sz w:val="16"/>
      </w:rPr>
    </w:r>
    <w:r>
      <w:rPr>
        <w:rFonts w:ascii="Liberation Sans" w:hAnsi="Liberation Sans"/>
        <w:color w:val="666666"/>
        <w:sz w:val="16"/>
      </w:rPr>
      <w:t xml:space="preserve">Page </w:t>
    </w:r>
    <w:r>
      <w:rPr>
        <w:rFonts w:ascii="Liberation Sans" w:hAnsi="Liberation Sans"/>
        <w:color w:val="666666"/>
        <w:sz w:val="16"/>
      </w:rPr>
      <w:fldChar w:fldCharType="begin"/>
      <w:instrText xml:space="preserve">PAGE</w:instrText>
      <w:fldChar w:fldCharType="end"/>
    </w:r>
    <w:r>
      <w:rPr>
        <w:rFonts w:ascii="Liberation Sans" w:hAnsi="Liberation Sans"/>
        <w:color w:val="666666"/>
        <w:sz w:val="16"/>
      </w:rPr>
      <w:t xml:space="preserve"> of </w:t>
    </w:r>
    <w:r>
      <w:rPr>
        <w:rFonts w:ascii="Liberation Sans" w:hAnsi="Liberation Sans"/>
        <w:color w:val="666666"/>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AAB7C4"/>
      </w:pBdr>
    </w:pPr>
    <w:r/>
    <w:r>
      <w:rPr>
        <w:rFonts w:ascii="Liberation Sans" w:hAnsi="Liberation Sans"/>
        <w:b/>
        <w:color w:val="17365D"/>
        <w:sz w:val="17"/>
      </w:rPr>
      <w:t>LPR CPE Service Assurance Mockup — Design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1F7A8C"/>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7030A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Liberation Sans" w:hAnsi="Liberation Sans"/>
      <w:b/>
      <w:i/>
      <w:iCs/>
      <w:color w:val="1F7A8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DejaVu Sans Mono" w:hAnsi="DejaVu Sans Mono"/>
      <w:sz w:val="15"/>
    </w:rPr>
  </w:style>
  <w:style w:type="paragraph" w:customStyle="1" w:styleId="SmallNote">
    <w:name w:val="Small Note"/>
    <w:pPr>
      <w:spacing w:after="60"/>
    </w:pPr>
    <w:rPr>
      <w:rFonts w:ascii="Liberation Sans" w:hAnsi="Liberation Sans"/>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LPR CPE Service Assurance Mockup — Design Specification</dc:title>
  <dc:subject>Streamlit, FastAPI, LangGraph, MCP and controlled LLM decision assistance</dc:subject>
  <dc:creator>OpenAI</dc:creator>
  <cp:keywords>LPR, CPE, Service Assurance, LangGraph, Streamlit, MCP, Docker, RCA</cp:keywords>
  <dc:description>generated by python-docx</dc:description>
  <cp:lastModifiedBy/>
  <cp:revision>1</cp:revision>
  <dcterms:created xsi:type="dcterms:W3CDTF">2013-12-23T23:15:00Z</dcterms:created>
  <dcterms:modified xsi:type="dcterms:W3CDTF">2013-12-23T23:15:00Z</dcterms:modified>
  <cp:category/>
</cp:coreProperties>
</file>