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CORTE CONSTITUCIONAL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Sentencia T-123 de 2024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ANTECEDENTES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La accionante solicitó la protección del derecho fundamental a la salud. La entidad promotora negó el medicamento ordenado por el médico tratante.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CONSIDERACIONES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La Corte reitera que el derecho a la salud es fundamental y autónomo. Ñandú, acción, corazón.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RESUELVE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Primero. CONCEDER el amparo del derecho a la salud.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s-MX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LibreOffice_project/0fee9b7af4ed8823fb6ed0b53e2a3e73b2087f4b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es-MX</dc:language>
  <cp:lastModifiedBy/>
  <cp:revision>0</cp:revision>
  <dc:subject/>
  <dc:title/>
</cp:coreProperties>
</file>