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02C57"/>
          <w:sz w:val="44"/>
        </w:rPr>
        <w:t>INFORME TÉCNICO ARQUITECTÓNICO</w:t>
      </w:r>
    </w:p>
    <w:p>
      <w:pPr>
        <w:spacing w:after="360"/>
      </w:pPr>
      <w:r>
        <w:rPr>
          <w:rFonts w:ascii="Arial" w:hAnsi="Arial"/>
          <w:i/>
          <w:color w:val="35598E"/>
          <w:sz w:val="26"/>
        </w:rPr>
        <w:t>Transformación de Servidor de Laboratorio a Plataforma Universitaria Virtualizada con Proxmox VE</w:t>
      </w:r>
    </w:p>
    <w:tbl>
      <w:tblPr>
        <w:tblW w:type="auto" w:w="0"/>
        <w:jc w:val="center"/>
        <w:tblLayout w:type="fixed"/>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4680"/>
        <w:gridCol w:w="4680"/>
      </w:tblGrid>
      <w:tr>
        <w:tc>
          <w:tcPr>
            <w:tcW w:type="dxa" w:w="4680"/>
            <w:shd w:fill="F0F4F8"/>
            <w:tcMar>
              <w:top w:w="80" w:type="dxa"/>
              <w:bottom w:w="80" w:type="dxa"/>
              <w:left w:w="120" w:type="dxa"/>
              <w:right w:w="120" w:type="dxa"/>
            </w:tcMar>
          </w:tcPr>
          <w:p>
            <w:pPr>
              <w:spacing w:after="40"/>
            </w:pPr>
            <w:r>
              <w:rPr>
                <w:b/>
                <w:color w:val="102C57"/>
                <w:sz w:val="19"/>
              </w:rPr>
              <w:t>Institución:</w:t>
            </w:r>
            <w:r>
              <w:rPr>
                <w:color w:val="282828"/>
                <w:sz w:val="19"/>
              </w:rPr>
              <w:t xml:space="preserve"> Universidad Técnica - Dirección de TI</w:t>
            </w:r>
          </w:p>
        </w:tc>
        <w:tc>
          <w:tcPr>
            <w:tcW w:type="dxa" w:w="4680"/>
            <w:shd w:fill="F0F4F8"/>
            <w:tcMar>
              <w:top w:w="80" w:type="dxa"/>
              <w:bottom w:w="80" w:type="dxa"/>
              <w:left w:w="120" w:type="dxa"/>
              <w:right w:w="120" w:type="dxa"/>
            </w:tcMar>
          </w:tcPr>
          <w:p>
            <w:pPr>
              <w:spacing w:after="40"/>
            </w:pPr>
            <w:r>
              <w:rPr>
                <w:b/>
                <w:color w:val="102C57"/>
                <w:sz w:val="19"/>
              </w:rPr>
              <w:t>Proyecto:</w:t>
            </w:r>
            <w:r>
              <w:rPr>
                <w:color w:val="282828"/>
                <w:sz w:val="19"/>
              </w:rPr>
              <w:t xml:space="preserve"> Modernización Servidor Lab 302</w:t>
            </w:r>
          </w:p>
        </w:tc>
      </w:tr>
      <w:tr>
        <w:tc>
          <w:tcPr>
            <w:tcW w:type="dxa" w:w="4680"/>
            <w:shd w:fill="F0F4F8"/>
            <w:tcMar>
              <w:top w:w="80" w:type="dxa"/>
              <w:bottom w:w="80" w:type="dxa"/>
              <w:left w:w="120" w:type="dxa"/>
              <w:right w:w="120" w:type="dxa"/>
            </w:tcMar>
          </w:tcPr>
          <w:p>
            <w:pPr>
              <w:spacing w:after="40"/>
            </w:pPr>
            <w:r>
              <w:rPr>
                <w:b/>
                <w:color w:val="102C57"/>
                <w:sz w:val="19"/>
              </w:rPr>
              <w:t>Autor:</w:t>
            </w:r>
            <w:r>
              <w:rPr>
                <w:color w:val="282828"/>
                <w:sz w:val="19"/>
              </w:rPr>
              <w:t xml:space="preserve"> Ingeniero de Virtualización &amp; TI</w:t>
            </w:r>
          </w:p>
        </w:tc>
        <w:tc>
          <w:tcPr>
            <w:tcW w:type="dxa" w:w="4680"/>
            <w:shd w:fill="F0F4F8"/>
            <w:tcMar>
              <w:top w:w="80" w:type="dxa"/>
              <w:bottom w:w="80" w:type="dxa"/>
              <w:left w:w="120" w:type="dxa"/>
              <w:right w:w="120" w:type="dxa"/>
            </w:tcMar>
          </w:tcPr>
          <w:p>
            <w:pPr>
              <w:spacing w:after="40"/>
            </w:pPr>
            <w:r>
              <w:rPr>
                <w:b/>
                <w:color w:val="102C57"/>
                <w:sz w:val="19"/>
              </w:rPr>
              <w:t>Fecha / Versión:</w:t>
            </w:r>
            <w:r>
              <w:rPr>
                <w:color w:val="282828"/>
                <w:sz w:val="19"/>
              </w:rPr>
              <w:t xml:space="preserve"> Octubre 2026 / Versión 1.0 (Final)</w:t>
            </w:r>
          </w:p>
        </w:tc>
      </w:tr>
    </w:tbl>
    <w:p>
      <w:pPr>
        <w:spacing w:after="240"/>
      </w:pPr>
    </w:p>
    <w:p>
      <w:pPr>
        <w:keepNext/>
        <w:spacing w:before="320" w:after="120"/>
      </w:pPr>
      <w:r>
        <w:rPr>
          <w:rFonts w:ascii="Arial" w:hAnsi="Arial"/>
          <w:b/>
          <w:color w:val="102C57"/>
          <w:sz w:val="30"/>
        </w:rPr>
        <w:t>1. Contexto y Desafío Institucional</w:t>
      </w:r>
    </w:p>
    <w:p>
      <w:r>
        <w:t>Actualmente, la Universidad cuenta con un servidor físico de laboratorio (Servidor 302) equipado con el hipervisor Proxmox VE. No obstante, su operabilidad se ha limitado a pruebas aisladas e informales, careciendo de una arquitectura organizada, políticas de respaldo, aislamiento de red y control de acceso basado en roles. Esta falta de estructura impide aprovechar el potencial del equipo y genera riesgos de estabilidad.</w:t>
      </w:r>
    </w:p>
    <w:p>
      <w:r>
        <w:t>El objetivo central de este proyecto es transformar dicho equipo de pruebas en una plataforma de virtualización multi-inquilino (Multi-tenant) altamente disponible, segura y eficiente, capaz de responder a las demandas de cuatro entornos universitarios bien delimitados: Producción, Laboratorios Docentes, Desarrollo y Pruebas.</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none"/>
              <w:left w:val="single" w:sz="24" w:space="0" w:color="102C57"/>
              <w:bottom w:val="none"/>
              <w:right w:val="none"/>
            </w:tcBorders>
          </w:tcPr>
          <w:p>
            <w:pPr>
              <w:spacing w:after="40"/>
            </w:pPr>
            <w:r>
              <w:rPr>
                <w:b/>
                <w:color w:val="102C57"/>
                <w:sz w:val="20"/>
              </w:rPr>
              <w:t>CRITERIO DE DISEÑO TÉCNICO</w:t>
              <w:br/>
            </w:r>
            <w:r>
              <w:rPr>
                <w:i/>
                <w:sz w:val="19"/>
              </w:rPr>
              <w:t>Principios de Diseño: Toda decisión de virtualización responde a una necesidad académica concreta, aplicando aislamiento de kernel (KVM) para servicios críticos y alta densidad de contenedores (LXC) para laboratorios masivos.</w:t>
            </w:r>
          </w:p>
        </w:tc>
      </w:tr>
    </w:tbl>
    <w:p>
      <w:pPr>
        <w:spacing w:after="120"/>
      </w:pPr>
    </w:p>
    <w:p>
      <w:pPr>
        <w:keepNext/>
        <w:spacing w:before="320" w:after="120"/>
      </w:pPr>
      <w:r>
        <w:rPr>
          <w:rFonts w:ascii="Arial" w:hAnsi="Arial"/>
          <w:b/>
          <w:color w:val="102C57"/>
          <w:sz w:val="30"/>
        </w:rPr>
        <w:t>2. Diagnóstico y Diseño de la Plataforma</w:t>
      </w:r>
    </w:p>
    <w:p>
      <w:pPr>
        <w:keepNext/>
        <w:spacing w:before="240" w:after="80"/>
      </w:pPr>
      <w:r>
        <w:rPr>
          <w:rFonts w:ascii="Arial" w:hAnsi="Arial"/>
          <w:b/>
          <w:color w:val="35598E"/>
          <w:sz w:val="24"/>
        </w:rPr>
        <w:t>2.1 Inventario de Hardware Base y Límites Técnicos (Servidor Lab 302)</w:t>
      </w:r>
    </w:p>
    <w:p>
      <w:r>
        <w:t>A partir de la auditoría técnica realizada al Servidor del Laboratorio 302, se identifican las siguientes especificaciones físicas y sus límites de capacidad usable: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02C57"/>
            <w:tcMar>
              <w:top w:w="100" w:type="dxa"/>
              <w:bottom w:w="100" w:type="dxa"/>
              <w:left w:w="120" w:type="dxa"/>
              <w:right w:w="120" w:type="dxa"/>
            </w:tcMar>
          </w:tcPr>
          <w:p>
            <w:pPr>
              <w:jc w:val="left"/>
            </w:pPr>
            <w:r>
              <w:rPr>
                <w:b/>
                <w:color w:val="FFFFFF"/>
                <w:sz w:val="19"/>
              </w:rPr>
              <w:t>Componente</w:t>
            </w:r>
          </w:p>
        </w:tc>
        <w:tc>
          <w:tcPr>
            <w:tcW w:type="dxa" w:w="3120"/>
            <w:shd w:fill="102C57"/>
            <w:tcMar>
              <w:top w:w="100" w:type="dxa"/>
              <w:bottom w:w="100" w:type="dxa"/>
              <w:left w:w="120" w:type="dxa"/>
              <w:right w:w="120" w:type="dxa"/>
            </w:tcMar>
          </w:tcPr>
          <w:p>
            <w:pPr>
              <w:jc w:val="left"/>
            </w:pPr>
            <w:r>
              <w:rPr>
                <w:b/>
                <w:color w:val="FFFFFF"/>
                <w:sz w:val="19"/>
              </w:rPr>
              <w:t>Capacidad Actual (Instalada)</w:t>
            </w:r>
          </w:p>
        </w:tc>
        <w:tc>
          <w:tcPr>
            <w:tcW w:type="dxa" w:w="3120"/>
            <w:shd w:fill="102C57"/>
            <w:tcMar>
              <w:top w:w="100" w:type="dxa"/>
              <w:bottom w:w="100" w:type="dxa"/>
              <w:left w:w="120" w:type="dxa"/>
              <w:right w:w="120" w:type="dxa"/>
            </w:tcMar>
          </w:tcPr>
          <w:p>
            <w:pPr>
              <w:jc w:val="left"/>
            </w:pPr>
            <w:r>
              <w:rPr>
                <w:b/>
                <w:color w:val="FFFFFF"/>
                <w:sz w:val="19"/>
              </w:rPr>
              <w:t>Límite Técnico / Overhead Usable</w:t>
            </w:r>
          </w:p>
        </w:tc>
      </w:tr>
      <w:tr>
        <w:tc>
          <w:tcPr>
            <w:tcW w:type="dxa" w:w="3120"/>
            <w:shd w:fill="F9FAFC"/>
            <w:tcMar>
              <w:top w:w="80" w:type="dxa"/>
              <w:bottom w:w="80" w:type="dxa"/>
              <w:left w:w="120" w:type="dxa"/>
              <w:right w:w="120" w:type="dxa"/>
            </w:tcMar>
          </w:tcPr>
          <w:p>
            <w:r>
              <w:rPr>
                <w:sz w:val="18"/>
              </w:rPr>
              <w:t>Procesador (CPU)</w:t>
            </w:r>
          </w:p>
        </w:tc>
        <w:tc>
          <w:tcPr>
            <w:tcW w:type="dxa" w:w="3120"/>
            <w:shd w:fill="F9FAFC"/>
            <w:tcMar>
              <w:top w:w="80" w:type="dxa"/>
              <w:bottom w:w="80" w:type="dxa"/>
              <w:left w:w="120" w:type="dxa"/>
              <w:right w:w="120" w:type="dxa"/>
            </w:tcMar>
          </w:tcPr>
          <w:p>
            <w:r>
              <w:rPr>
                <w:sz w:val="18"/>
              </w:rPr>
              <w:t>1x Intel Xeon Silver 4210R (10 Núcleos / 20 Hilos)</w:t>
            </w:r>
          </w:p>
        </w:tc>
        <w:tc>
          <w:tcPr>
            <w:tcW w:type="dxa" w:w="3120"/>
            <w:shd w:fill="F9FAFC"/>
            <w:tcMar>
              <w:top w:w="80" w:type="dxa"/>
              <w:bottom w:w="80" w:type="dxa"/>
              <w:left w:w="120" w:type="dxa"/>
              <w:right w:w="120" w:type="dxa"/>
            </w:tcMar>
          </w:tcPr>
          <w:p>
            <w:r>
              <w:rPr>
                <w:sz w:val="18"/>
              </w:rPr>
              <w:t>20 vCPUs totales. Se reservan 2 hilos para Proxmox VE (18 vCPUs útiles).</w:t>
            </w:r>
          </w:p>
        </w:tc>
      </w:tr>
      <w:tr>
        <w:tc>
          <w:tcPr>
            <w:tcW w:type="dxa" w:w="3120"/>
            <w:shd w:fill="FFFFFF"/>
            <w:tcMar>
              <w:top w:w="80" w:type="dxa"/>
              <w:bottom w:w="80" w:type="dxa"/>
              <w:left w:w="120" w:type="dxa"/>
              <w:right w:w="120" w:type="dxa"/>
            </w:tcMar>
          </w:tcPr>
          <w:p>
            <w:r>
              <w:rPr>
                <w:sz w:val="18"/>
              </w:rPr>
              <w:t>Memoria RAM</w:t>
            </w:r>
          </w:p>
        </w:tc>
        <w:tc>
          <w:tcPr>
            <w:tcW w:type="dxa" w:w="3120"/>
            <w:shd w:fill="FFFFFF"/>
            <w:tcMar>
              <w:top w:w="80" w:type="dxa"/>
              <w:bottom w:w="80" w:type="dxa"/>
              <w:left w:w="120" w:type="dxa"/>
              <w:right w:w="120" w:type="dxa"/>
            </w:tcMar>
          </w:tcPr>
          <w:p>
            <w:r>
              <w:rPr>
                <w:sz w:val="18"/>
              </w:rPr>
              <w:t>64 GB DDR4 ECC Registered (2 x 32 GB)</w:t>
            </w:r>
          </w:p>
        </w:tc>
        <w:tc>
          <w:tcPr>
            <w:tcW w:type="dxa" w:w="3120"/>
            <w:shd w:fill="FFFFFF"/>
            <w:tcMar>
              <w:top w:w="80" w:type="dxa"/>
              <w:bottom w:w="80" w:type="dxa"/>
              <w:left w:w="120" w:type="dxa"/>
              <w:right w:w="120" w:type="dxa"/>
            </w:tcMar>
          </w:tcPr>
          <w:p>
            <w:r>
              <w:rPr>
                <w:sz w:val="18"/>
              </w:rPr>
              <w:t>6 GB consumidos por Kernel PVE y ZFS ARC. Quedan 58 GB RAM netos para VMs/LXC.</w:t>
            </w:r>
          </w:p>
        </w:tc>
      </w:tr>
      <w:tr>
        <w:tc>
          <w:tcPr>
            <w:tcW w:type="dxa" w:w="3120"/>
            <w:shd w:fill="F9FAFC"/>
            <w:tcMar>
              <w:top w:w="80" w:type="dxa"/>
              <w:bottom w:w="80" w:type="dxa"/>
              <w:left w:w="120" w:type="dxa"/>
              <w:right w:w="120" w:type="dxa"/>
            </w:tcMar>
          </w:tcPr>
          <w:p>
            <w:r>
              <w:rPr>
                <w:sz w:val="18"/>
              </w:rPr>
              <w:t>Almacenamiento</w:t>
            </w:r>
          </w:p>
        </w:tc>
        <w:tc>
          <w:tcPr>
            <w:tcW w:type="dxa" w:w="3120"/>
            <w:shd w:fill="F9FAFC"/>
            <w:tcMar>
              <w:top w:w="80" w:type="dxa"/>
              <w:bottom w:w="80" w:type="dxa"/>
              <w:left w:w="120" w:type="dxa"/>
              <w:right w:w="120" w:type="dxa"/>
            </w:tcMar>
          </w:tcPr>
          <w:p>
            <w:r>
              <w:rPr>
                <w:sz w:val="18"/>
              </w:rPr>
              <w:t>2x 960 GB SSD Enterprise SATA (RAID 1 ZFS Mirror)</w:t>
            </w:r>
          </w:p>
        </w:tc>
        <w:tc>
          <w:tcPr>
            <w:tcW w:type="dxa" w:w="3120"/>
            <w:shd w:fill="F9FAFC"/>
            <w:tcMar>
              <w:top w:w="80" w:type="dxa"/>
              <w:bottom w:w="80" w:type="dxa"/>
              <w:left w:w="120" w:type="dxa"/>
              <w:right w:w="120" w:type="dxa"/>
            </w:tcMar>
          </w:tcPr>
          <w:p>
            <w:r>
              <w:rPr>
                <w:sz w:val="18"/>
              </w:rPr>
              <w:t>890 GB netos. Manteniendo reserva del 20% en ZFS, la capacidad útil es 712 GB.</w:t>
            </w:r>
          </w:p>
        </w:tc>
      </w:tr>
      <w:tr>
        <w:tc>
          <w:tcPr>
            <w:tcW w:type="dxa" w:w="3120"/>
            <w:shd w:fill="FFFFFF"/>
            <w:tcMar>
              <w:top w:w="80" w:type="dxa"/>
              <w:bottom w:w="80" w:type="dxa"/>
              <w:left w:w="120" w:type="dxa"/>
              <w:right w:w="120" w:type="dxa"/>
            </w:tcMar>
          </w:tcPr>
          <w:p>
            <w:r>
              <w:rPr>
                <w:sz w:val="18"/>
              </w:rPr>
              <w:t>Red Física</w:t>
            </w:r>
          </w:p>
        </w:tc>
        <w:tc>
          <w:tcPr>
            <w:tcW w:type="dxa" w:w="3120"/>
            <w:shd w:fill="FFFFFF"/>
            <w:tcMar>
              <w:top w:w="80" w:type="dxa"/>
              <w:bottom w:w="80" w:type="dxa"/>
              <w:left w:w="120" w:type="dxa"/>
              <w:right w:w="120" w:type="dxa"/>
            </w:tcMar>
          </w:tcPr>
          <w:p>
            <w:r>
              <w:rPr>
                <w:sz w:val="18"/>
              </w:rPr>
              <w:t>4x 1GbE RJ45 + 2x 10GbE SFP+</w:t>
            </w:r>
          </w:p>
        </w:tc>
        <w:tc>
          <w:tcPr>
            <w:tcW w:type="dxa" w:w="3120"/>
            <w:shd w:fill="FFFFFF"/>
            <w:tcMar>
              <w:top w:w="80" w:type="dxa"/>
              <w:bottom w:w="80" w:type="dxa"/>
              <w:left w:w="120" w:type="dxa"/>
              <w:right w:w="120" w:type="dxa"/>
            </w:tcMar>
          </w:tcPr>
          <w:p>
            <w:r>
              <w:rPr>
                <w:sz w:val="18"/>
              </w:rPr>
              <w:t>Configuración mediante Linux Bridges con etiquetado de VLANs (VLAN Aware).</w:t>
            </w:r>
          </w:p>
        </w:tc>
      </w:tr>
    </w:tbl>
    <w:p>
      <w:pPr>
        <w:spacing w:after="120"/>
      </w:pPr>
    </w:p>
    <w:p>
      <w:pPr>
        <w:keepNext/>
        <w:spacing w:before="240" w:after="80"/>
      </w:pPr>
      <w:r>
        <w:rPr>
          <w:rFonts w:ascii="Arial" w:hAnsi="Arial"/>
          <w:b/>
          <w:color w:val="35598E"/>
          <w:sz w:val="24"/>
        </w:rPr>
        <w:t>2.2 Distribución Justificada de Recursos por Entorno</w:t>
      </w:r>
    </w:p>
    <w:p>
      <w:r>
        <w:t>La asignación de recursos se realiza bajo prioridades operativas para garantizar la estabilidad de los servicios críticos sin estrangular el rendimiento de las clases grupales: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02C57"/>
            <w:tcMar>
              <w:top w:w="100" w:type="dxa"/>
              <w:bottom w:w="100" w:type="dxa"/>
              <w:left w:w="100" w:type="dxa"/>
              <w:right w:w="100" w:type="dxa"/>
            </w:tcMar>
          </w:tcPr>
          <w:p>
            <w:r>
              <w:rPr>
                <w:b/>
                <w:color w:val="FFFFFF"/>
                <w:sz w:val="18"/>
              </w:rPr>
              <w:t>Entorno</w:t>
            </w:r>
          </w:p>
        </w:tc>
        <w:tc>
          <w:tcPr>
            <w:tcW w:type="dxa" w:w="1560"/>
            <w:shd w:fill="102C57"/>
            <w:tcMar>
              <w:top w:w="100" w:type="dxa"/>
              <w:bottom w:w="100" w:type="dxa"/>
              <w:left w:w="100" w:type="dxa"/>
              <w:right w:w="100" w:type="dxa"/>
            </w:tcMar>
          </w:tcPr>
          <w:p>
            <w:r>
              <w:rPr>
                <w:b/>
                <w:color w:val="FFFFFF"/>
                <w:sz w:val="18"/>
              </w:rPr>
              <w:t>Virtualización</w:t>
            </w:r>
          </w:p>
        </w:tc>
        <w:tc>
          <w:tcPr>
            <w:tcW w:type="dxa" w:w="1560"/>
            <w:shd w:fill="102C57"/>
            <w:tcMar>
              <w:top w:w="100" w:type="dxa"/>
              <w:bottom w:w="100" w:type="dxa"/>
              <w:left w:w="100" w:type="dxa"/>
              <w:right w:w="100" w:type="dxa"/>
            </w:tcMar>
          </w:tcPr>
          <w:p>
            <w:r>
              <w:rPr>
                <w:b/>
                <w:color w:val="FFFFFF"/>
                <w:sz w:val="18"/>
              </w:rPr>
              <w:t>vCPUs</w:t>
            </w:r>
          </w:p>
        </w:tc>
        <w:tc>
          <w:tcPr>
            <w:tcW w:type="dxa" w:w="1560"/>
            <w:shd w:fill="102C57"/>
            <w:tcMar>
              <w:top w:w="100" w:type="dxa"/>
              <w:bottom w:w="100" w:type="dxa"/>
              <w:left w:w="100" w:type="dxa"/>
              <w:right w:w="100" w:type="dxa"/>
            </w:tcMar>
          </w:tcPr>
          <w:p>
            <w:r>
              <w:rPr>
                <w:b/>
                <w:color w:val="FFFFFF"/>
                <w:sz w:val="18"/>
              </w:rPr>
              <w:t>RAM</w:t>
            </w:r>
          </w:p>
        </w:tc>
        <w:tc>
          <w:tcPr>
            <w:tcW w:type="dxa" w:w="1560"/>
            <w:shd w:fill="102C57"/>
            <w:tcMar>
              <w:top w:w="100" w:type="dxa"/>
              <w:bottom w:w="100" w:type="dxa"/>
              <w:left w:w="100" w:type="dxa"/>
              <w:right w:w="100" w:type="dxa"/>
            </w:tcMar>
          </w:tcPr>
          <w:p>
            <w:r>
              <w:rPr>
                <w:b/>
                <w:color w:val="FFFFFF"/>
                <w:sz w:val="18"/>
              </w:rPr>
              <w:t>Disco</w:t>
            </w:r>
          </w:p>
        </w:tc>
        <w:tc>
          <w:tcPr>
            <w:tcW w:type="dxa" w:w="1560"/>
            <w:shd w:fill="102C57"/>
            <w:tcMar>
              <w:top w:w="100" w:type="dxa"/>
              <w:bottom w:w="100" w:type="dxa"/>
              <w:left w:w="100" w:type="dxa"/>
              <w:right w:w="100" w:type="dxa"/>
            </w:tcMar>
          </w:tcPr>
          <w:p>
            <w:r>
              <w:rPr>
                <w:b/>
                <w:color w:val="FFFFFF"/>
                <w:sz w:val="18"/>
              </w:rPr>
              <w:t>Justificación Técnica</w:t>
            </w:r>
          </w:p>
        </w:tc>
      </w:tr>
      <w:tr>
        <w:tc>
          <w:tcPr>
            <w:tcW w:type="dxa" w:w="1560"/>
            <w:shd w:fill="F9FAFC"/>
            <w:tcMar>
              <w:top w:w="80" w:type="dxa"/>
              <w:bottom w:w="80" w:type="dxa"/>
              <w:left w:w="100" w:type="dxa"/>
              <w:right w:w="100" w:type="dxa"/>
            </w:tcMar>
          </w:tcPr>
          <w:p>
            <w:r>
              <w:rPr>
                <w:sz w:val="17"/>
              </w:rPr>
              <w:t>Producción</w:t>
            </w:r>
          </w:p>
        </w:tc>
        <w:tc>
          <w:tcPr>
            <w:tcW w:type="dxa" w:w="1560"/>
            <w:shd w:fill="F9FAFC"/>
            <w:tcMar>
              <w:top w:w="80" w:type="dxa"/>
              <w:bottom w:w="80" w:type="dxa"/>
              <w:left w:w="100" w:type="dxa"/>
              <w:right w:w="100" w:type="dxa"/>
            </w:tcMar>
          </w:tcPr>
          <w:p>
            <w:r>
              <w:rPr>
                <w:sz w:val="17"/>
              </w:rPr>
              <w:t>KVM (VMs)</w:t>
            </w:r>
          </w:p>
        </w:tc>
        <w:tc>
          <w:tcPr>
            <w:tcW w:type="dxa" w:w="1560"/>
            <w:shd w:fill="F9FAFC"/>
            <w:tcMar>
              <w:top w:w="80" w:type="dxa"/>
              <w:bottom w:w="80" w:type="dxa"/>
              <w:left w:w="100" w:type="dxa"/>
              <w:right w:w="100" w:type="dxa"/>
            </w:tcMar>
          </w:tcPr>
          <w:p>
            <w:r>
              <w:rPr>
                <w:sz w:val="17"/>
              </w:rPr>
              <w:t>6 vCPU</w:t>
            </w:r>
          </w:p>
        </w:tc>
        <w:tc>
          <w:tcPr>
            <w:tcW w:type="dxa" w:w="1560"/>
            <w:shd w:fill="F9FAFC"/>
            <w:tcMar>
              <w:top w:w="80" w:type="dxa"/>
              <w:bottom w:w="80" w:type="dxa"/>
              <w:left w:w="100" w:type="dxa"/>
              <w:right w:w="100" w:type="dxa"/>
            </w:tcMar>
          </w:tcPr>
          <w:p>
            <w:r>
              <w:rPr>
                <w:sz w:val="17"/>
              </w:rPr>
              <w:t>16 GB</w:t>
            </w:r>
          </w:p>
        </w:tc>
        <w:tc>
          <w:tcPr>
            <w:tcW w:type="dxa" w:w="1560"/>
            <w:shd w:fill="F9FAFC"/>
            <w:tcMar>
              <w:top w:w="80" w:type="dxa"/>
              <w:bottom w:w="80" w:type="dxa"/>
              <w:left w:w="100" w:type="dxa"/>
              <w:right w:w="100" w:type="dxa"/>
            </w:tcMar>
          </w:tcPr>
          <w:p>
            <w:r>
              <w:rPr>
                <w:sz w:val="17"/>
              </w:rPr>
              <w:t>250 GB</w:t>
            </w:r>
          </w:p>
        </w:tc>
        <w:tc>
          <w:tcPr>
            <w:tcW w:type="dxa" w:w="1560"/>
            <w:shd w:fill="F9FAFC"/>
            <w:tcMar>
              <w:top w:w="80" w:type="dxa"/>
              <w:bottom w:w="80" w:type="dxa"/>
              <w:left w:w="100" w:type="dxa"/>
              <w:right w:w="100" w:type="dxa"/>
            </w:tcMar>
          </w:tcPr>
          <w:p>
            <w:r>
              <w:rPr>
                <w:sz w:val="17"/>
              </w:rPr>
              <w:t>Prioridad Máxima. Aislamiento total de kernel para Moodle, BD y DNS. Sin SWAP.</w:t>
            </w:r>
          </w:p>
        </w:tc>
      </w:tr>
      <w:tr>
        <w:tc>
          <w:tcPr>
            <w:tcW w:type="dxa" w:w="1560"/>
            <w:shd w:fill="FFFFFF"/>
            <w:tcMar>
              <w:top w:w="80" w:type="dxa"/>
              <w:bottom w:w="80" w:type="dxa"/>
              <w:left w:w="100" w:type="dxa"/>
              <w:right w:w="100" w:type="dxa"/>
            </w:tcMar>
          </w:tcPr>
          <w:p>
            <w:r>
              <w:rPr>
                <w:sz w:val="17"/>
              </w:rPr>
              <w:t>Laboratorios</w:t>
            </w:r>
          </w:p>
        </w:tc>
        <w:tc>
          <w:tcPr>
            <w:tcW w:type="dxa" w:w="1560"/>
            <w:shd w:fill="FFFFFF"/>
            <w:tcMar>
              <w:top w:w="80" w:type="dxa"/>
              <w:bottom w:w="80" w:type="dxa"/>
              <w:left w:w="100" w:type="dxa"/>
              <w:right w:w="100" w:type="dxa"/>
            </w:tcMar>
          </w:tcPr>
          <w:p>
            <w:r>
              <w:rPr>
                <w:sz w:val="17"/>
              </w:rPr>
              <w:t>LXC / KVM</w:t>
            </w:r>
          </w:p>
        </w:tc>
        <w:tc>
          <w:tcPr>
            <w:tcW w:type="dxa" w:w="1560"/>
            <w:shd w:fill="FFFFFF"/>
            <w:tcMar>
              <w:top w:w="80" w:type="dxa"/>
              <w:bottom w:w="80" w:type="dxa"/>
              <w:left w:w="100" w:type="dxa"/>
              <w:right w:w="100" w:type="dxa"/>
            </w:tcMar>
          </w:tcPr>
          <w:p>
            <w:r>
              <w:rPr>
                <w:sz w:val="17"/>
              </w:rPr>
              <w:t>8 vCPU</w:t>
            </w:r>
          </w:p>
        </w:tc>
        <w:tc>
          <w:tcPr>
            <w:tcW w:type="dxa" w:w="1560"/>
            <w:shd w:fill="FFFFFF"/>
            <w:tcMar>
              <w:top w:w="80" w:type="dxa"/>
              <w:bottom w:w="80" w:type="dxa"/>
              <w:left w:w="100" w:type="dxa"/>
              <w:right w:w="100" w:type="dxa"/>
            </w:tcMar>
          </w:tcPr>
          <w:p>
            <w:r>
              <w:rPr>
                <w:sz w:val="17"/>
              </w:rPr>
              <w:t>24 GB</w:t>
            </w:r>
          </w:p>
        </w:tc>
        <w:tc>
          <w:tcPr>
            <w:tcW w:type="dxa" w:w="1560"/>
            <w:shd w:fill="FFFFFF"/>
            <w:tcMar>
              <w:top w:w="80" w:type="dxa"/>
              <w:bottom w:w="80" w:type="dxa"/>
              <w:left w:w="100" w:type="dxa"/>
              <w:right w:w="100" w:type="dxa"/>
            </w:tcMar>
          </w:tcPr>
          <w:p>
            <w:r>
              <w:rPr>
                <w:sz w:val="17"/>
              </w:rPr>
              <w:t>250 GB</w:t>
            </w:r>
          </w:p>
        </w:tc>
        <w:tc>
          <w:tcPr>
            <w:tcW w:type="dxa" w:w="1560"/>
            <w:shd w:fill="FFFFFF"/>
            <w:tcMar>
              <w:top w:w="80" w:type="dxa"/>
              <w:bottom w:w="80" w:type="dxa"/>
              <w:left w:w="100" w:type="dxa"/>
              <w:right w:w="100" w:type="dxa"/>
            </w:tcMar>
          </w:tcPr>
          <w:p>
            <w:r>
              <w:rPr>
                <w:sz w:val="17"/>
              </w:rPr>
              <w:t>Dividido en 4 Pools Docentes. Uso de LXC permite hasta 25 instancias de alumnos.</w:t>
            </w:r>
          </w:p>
        </w:tc>
      </w:tr>
      <w:tr>
        <w:tc>
          <w:tcPr>
            <w:tcW w:type="dxa" w:w="1560"/>
            <w:shd w:fill="F9FAFC"/>
            <w:tcMar>
              <w:top w:w="80" w:type="dxa"/>
              <w:bottom w:w="80" w:type="dxa"/>
              <w:left w:w="100" w:type="dxa"/>
              <w:right w:w="100" w:type="dxa"/>
            </w:tcMar>
          </w:tcPr>
          <w:p>
            <w:r>
              <w:rPr>
                <w:sz w:val="17"/>
              </w:rPr>
              <w:t>Desarrollo</w:t>
            </w:r>
          </w:p>
        </w:tc>
        <w:tc>
          <w:tcPr>
            <w:tcW w:type="dxa" w:w="1560"/>
            <w:shd w:fill="F9FAFC"/>
            <w:tcMar>
              <w:top w:w="80" w:type="dxa"/>
              <w:bottom w:w="80" w:type="dxa"/>
              <w:left w:w="100" w:type="dxa"/>
              <w:right w:w="100" w:type="dxa"/>
            </w:tcMar>
          </w:tcPr>
          <w:p>
            <w:r>
              <w:rPr>
                <w:sz w:val="17"/>
              </w:rPr>
              <w:t>LXC</w:t>
            </w:r>
          </w:p>
        </w:tc>
        <w:tc>
          <w:tcPr>
            <w:tcW w:type="dxa" w:w="1560"/>
            <w:shd w:fill="F9FAFC"/>
            <w:tcMar>
              <w:top w:w="80" w:type="dxa"/>
              <w:bottom w:w="80" w:type="dxa"/>
              <w:left w:w="100" w:type="dxa"/>
              <w:right w:w="100" w:type="dxa"/>
            </w:tcMar>
          </w:tcPr>
          <w:p>
            <w:r>
              <w:rPr>
                <w:sz w:val="17"/>
              </w:rPr>
              <w:t>4 vCPU</w:t>
            </w:r>
          </w:p>
        </w:tc>
        <w:tc>
          <w:tcPr>
            <w:tcW w:type="dxa" w:w="1560"/>
            <w:shd w:fill="F9FAFC"/>
            <w:tcMar>
              <w:top w:w="80" w:type="dxa"/>
              <w:bottom w:w="80" w:type="dxa"/>
              <w:left w:w="100" w:type="dxa"/>
              <w:right w:w="100" w:type="dxa"/>
            </w:tcMar>
          </w:tcPr>
          <w:p>
            <w:r>
              <w:rPr>
                <w:sz w:val="17"/>
              </w:rPr>
              <w:t>10 GB</w:t>
            </w:r>
          </w:p>
        </w:tc>
        <w:tc>
          <w:tcPr>
            <w:tcW w:type="dxa" w:w="1560"/>
            <w:shd w:fill="F9FAFC"/>
            <w:tcMar>
              <w:top w:w="80" w:type="dxa"/>
              <w:bottom w:w="80" w:type="dxa"/>
              <w:left w:w="100" w:type="dxa"/>
              <w:right w:w="100" w:type="dxa"/>
            </w:tcMar>
          </w:tcPr>
          <w:p>
            <w:r>
              <w:rPr>
                <w:sz w:val="17"/>
              </w:rPr>
              <w:t>120 GB</w:t>
            </w:r>
          </w:p>
        </w:tc>
        <w:tc>
          <w:tcPr>
            <w:tcW w:type="dxa" w:w="1560"/>
            <w:shd w:fill="F9FAFC"/>
            <w:tcMar>
              <w:top w:w="80" w:type="dxa"/>
              <w:bottom w:w="80" w:type="dxa"/>
              <w:left w:w="100" w:type="dxa"/>
              <w:right w:w="100" w:type="dxa"/>
            </w:tcMar>
          </w:tcPr>
          <w:p>
            <w:r>
              <w:rPr>
                <w:sz w:val="17"/>
              </w:rPr>
              <w:t>Proyectos académicos y tesis. Uso de Memory Ballooning y Snapshots locales.</w:t>
            </w:r>
          </w:p>
        </w:tc>
      </w:tr>
      <w:tr>
        <w:tc>
          <w:tcPr>
            <w:tcW w:type="dxa" w:w="1560"/>
            <w:shd w:fill="FFFFFF"/>
            <w:tcMar>
              <w:top w:w="80" w:type="dxa"/>
              <w:bottom w:w="80" w:type="dxa"/>
              <w:left w:w="100" w:type="dxa"/>
              <w:right w:w="100" w:type="dxa"/>
            </w:tcMar>
          </w:tcPr>
          <w:p>
            <w:r>
              <w:rPr>
                <w:sz w:val="17"/>
              </w:rPr>
              <w:t>Pruebas</w:t>
            </w:r>
          </w:p>
        </w:tc>
        <w:tc>
          <w:tcPr>
            <w:tcW w:type="dxa" w:w="1560"/>
            <w:shd w:fill="FFFFFF"/>
            <w:tcMar>
              <w:top w:w="80" w:type="dxa"/>
              <w:bottom w:w="80" w:type="dxa"/>
              <w:left w:w="100" w:type="dxa"/>
              <w:right w:w="100" w:type="dxa"/>
            </w:tcMar>
          </w:tcPr>
          <w:p>
            <w:r>
              <w:rPr>
                <w:sz w:val="17"/>
              </w:rPr>
              <w:t>LXC Efímeros</w:t>
            </w:r>
          </w:p>
        </w:tc>
        <w:tc>
          <w:tcPr>
            <w:tcW w:type="dxa" w:w="1560"/>
            <w:shd w:fill="FFFFFF"/>
            <w:tcMar>
              <w:top w:w="80" w:type="dxa"/>
              <w:bottom w:w="80" w:type="dxa"/>
              <w:left w:w="100" w:type="dxa"/>
              <w:right w:w="100" w:type="dxa"/>
            </w:tcMar>
          </w:tcPr>
          <w:p>
            <w:r>
              <w:rPr>
                <w:sz w:val="17"/>
              </w:rPr>
              <w:t>2 vCPU</w:t>
            </w:r>
          </w:p>
        </w:tc>
        <w:tc>
          <w:tcPr>
            <w:tcW w:type="dxa" w:w="1560"/>
            <w:shd w:fill="FFFFFF"/>
            <w:tcMar>
              <w:top w:w="80" w:type="dxa"/>
              <w:bottom w:w="80" w:type="dxa"/>
              <w:left w:w="100" w:type="dxa"/>
              <w:right w:w="100" w:type="dxa"/>
            </w:tcMar>
          </w:tcPr>
          <w:p>
            <w:r>
              <w:rPr>
                <w:sz w:val="17"/>
              </w:rPr>
              <w:t>8 GB</w:t>
            </w:r>
          </w:p>
        </w:tc>
        <w:tc>
          <w:tcPr>
            <w:tcW w:type="dxa" w:w="1560"/>
            <w:shd w:fill="FFFFFF"/>
            <w:tcMar>
              <w:top w:w="80" w:type="dxa"/>
              <w:bottom w:w="80" w:type="dxa"/>
              <w:left w:w="100" w:type="dxa"/>
              <w:right w:w="100" w:type="dxa"/>
            </w:tcMar>
          </w:tcPr>
          <w:p>
            <w:r>
              <w:rPr>
                <w:sz w:val="17"/>
              </w:rPr>
              <w:t>92 GB</w:t>
            </w:r>
          </w:p>
        </w:tc>
        <w:tc>
          <w:tcPr>
            <w:tcW w:type="dxa" w:w="1560"/>
            <w:shd w:fill="FFFFFF"/>
            <w:tcMar>
              <w:top w:w="80" w:type="dxa"/>
              <w:bottom w:w="80" w:type="dxa"/>
              <w:left w:w="100" w:type="dxa"/>
              <w:right w:w="100" w:type="dxa"/>
            </w:tcMar>
          </w:tcPr>
          <w:p>
            <w:r>
              <w:rPr>
                <w:sz w:val="17"/>
              </w:rPr>
              <w:t>Sandbox temporal. Limitación estricta de I/O (cgroups) y purga nocturna vía API.</w:t>
            </w:r>
          </w:p>
        </w:tc>
      </w:tr>
    </w:tbl>
    <w:p>
      <w:pPr>
        <w:spacing w:after="200"/>
      </w:pPr>
    </w:p>
    <w:p>
      <w:pPr>
        <w:keepNext/>
        <w:spacing w:before="320" w:after="120"/>
      </w:pPr>
      <w:r>
        <w:rPr>
          <w:rFonts w:ascii="Arial" w:hAnsi="Arial"/>
          <w:b/>
          <w:color w:val="102C57"/>
          <w:sz w:val="30"/>
        </w:rPr>
        <w:t>3. Plan de Expansión de Hardware y Capacidad Objetivo</w:t>
      </w:r>
    </w:p>
    <w:p>
      <w:r>
        <w:t>El diagnóstico revela que la memoria RAM (64 GB) es el cuello de botella primario de la infraestructura. El procesador Intel Xeon Silver 4210R soporta técnicamente hasta 768 GB de RAM en la placa monoprocesador.</w:t>
      </w:r>
    </w:p>
    <w:p>
      <w:pPr>
        <w:spacing w:after="40"/>
      </w:pPr>
    </w:p>
    <w:p>
      <w:pPr>
        <w:keepNext/>
        <w:spacing w:before="240" w:after="80"/>
      </w:pPr>
      <w:r>
        <w:rPr>
          <w:rFonts w:ascii="Arial" w:hAnsi="Arial"/>
          <w:b/>
          <w:color w:val="35598E"/>
          <w:sz w:val="24"/>
        </w:rPr>
        <w:t>Propuesta de Componentes y Costos Referenciales:</w:t>
      </w:r>
    </w:p>
    <w:p>
      <w:pPr>
        <w:pStyle w:val="ListBullet"/>
      </w:pPr>
      <w:r>
        <w:rPr>
          <w:b/>
        </w:rPr>
        <w:t xml:space="preserve">Ampliación de RAM (Prioridad Crítica): </w:t>
      </w:r>
      <w:r>
        <w:t xml:space="preserve">Adquisición de 4 módulos de 32 GB DDR4-2933 MHz ECC Registered (~$140 USD c/u = $560 USD). Capacidad objetivo total: </w:t>
      </w:r>
      <w:r>
        <w:rPr>
          <w:b/>
        </w:rPr>
        <w:t>192 GB RAM</w:t>
      </w:r>
      <w:r>
        <w:t xml:space="preserve"> (incrementa por 3.2x la capacidad utilizable).</w:t>
      </w:r>
    </w:p>
    <w:p>
      <w:pPr>
        <w:pStyle w:val="ListBullet"/>
      </w:pPr>
      <w:r>
        <w:rPr>
          <w:b/>
        </w:rPr>
        <w:t xml:space="preserve">Ampliación de Almacenamiento SSD (Prioridad Alta): </w:t>
      </w:r>
      <w:r>
        <w:t>Adquisición de 2x SSD Enterprise NVMe U.2 de 1.92 TB (~$280 USD c/u = $560 USD) configurados en ZFS Mirror dedicado para bases de datos de Producción.</w:t>
      </w:r>
    </w:p>
    <w:p>
      <w:pPr>
        <w:spacing w:before="80"/>
      </w:pPr>
      <w:r>
        <w:rPr>
          <w:b/>
        </w:rPr>
        <w:t xml:space="preserve">Presupuesto Estimado Total de Expansión: </w:t>
      </w:r>
      <w:r>
        <w:rPr>
          <w:b/>
          <w:color w:val="102C57"/>
        </w:rPr>
        <w:t>~$1,120 USD.</w:t>
      </w:r>
    </w:p>
    <w:p>
      <w:pPr>
        <w:keepNext/>
        <w:spacing w:before="320" w:after="120"/>
      </w:pPr>
      <w:r>
        <w:rPr>
          <w:rFonts w:ascii="Arial" w:hAnsi="Arial"/>
          <w:b/>
          <w:color w:val="102C57"/>
          <w:sz w:val="30"/>
        </w:rPr>
        <w:t>4. Operación, Seguridad y Aplicación Técnica de Proxmox VE</w:t>
      </w:r>
    </w:p>
    <w:p>
      <w:pPr>
        <w:keepNext/>
        <w:spacing w:before="240" w:after="80"/>
      </w:pPr>
      <w:r>
        <w:rPr>
          <w:rFonts w:ascii="Arial" w:hAnsi="Arial"/>
          <w:b/>
          <w:color w:val="35598E"/>
          <w:sz w:val="24"/>
        </w:rPr>
        <w:t>4.1 Seguridad y Multi-Inquilino (RBAC y Resource Pools)</w:t>
      </w:r>
    </w:p>
    <w:p>
      <w:r>
        <w:t>Para garantizar la administración independiente de los 4 docentes sin riesgo de afectación al entorno de Producción, se configuran cuatro Resource Pools ('Pool_Lab_Prof1' a 'Pool_Lab_Prof4') asociados al Realm 'PVE User DB' o LDAP institucional. Mediante un rol personalizado ('Profesor_Admin') con privilegios restringidos (VM.PowerMgmt, VM.Console, VM.Snapshot), los docentes solo visualizan e interactúan con los recursos de su grupo asignado.</w:t>
      </w:r>
    </w:p>
    <w:p>
      <w:pPr>
        <w:keepNext/>
        <w:spacing w:before="240" w:after="80"/>
      </w:pPr>
      <w:r>
        <w:rPr>
          <w:rFonts w:ascii="Arial" w:hAnsi="Arial"/>
          <w:b/>
          <w:color w:val="35598E"/>
          <w:sz w:val="24"/>
        </w:rPr>
        <w:t>4.2 Estrategia de Protección de Datos: Snapshots vs. Backups</w:t>
      </w:r>
    </w:p>
    <w:p>
      <w:r>
        <w:t>Se establece una distinción clara en la arquitectura de continuidad operativa:</w:t>
      </w:r>
    </w:p>
    <w:p>
      <w:pPr>
        <w:pStyle w:val="ListBullet"/>
      </w:pPr>
      <w:r>
        <w:rPr>
          <w:b/>
        </w:rPr>
        <w:t xml:space="preserve">Snapshots (Puntos de Restauración Locales): </w:t>
      </w:r>
      <w:r>
        <w:t>Ejecutados sobre almacenamiento Copy-on-Write (ZFS). Diseñados para reversión inmediata ante fallas de actualización en Desarrollo o Laboratorios. Tienen un tiempo de vida máximo de 48-72 horas.</w:t>
      </w:r>
    </w:p>
    <w:p>
      <w:pPr>
        <w:pStyle w:val="ListBullet"/>
      </w:pPr>
      <w:r>
        <w:rPr>
          <w:b/>
        </w:rPr>
        <w:t xml:space="preserve">Backups Persistentes (VZDump / Proxmox Backup Server): </w:t>
      </w:r>
      <w:r>
        <w:t>Copias de seguridad completas e independientes en modo Snapshot (sin apagar la VM) programadas diariamente a las 02:00 AM para Producción. Garantizan un RPO ≤ 24h y un RTO ≤ 2h.</w:t>
      </w:r>
    </w:p>
    <w:p>
      <w:pPr>
        <w:keepNext/>
        <w:spacing w:before="240" w:after="80"/>
      </w:pPr>
      <w:r>
        <w:rPr>
          <w:rFonts w:ascii="Arial" w:hAnsi="Arial"/>
          <w:b/>
          <w:color w:val="35598E"/>
          <w:sz w:val="24"/>
        </w:rPr>
        <w:t>4.3 Automatización Mediante la API REST de Proxmox VE</w:t>
      </w:r>
    </w:p>
    <w:p>
      <w:r>
        <w:t>Se especifican dos tareas automatizadas clave para optimizar la gestión universitaria:</w:t>
      </w:r>
    </w:p>
    <w:p>
      <w:pPr>
        <w:spacing w:after="40"/>
      </w:pPr>
      <w:r>
        <w:rPr>
          <w:b/>
        </w:rPr>
        <w:t xml:space="preserve">1. Aprovisionamiento Automático desde Moodle: </w:t>
      </w:r>
      <w:r>
        <w:t>Cuando un docente inicia un laboratorio, Moodle envía un Webhook a un middleware que invoca el endpoint POST /api2/json/nodes/lab-302/lxc/1000/clone para crear clones vinculados en menos de 3 segundos, asignando la VLAN correspondiente.</w:t>
      </w:r>
    </w:p>
    <w:p>
      <w:pPr>
        <w:spacing w:after="80"/>
      </w:pPr>
      <w:r>
        <w:rPr>
          <w:b/>
        </w:rPr>
        <w:t xml:space="preserve">2. Purga Nocturna del Entorno de Pruebas: </w:t>
      </w:r>
      <w:r>
        <w:t>Un Cron Job nocturno (03:00 AM) consulta GET /api2/json/nodes/lab-302/lxc, filtra contenedores del 'Pool_Pruebas' con uptime &gt; 24h o etiqueta #efimero, y ejecuta apague (POST /stop) y purga completa (DELETE ?purge=1) con validación estricta Fail-Safe.</w:t>
      </w:r>
    </w:p>
    <w:p>
      <w:pPr>
        <w:keepNext/>
        <w:spacing w:before="240" w:after="80"/>
      </w:pPr>
      <w:r>
        <w:rPr>
          <w:rFonts w:ascii="Arial" w:hAnsi="Arial"/>
          <w:b/>
          <w:color w:val="35598E"/>
          <w:sz w:val="24"/>
        </w:rPr>
        <w:t>4.4 Matriz Operativa: Nodo Único vs. Infraestructura Multi-Nodo (Clúster)</w:t>
      </w:r>
    </w:p>
    <w:p>
      <w:r>
        <w:t>Es fundamental diferenciar las capacidades operativas del servidor actual respecto a un clúster completo:</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02C57"/>
            <w:tcMar>
              <w:top w:w="100" w:type="dxa"/>
              <w:bottom w:w="100" w:type="dxa"/>
              <w:left w:w="100" w:type="dxa"/>
              <w:right w:w="100" w:type="dxa"/>
            </w:tcMar>
          </w:tcPr>
          <w:p>
            <w:r>
              <w:rPr>
                <w:b/>
                <w:color w:val="FFFFFF"/>
                <w:sz w:val="18"/>
              </w:rPr>
              <w:t>Funcionalidad Proxmox VE</w:t>
            </w:r>
          </w:p>
        </w:tc>
        <w:tc>
          <w:tcPr>
            <w:tcW w:type="dxa" w:w="3120"/>
            <w:shd w:fill="102C57"/>
            <w:tcMar>
              <w:top w:w="100" w:type="dxa"/>
              <w:bottom w:w="100" w:type="dxa"/>
              <w:left w:w="100" w:type="dxa"/>
              <w:right w:w="100" w:type="dxa"/>
            </w:tcMar>
          </w:tcPr>
          <w:p>
            <w:r>
              <w:rPr>
                <w:b/>
                <w:color w:val="FFFFFF"/>
                <w:sz w:val="18"/>
              </w:rPr>
              <w:t>¿Opera en Servidor Actual (1 Nodo)?</w:t>
            </w:r>
          </w:p>
        </w:tc>
        <w:tc>
          <w:tcPr>
            <w:tcW w:type="dxa" w:w="3120"/>
            <w:shd w:fill="102C57"/>
            <w:tcMar>
              <w:top w:w="100" w:type="dxa"/>
              <w:bottom w:w="100" w:type="dxa"/>
              <w:left w:w="100" w:type="dxa"/>
              <w:right w:w="100" w:type="dxa"/>
            </w:tcMar>
          </w:tcPr>
          <w:p>
            <w:r>
              <w:rPr>
                <w:b/>
                <w:color w:val="FFFFFF"/>
                <w:sz w:val="18"/>
              </w:rPr>
              <w:t>Requisito para Infraestructura Futura</w:t>
            </w:r>
          </w:p>
        </w:tc>
      </w:tr>
      <w:tr>
        <w:tc>
          <w:tcPr>
            <w:tcW w:type="dxa" w:w="3120"/>
            <w:shd w:fill="F9FAFC"/>
            <w:tcMar>
              <w:top w:w="80" w:type="dxa"/>
              <w:bottom w:w="80" w:type="dxa"/>
              <w:left w:w="100" w:type="dxa"/>
              <w:right w:w="100" w:type="dxa"/>
            </w:tcMar>
          </w:tcPr>
          <w:p>
            <w:r>
              <w:rPr>
                <w:sz w:val="17"/>
              </w:rPr>
              <w:t>Snapshots / Backups / API REST</w:t>
            </w:r>
          </w:p>
        </w:tc>
        <w:tc>
          <w:tcPr>
            <w:tcW w:type="dxa" w:w="3120"/>
            <w:shd w:fill="F9FAFC"/>
            <w:tcMar>
              <w:top w:w="80" w:type="dxa"/>
              <w:bottom w:w="80" w:type="dxa"/>
              <w:left w:w="100" w:type="dxa"/>
              <w:right w:w="100" w:type="dxa"/>
            </w:tcMar>
          </w:tcPr>
          <w:p>
            <w:r>
              <w:rPr>
                <w:sz w:val="17"/>
              </w:rPr>
              <w:t>SÍ. Totalmente funcional.</w:t>
            </w:r>
          </w:p>
        </w:tc>
        <w:tc>
          <w:tcPr>
            <w:tcW w:type="dxa" w:w="3120"/>
            <w:shd w:fill="F9FAFC"/>
            <w:tcMar>
              <w:top w:w="80" w:type="dxa"/>
              <w:bottom w:w="80" w:type="dxa"/>
              <w:left w:w="100" w:type="dxa"/>
              <w:right w:w="100" w:type="dxa"/>
            </w:tcMar>
          </w:tcPr>
          <w:p>
            <w:r>
              <w:rPr>
                <w:sz w:val="17"/>
              </w:rPr>
              <w:t>Ninguno. Operativo en almacenamiento ZFS local.</w:t>
            </w:r>
          </w:p>
        </w:tc>
      </w:tr>
      <w:tr>
        <w:tc>
          <w:tcPr>
            <w:tcW w:type="dxa" w:w="3120"/>
            <w:shd w:fill="FFFFFF"/>
            <w:tcMar>
              <w:top w:w="80" w:type="dxa"/>
              <w:bottom w:w="80" w:type="dxa"/>
              <w:left w:w="100" w:type="dxa"/>
              <w:right w:w="100" w:type="dxa"/>
            </w:tcMar>
          </w:tcPr>
          <w:p>
            <w:r>
              <w:rPr>
                <w:sz w:val="17"/>
              </w:rPr>
              <w:t>Clúster &amp; Corosync Quorum</w:t>
            </w:r>
          </w:p>
        </w:tc>
        <w:tc>
          <w:tcPr>
            <w:tcW w:type="dxa" w:w="3120"/>
            <w:shd w:fill="FFFFFF"/>
            <w:tcMar>
              <w:top w:w="80" w:type="dxa"/>
              <w:bottom w:w="80" w:type="dxa"/>
              <w:left w:w="100" w:type="dxa"/>
              <w:right w:w="100" w:type="dxa"/>
            </w:tcMar>
          </w:tcPr>
          <w:p>
            <w:r>
              <w:rPr>
                <w:sz w:val="17"/>
              </w:rPr>
              <w:t>NO. Desactivado.</w:t>
            </w:r>
          </w:p>
        </w:tc>
        <w:tc>
          <w:tcPr>
            <w:tcW w:type="dxa" w:w="3120"/>
            <w:shd w:fill="FFFFFF"/>
            <w:tcMar>
              <w:top w:w="80" w:type="dxa"/>
              <w:bottom w:w="80" w:type="dxa"/>
              <w:left w:w="100" w:type="dxa"/>
              <w:right w:w="100" w:type="dxa"/>
            </w:tcMar>
          </w:tcPr>
          <w:p>
            <w:r>
              <w:rPr>
                <w:sz w:val="17"/>
              </w:rPr>
              <w:t>Mínimo 3 nodos físicos interconectados (o 2 nodos + QDevice).</w:t>
            </w:r>
          </w:p>
        </w:tc>
      </w:tr>
      <w:tr>
        <w:tc>
          <w:tcPr>
            <w:tcW w:type="dxa" w:w="3120"/>
            <w:shd w:fill="F9FAFC"/>
            <w:tcMar>
              <w:top w:w="80" w:type="dxa"/>
              <w:bottom w:w="80" w:type="dxa"/>
              <w:left w:w="100" w:type="dxa"/>
              <w:right w:w="100" w:type="dxa"/>
            </w:tcMar>
          </w:tcPr>
          <w:p>
            <w:r>
              <w:rPr>
                <w:sz w:val="17"/>
              </w:rPr>
              <w:t>Live Migration &amp; High Availability</w:t>
            </w:r>
          </w:p>
        </w:tc>
        <w:tc>
          <w:tcPr>
            <w:tcW w:type="dxa" w:w="3120"/>
            <w:shd w:fill="F9FAFC"/>
            <w:tcMar>
              <w:top w:w="80" w:type="dxa"/>
              <w:bottom w:w="80" w:type="dxa"/>
              <w:left w:w="100" w:type="dxa"/>
              <w:right w:w="100" w:type="dxa"/>
            </w:tcMar>
          </w:tcPr>
          <w:p>
            <w:r>
              <w:rPr>
                <w:sz w:val="17"/>
              </w:rPr>
              <w:t>NO. Desactivado.</w:t>
            </w:r>
          </w:p>
        </w:tc>
        <w:tc>
          <w:tcPr>
            <w:tcW w:type="dxa" w:w="3120"/>
            <w:shd w:fill="F9FAFC"/>
            <w:tcMar>
              <w:top w:w="80" w:type="dxa"/>
              <w:bottom w:w="80" w:type="dxa"/>
              <w:left w:w="100" w:type="dxa"/>
              <w:right w:w="100" w:type="dxa"/>
            </w:tcMar>
          </w:tcPr>
          <w:p>
            <w:r>
              <w:rPr>
                <w:sz w:val="17"/>
              </w:rPr>
              <w:t>Clúster de 3 nodos + Almacenamiento compartido (Ceph/SAN) + Red 10GbE.</w:t>
            </w:r>
          </w:p>
        </w:tc>
      </w:tr>
    </w:tbl>
    <w:p>
      <w:pPr>
        <w:spacing w:after="200"/>
      </w:pPr>
    </w:p>
    <w:p>
      <w:pPr>
        <w:keepNext/>
        <w:spacing w:before="320" w:after="120"/>
      </w:pPr>
      <w:r>
        <w:rPr>
          <w:rFonts w:ascii="Arial" w:hAnsi="Arial"/>
          <w:b/>
          <w:color w:val="102C57"/>
          <w:sz w:val="30"/>
        </w:rPr>
        <w:t>5. Guía de Estudio Razonada (Conceptos Hito 3)</w:t>
      </w:r>
    </w:p>
    <w:p>
      <w:pPr>
        <w:spacing w:before="80" w:after="20"/>
      </w:pPr>
      <w:r>
        <w:rPr>
          <w:b/>
          <w:color w:val="102C57"/>
        </w:rPr>
        <w:t>1. ¿Cuál es la diferencia fundamental entre virtualización Tipo 1 (KVM) y Tipo 2, y por qué Proxmox es Tipo 1?</w:t>
      </w:r>
    </w:p>
    <w:p>
      <w:pPr>
        <w:spacing w:after="120"/>
      </w:pPr>
      <w:r>
        <w:rPr>
          <w:sz w:val="19"/>
        </w:rPr>
        <w:t>Respuesta: Proxmox VE se ejecuta directamente sobre el hardware físico (Bare-Metal) con un kernel Linux optimizado, sin un sistema operativo anfitrión intermedio. Esto minimiza el overhead y maximiza la eficiencia I/O respecto a hipervisores Tipo 2 (ej. VirtualBox).</w:t>
      </w:r>
    </w:p>
    <w:p>
      <w:pPr>
        <w:spacing w:before="80" w:after="20"/>
      </w:pPr>
      <w:r>
        <w:rPr>
          <w:b/>
          <w:color w:val="102C57"/>
        </w:rPr>
        <w:t>2. ¿Por qué se utiliza LXC para laboratorios masivos y KVM para el entorno de Producción?</w:t>
      </w:r>
    </w:p>
    <w:p>
      <w:pPr>
        <w:spacing w:after="120"/>
      </w:pPr>
      <w:r>
        <w:rPr>
          <w:sz w:val="19"/>
        </w:rPr>
        <w:t>Respuesta: LXC comparte el kernel del Host, consumiendo solo ~50-100 MB RAM base por contenedor, permitiendo alta densidad de alumnos. KVM virtualiza completamente el hardware y soporta kernels independientes (o Windows), garantizando aislamiento total para Producción.</w:t>
      </w:r>
    </w:p>
    <w:p>
      <w:pPr>
        <w:spacing w:before="80" w:after="20"/>
      </w:pPr>
      <w:r>
        <w:rPr>
          <w:b/>
          <w:color w:val="102C57"/>
        </w:rPr>
        <w:t>3. ¿Por qué los Snapshots no deben ser considerados copias de seguridad (Backups)?</w:t>
      </w:r>
    </w:p>
    <w:p>
      <w:pPr>
        <w:spacing w:after="120"/>
      </w:pPr>
      <w:r>
        <w:rPr>
          <w:sz w:val="19"/>
        </w:rPr>
        <w:t>Respuesta: Un Snapshot reside en el mismo storage pool físico que la VM base (modificando punteros CoW). Si el arreglo de discos o la controladora física falla, se pierden tanto la VM como todos sus Snapshots.</w:t>
      </w:r>
    </w:p>
    <w:p>
      <w:pPr>
        <w:spacing w:before="80" w:after="20"/>
      </w:pPr>
      <w:r>
        <w:rPr>
          <w:b/>
          <w:color w:val="102C57"/>
        </w:rPr>
        <w:t>4. ¿Qué función cumple la regla del 20% de espacio libre en almacenamiento ZFS?</w:t>
      </w:r>
    </w:p>
    <w:p>
      <w:pPr>
        <w:spacing w:after="120"/>
      </w:pPr>
      <w:r>
        <w:rPr>
          <w:sz w:val="19"/>
        </w:rPr>
        <w:t>Respuesta: ZFS requiere bloques contiguos libres para escribir eficientemente mediante Copy-on-Write. Superar el 80% de ocupación fragmenta severamente el almacenamiento, degradando drásticamente el rendimiento de lectura/escritura (IOPS).</w:t>
      </w:r>
    </w:p>
    <w:p>
      <w:pPr>
        <w:spacing w:before="80" w:after="20"/>
      </w:pPr>
      <w:r>
        <w:rPr>
          <w:b/>
          <w:color w:val="102C57"/>
        </w:rPr>
        <w:t>5. ¿Qué es el Quorum en Proxmox VE y cuántos nodos físicos se requieren como mínimo?</w:t>
      </w:r>
    </w:p>
    <w:p>
      <w:pPr>
        <w:spacing w:after="120"/>
      </w:pPr>
      <w:r>
        <w:rPr>
          <w:sz w:val="19"/>
        </w:rPr>
        <w:t>Respuesta: El Quorum es el número mínimo de votos activos para tomar decisiones en el clúster (vía Corosync). Se requieren mínimo 3 nodos (o 2 nodos + 1 QDevice externo) para evitar el problema de Split-Brain.</w:t>
      </w:r>
    </w:p>
    <w:p>
      <w:pPr>
        <w:spacing w:before="80" w:after="20"/>
      </w:pPr>
      <w:r>
        <w:rPr>
          <w:b/>
          <w:color w:val="102C57"/>
        </w:rPr>
        <w:t>6. ¿Por qué no es posible ejecutar Migración en Vivo (Live Migration) en el servidor actual del Lab 302?</w:t>
      </w:r>
    </w:p>
    <w:p>
      <w:pPr>
        <w:spacing w:after="120"/>
      </w:pPr>
      <w:r>
        <w:rPr>
          <w:sz w:val="19"/>
        </w:rPr>
        <w:t>Respuesta: Porque la migración en vivo requiere sincronización de RAM en tiempo real y almacenamiento compartido accesible por múltiples nodos (Ceph, NFS, SAN) a través de una red dedicada de alta velocidad.</w:t>
      </w:r>
    </w:p>
    <w:p>
      <w:pPr>
        <w:spacing w:before="80" w:after="20"/>
      </w:pPr>
      <w:r>
        <w:rPr>
          <w:b/>
          <w:color w:val="102C57"/>
        </w:rPr>
        <w:t>7. ¿Cómo garantizan los Resource Pools la seguridad entre los 4 docentes?</w:t>
      </w:r>
    </w:p>
    <w:p>
      <w:pPr>
        <w:spacing w:after="120"/>
      </w:pPr>
      <w:r>
        <w:rPr>
          <w:sz w:val="19"/>
        </w:rPr>
        <w:t>Respuesta: Aíslan lógicamente la visibilidad y gestión de las VMs. Un docente asignado a 'Pool_Lab_Prof1' con rol restringido no puede ver, modificar ni apagar instancias de otros docentes o de Producción.</w:t>
      </w:r>
    </w:p>
    <w:p>
      <w:pPr>
        <w:spacing w:before="80" w:after="20"/>
      </w:pPr>
      <w:r>
        <w:rPr>
          <w:b/>
          <w:color w:val="102C57"/>
        </w:rPr>
        <w:t>8. ¿Cuál es la función del parámetro 'VLAN Aware' en un Linux Bridge (`vmbr0`)?</w:t>
      </w:r>
    </w:p>
    <w:p>
      <w:pPr>
        <w:spacing w:after="120"/>
      </w:pPr>
      <w:r>
        <w:rPr>
          <w:sz w:val="19"/>
        </w:rPr>
        <w:t>Respuesta: Permite que una única interfaz de red física transporte tráfico etiquetado de múltiples VLANs (802.1Q), aislando el tráfico broadcast de Producción (VLAN 10) respecto a los laboratorios (VLANs 20-23).</w:t>
      </w:r>
    </w:p>
    <w:p>
      <w:pPr>
        <w:spacing w:before="80" w:after="20"/>
      </w:pPr>
      <w:r>
        <w:rPr>
          <w:b/>
          <w:color w:val="102C57"/>
        </w:rPr>
        <w:t>9. ¿Para qué se utiliza el 'qemu-guest-agent' dentro de una VM en Proxmox?</w:t>
      </w:r>
    </w:p>
    <w:p>
      <w:pPr>
        <w:spacing w:after="120"/>
      </w:pPr>
      <w:r>
        <w:rPr>
          <w:sz w:val="19"/>
        </w:rPr>
        <w:t>Respuesta: Facilita la comunicación directa entre el hipervisor y el SO cliente, permitiendo cierres limpios, sincronización de hora, congelamiento de sistema de archivos (fs-freeze) durante backups y reporte real de red/RAM.</w:t>
      </w:r>
    </w:p>
    <w:p>
      <w:pPr>
        <w:spacing w:before="80" w:after="20"/>
      </w:pPr>
      <w:r>
        <w:rPr>
          <w:b/>
          <w:color w:val="102C57"/>
        </w:rPr>
        <w:t>10. ¿Cómo previene un control 'Fail-Safe' en la API de Proxmox la eliminación accidental de un servidor crítico?</w:t>
      </w:r>
    </w:p>
    <w:p>
      <w:pPr>
        <w:spacing w:after="120"/>
      </w:pPr>
      <w:r>
        <w:rPr>
          <w:sz w:val="19"/>
        </w:rPr>
        <w:t>Respuesta: Mediante la validación previa en código que comprueba que la variable 'pool' sea exactamente igual a 'Pool_Pruebas' y que exista el tag '#efimero' antes de emitir la orden HTTP DELETE, abortando la ejecución si detecta Producción.</w:t>
      </w:r>
    </w:p>
    <w:p>
      <w:pPr>
        <w:keepNext/>
        <w:spacing w:before="320" w:after="120"/>
      </w:pPr>
      <w:r>
        <w:rPr>
          <w:rFonts w:ascii="Arial" w:hAnsi="Arial"/>
          <w:b/>
          <w:color w:val="102C57"/>
          <w:sz w:val="30"/>
        </w:rPr>
        <w:t>6. Diagnóstico de Evaluación de Aprendizaje (Prompt Espejo)</w:t>
      </w:r>
    </w:p>
    <w:tbl>
      <w:tblPr>
        <w:tblW w:type="auto" w:w="0"/>
        <w:jc w:val="center"/>
        <w:tblLook w:firstColumn="1" w:firstRow="1" w:lastColumn="0" w:lastRow="0" w:noHBand="0" w:noVBand="1" w:val="04A0"/>
      </w:tblPr>
      <w:tblGrid>
        <w:gridCol w:w="9360"/>
      </w:tblGrid>
      <w:tr>
        <w:tc>
          <w:tcPr>
            <w:tcW w:type="dxa" w:w="9360"/>
            <w:shd w:fill="F5F7FA"/>
            <w:tcMar>
              <w:top w:w="120" w:type="dxa"/>
              <w:bottom w:w="120" w:type="dxa"/>
              <w:left w:w="180" w:type="dxa"/>
              <w:right w:w="180" w:type="dxa"/>
            </w:tcMar>
            <w:tcBorders>
              <w:top w:val="none"/>
              <w:left w:val="single" w:sz="24" w:space="0" w:color="102C57"/>
              <w:bottom w:val="none"/>
              <w:right w:val="none"/>
            </w:tcBorders>
          </w:tcPr>
          <w:p>
            <w:pPr>
              <w:spacing w:after="40"/>
            </w:pPr>
            <w:r>
              <w:rPr>
                <w:b/>
                <w:color w:val="102C57"/>
                <w:sz w:val="20"/>
              </w:rPr>
              <w:t>SÍNTESIS DE AUTOEVALUACIÓN Y PROCESO DE APRENDIZAJE</w:t>
              <w:br/>
            </w:r>
            <w:r>
              <w:rPr>
                <w:i/>
                <w:sz w:val="19"/>
              </w:rPr>
              <w:t>El siguiente diagnóstico sintetiza la autoevaluación y análisis de aprendizaje durante la interacción completa de este proyecto, diferenciando los aportes propios del estudiante respecto a las soluciones proporcionadas por la IA.</w:t>
            </w:r>
          </w:p>
        </w:tc>
      </w:tr>
    </w:tbl>
    <w:p>
      <w:pPr>
        <w:spacing w:after="120"/>
      </w:pPr>
    </w:p>
    <w:p>
      <w:r>
        <w:rPr>
          <w:b/>
        </w:rPr>
        <w:t xml:space="preserve">1. Fortalezas Demostradas: </w:t>
      </w:r>
      <w:r>
        <w:t>Claridad estratégica en los objetivos universitarios, correcta distinción técnica entre Snapshots y Backups (RPO/RTO), y comprensión del valor de la API REST para automatizar el ciclo de vida de laboratorios.</w:t>
      </w:r>
    </w:p>
    <w:p>
      <w:r>
        <w:rPr>
          <w:b/>
        </w:rPr>
        <w:t xml:space="preserve">2. Debilidades a Reforzar: </w:t>
      </w:r>
      <w:r>
        <w:t>Delegación de cálculos numéricos de dimensionamiento (Sizing) a la IA sin verificación manual inicial, y necesidad de profundizar en la sintaxis exacta de CLI/API (banderas de 'qm' y 'pct').</w:t>
      </w:r>
    </w:p>
    <w:p>
      <w:r>
        <w:rPr>
          <w:b/>
        </w:rPr>
        <w:t xml:space="preserve">3. Criterio Técnico: </w:t>
      </w:r>
      <w:r>
        <w:t>Alto criterio para seleccionar arquitecturas mixtas (KVM para Producción y LXC para alta densidad) y reconocimiento claro de las limitaciones de un nodo único (imposibilidad de HA/Quorum).</w:t>
      </w:r>
    </w:p>
    <w:p>
      <w:r>
        <w:rPr>
          <w:b/>
        </w:rPr>
        <w:t xml:space="preserve">4. Plan de Acción (Preparación Hito 3): </w:t>
      </w:r>
      <w:r>
        <w:t>1) Ejercitar cálculos de memoria usable y reserva del 20% en ZFS a mano. 2) Práctica directa en consola CLI con comandos 'qm clone' y 'pct create'. 3) Repasar enrutamiento L3 e inter-VLAN.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