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Trinity Fellowship Sermon Topic Taxonomy — Proposed</w:t>
      </w:r>
    </w:p>
    <w:p>
      <w:pPr>
        <w:pStyle w:val="Author"/>
      </w:pPr>
      <w:r>
        <w:t xml:space="preserve">Dobby (for Chris)</w:t>
      </w:r>
    </w:p>
    <w:p>
      <w:pPr>
        <w:pStyle w:val="Date"/>
      </w:pPr>
      <w:r>
        <w:t xml:space="preserve">2026-06-28</w:t>
      </w:r>
    </w:p>
    <w:bookmarkStart w:id="23" w:name="X3755a665eb6f43917ab417abf0e55fa934f0c61"/>
    <w:p>
      <w:pPr>
        <w:pStyle w:val="Heading1"/>
      </w:pPr>
      <w:r>
        <w:t xml:space="preserve">Trinity Fellowship Sermon Topic Taxonomy — Proposed</w:t>
      </w:r>
    </w:p>
    <w:bookmarkStart w:id="9" w:name="purpose"/>
    <w:p>
      <w:pPr>
        <w:pStyle w:val="Heading2"/>
      </w:pPr>
      <w:r>
        <w:t xml:space="preserve">Purpose</w:t>
      </w:r>
    </w:p>
    <w:p>
      <w:pPr>
        <w:pStyle w:val="FirstParagraph"/>
      </w:pPr>
      <w:r>
        <w:t xml:space="preserve">Build a reusable set of metadata for Trinity Fellowship’s sermon archive (Transistor) so a future topic index page can link sermons to doctrinal and life topics. This is the proposed starter taxonomy — to be reviewed and finalized before tagging the sermon transcripts.</w:t>
      </w:r>
    </w:p>
    <w:bookmarkEnd w:id="9"/>
    <w:bookmarkStart w:id="10" w:name="methodology"/>
    <w:p>
      <w:pPr>
        <w:pStyle w:val="Heading2"/>
      </w:pPr>
      <w:r>
        <w:t xml:space="preserve">Methodology</w:t>
      </w:r>
    </w:p>
    <w:p>
      <w:pPr>
        <w:pStyle w:val="FirstParagraph"/>
      </w:pPr>
      <w:r>
        <w:t xml:space="preserve">The taxonomy begins with the nine doctrinal anchors Trinity Fellowship publishes on its</w:t>
      </w:r>
      <w:r>
        <w:t xml:space="preserve"> </w:t>
      </w:r>
      <w:r>
        <w:t xml:space="preserve">“What We Believe”</w:t>
      </w:r>
      <w:r>
        <w:t xml:space="preserve"> </w:t>
      </w:r>
      <w:r>
        <w:t xml:space="preserve">page, then expands using the categories of historic Reformed Protestant theology (Westminster Confession of Faith, 1689 London Baptist Confession, Three Forms of Unity, Heidelberg Catechism). Categories are organized into six buckets so the eventual public-facing page reads naturally for both seekers and members.</w:t>
      </w:r>
    </w:p>
    <w:p>
      <w:pPr>
        <w:pStyle w:val="BodyText"/>
      </w:pPr>
      <w:r>
        <w:t xml:space="preserve">Trinity Fellowship is a church plant of Redeemer Community Church (Birmingham) and is intentionally non-denominational — not affiliated with any formal denomination. Its teaching heritage, however, is Reformed Protestant (it shares Redeemer’s theological convictions), which is why the Westminster Confession is the most useful classical reference point for the surrounding tradition. The taxonomy should be read as</w:t>
      </w:r>
      <w:r>
        <w:t xml:space="preserve"> </w:t>
      </w:r>
      <w:r>
        <w:t xml:space="preserve">“what Trinity says it believes plus the historic Reformed Protestant tradition it draws from,”</w:t>
      </w:r>
      <w:r>
        <w:t xml:space="preserve"> </w:t>
      </w:r>
      <w:r>
        <w:t xml:space="preserve">not as a denominational statement.</w:t>
      </w:r>
    </w:p>
    <w:p>
      <w:r>
        <w:pict>
          <v:rect style="width:0;height:1.5pt" o:hralign="center" o:hrstd="t" o:hr="t"/>
        </w:pict>
      </w:r>
    </w:p>
    <w:bookmarkEnd w:id="10"/>
    <w:bookmarkStart w:id="11" w:name="bucket-1-god-who-he-is"/>
    <w:p>
      <w:pPr>
        <w:pStyle w:val="Heading2"/>
      </w:pPr>
      <w:r>
        <w:t xml:space="preserve">Bucket 1 — God: Who He Is</w:t>
      </w:r>
    </w:p>
    <w:p>
      <w:pPr>
        <w:pStyle w:val="FirstParagraph"/>
      </w:pPr>
      <w:r>
        <w:t xml:space="preserve">Topics covering the existence, nature, and attributes of God.</w:t>
      </w:r>
    </w:p>
    <w:p>
      <w:pPr>
        <w:pStyle w:val="Compact"/>
        <w:numPr>
          <w:ilvl w:val="0"/>
          <w:numId w:val="1001"/>
        </w:numPr>
      </w:pPr>
      <w:r>
        <w:rPr>
          <w:b/>
          <w:bCs/>
        </w:rPr>
        <w:t xml:space="preserve">The Trinity</w:t>
      </w:r>
      <w:r>
        <w:t xml:space="preserve"> </w:t>
      </w:r>
      <w:r>
        <w:t xml:space="preserve">— One God in three persons (Father, Son, Holy Spirit); equality of persons; distinct roles.</w:t>
      </w:r>
    </w:p>
    <w:p>
      <w:pPr>
        <w:pStyle w:val="Compact"/>
        <w:numPr>
          <w:ilvl w:val="0"/>
          <w:numId w:val="1001"/>
        </w:numPr>
      </w:pPr>
      <w:r>
        <w:rPr>
          <w:b/>
          <w:bCs/>
        </w:rPr>
        <w:t xml:space="preserve">The Character of God</w:t>
      </w:r>
      <w:r>
        <w:t xml:space="preserve"> </w:t>
      </w:r>
      <w:r>
        <w:t xml:space="preserve">— Sovereignty, holiness, love, justice, immutability, omniscience, omnipresence, grace, mercy.</w:t>
      </w:r>
    </w:p>
    <w:p>
      <w:pPr>
        <w:pStyle w:val="Compact"/>
        <w:numPr>
          <w:ilvl w:val="0"/>
          <w:numId w:val="1001"/>
        </w:numPr>
      </w:pPr>
      <w:r>
        <w:rPr>
          <w:b/>
          <w:bCs/>
        </w:rPr>
        <w:t xml:space="preserve">God the Father</w:t>
      </w:r>
      <w:r>
        <w:t xml:space="preserve"> </w:t>
      </w:r>
      <w:r>
        <w:t xml:space="preserve">— Person and work of the Father; His fatherhood toward believers.</w:t>
      </w:r>
    </w:p>
    <w:p>
      <w:pPr>
        <w:pStyle w:val="Compact"/>
        <w:numPr>
          <w:ilvl w:val="0"/>
          <w:numId w:val="1001"/>
        </w:numPr>
      </w:pPr>
      <w:r>
        <w:rPr>
          <w:b/>
          <w:bCs/>
        </w:rPr>
        <w:t xml:space="preserve">Creation</w:t>
      </w:r>
      <w:r>
        <w:t xml:space="preserve"> </w:t>
      </w:r>
      <w:r>
        <w:t xml:space="preserve">— Origin and purpose of the world; humanity as the crown of creation.</w:t>
      </w:r>
    </w:p>
    <w:p>
      <w:pPr>
        <w:pStyle w:val="Compact"/>
        <w:numPr>
          <w:ilvl w:val="0"/>
          <w:numId w:val="1001"/>
        </w:numPr>
      </w:pPr>
      <w:r>
        <w:rPr>
          <w:b/>
          <w:bCs/>
        </w:rPr>
        <w:t xml:space="preserve">Providence &amp; Sovereignty</w:t>
      </w:r>
      <w:r>
        <w:t xml:space="preserve"> </w:t>
      </w:r>
      <w:r>
        <w:t xml:space="preserve">— God’s rule over all events; ordinary and extraordinary providence; comfort and warning.</w:t>
      </w:r>
    </w:p>
    <w:p>
      <w:pPr>
        <w:pStyle w:val="Compact"/>
        <w:numPr>
          <w:ilvl w:val="0"/>
          <w:numId w:val="1001"/>
        </w:numPr>
      </w:pPr>
      <w:r>
        <w:rPr>
          <w:b/>
          <w:bCs/>
        </w:rPr>
        <w:t xml:space="preserve">God’s Decree, Predestination &amp; Election</w:t>
      </w:r>
      <w:r>
        <w:t xml:space="preserve"> </w:t>
      </w:r>
      <w:r>
        <w:t xml:space="preserve">— The eternal plan of God; election in Christ; reprobation; pastoral care in teaching this doctrine.</w:t>
      </w:r>
    </w:p>
    <w:bookmarkEnd w:id="11"/>
    <w:bookmarkStart w:id="12" w:name="bucket-2-christ-the-gospel"/>
    <w:p>
      <w:pPr>
        <w:pStyle w:val="Heading2"/>
      </w:pPr>
      <w:r>
        <w:t xml:space="preserve">Bucket 2 — Christ &amp; the Gospel</w:t>
      </w:r>
    </w:p>
    <w:p>
      <w:pPr>
        <w:pStyle w:val="FirstParagraph"/>
      </w:pPr>
      <w:r>
        <w:t xml:space="preserve">Topics covering the person and work of Christ and the application of salvation.</w:t>
      </w:r>
    </w:p>
    <w:p>
      <w:pPr>
        <w:pStyle w:val="Compact"/>
        <w:numPr>
          <w:ilvl w:val="0"/>
          <w:numId w:val="1002"/>
        </w:numPr>
      </w:pPr>
      <w:r>
        <w:rPr>
          <w:b/>
          <w:bCs/>
        </w:rPr>
        <w:t xml:space="preserve">The Person of Christ</w:t>
      </w:r>
      <w:r>
        <w:t xml:space="preserve"> </w:t>
      </w:r>
      <w:r>
        <w:t xml:space="preserve">— Fully God and fully man; virgin birth; hypostatic union; the two natures in one person.</w:t>
      </w:r>
    </w:p>
    <w:p>
      <w:pPr>
        <w:pStyle w:val="Compact"/>
        <w:numPr>
          <w:ilvl w:val="0"/>
          <w:numId w:val="1002"/>
        </w:numPr>
      </w:pPr>
      <w:r>
        <w:rPr>
          <w:b/>
          <w:bCs/>
        </w:rPr>
        <w:t xml:space="preserve">The Work of Christ</w:t>
      </w:r>
      <w:r>
        <w:t xml:space="preserve"> </w:t>
      </w:r>
      <w:r>
        <w:t xml:space="preserve">— Atonement, crucifixion, resurrection, ascension, session at God’s right hand, intercession; prophet/priest/king.</w:t>
      </w:r>
    </w:p>
    <w:p>
      <w:pPr>
        <w:pStyle w:val="Compact"/>
        <w:numPr>
          <w:ilvl w:val="0"/>
          <w:numId w:val="1002"/>
        </w:numPr>
      </w:pPr>
      <w:r>
        <w:rPr>
          <w:b/>
          <w:bCs/>
        </w:rPr>
        <w:t xml:space="preserve">The Gospel</w:t>
      </w:r>
      <w:r>
        <w:t xml:space="preserve"> </w:t>
      </w:r>
      <w:r>
        <w:t xml:space="preserve">— The whole story of God’s saving work in Christ — what it is, why it matters, how it applies. A meta-topic that runs through most sermons; use when the sermon names or explains</w:t>
      </w:r>
      <w:r>
        <w:t xml:space="preserve"> </w:t>
      </w:r>
      <w:r>
        <w:t xml:space="preserve">“the gospel”</w:t>
      </w:r>
      <w:r>
        <w:t xml:space="preserve"> </w:t>
      </w:r>
      <w:r>
        <w:t xml:space="preserve">itself rather than a specific element (use</w:t>
      </w:r>
      <w:r>
        <w:t xml:space="preserve"> </w:t>
      </w:r>
      <w:r>
        <w:rPr>
          <w:rStyle w:val="VerbatimChar"/>
        </w:rPr>
        <w:t xml:space="preserve">justification</w:t>
      </w:r>
      <w:r>
        <w:t xml:space="preserve"> </w:t>
      </w:r>
      <w:r>
        <w:t xml:space="preserve">for imputed righteousness,</w:t>
      </w:r>
      <w:r>
        <w:t xml:space="preserve"> </w:t>
      </w:r>
      <w:r>
        <w:rPr>
          <w:rStyle w:val="VerbatimChar"/>
        </w:rPr>
        <w:t xml:space="preserve">sanctification</w:t>
      </w:r>
      <w:r>
        <w:t xml:space="preserve"> </w:t>
      </w:r>
      <w:r>
        <w:t xml:space="preserve">for progressive growth,</w:t>
      </w:r>
      <w:r>
        <w:t xml:space="preserve"> </w:t>
      </w:r>
      <w:r>
        <w:rPr>
          <w:rStyle w:val="VerbatimChar"/>
        </w:rPr>
        <w:t xml:space="preserve">repentance-and-saving-faith</w:t>
      </w:r>
      <w:r>
        <w:t xml:space="preserve"> </w:t>
      </w:r>
      <w:r>
        <w:t xml:space="preserve">for the human response, etc.).</w:t>
      </w:r>
    </w:p>
    <w:p>
      <w:pPr>
        <w:pStyle w:val="Compact"/>
        <w:numPr>
          <w:ilvl w:val="0"/>
          <w:numId w:val="1002"/>
        </w:numPr>
      </w:pPr>
      <w:r>
        <w:rPr>
          <w:b/>
          <w:bCs/>
        </w:rPr>
        <w:t xml:space="preserve">Salvation</w:t>
      </w:r>
      <w:r>
        <w:t xml:space="preserve"> </w:t>
      </w:r>
      <w:r>
        <w:t xml:space="preserve">— The full scope of God’s saving work in a person’s life: from election through glorification. Broader than</w:t>
      </w:r>
      <w:r>
        <w:t xml:space="preserve"> </w:t>
      </w:r>
      <w:r>
        <w:rPr>
          <w:rStyle w:val="VerbatimChar"/>
        </w:rPr>
        <w:t xml:space="preserve">repentance-and-saving-faith</w:t>
      </w:r>
      <w:r>
        <w:t xml:space="preserve"> </w:t>
      </w:r>
      <w:r>
        <w:t xml:space="preserve">(which is the human response) — use when a sermon surveys the whole arc or names salvation as a unified theme rather than any single piece.</w:t>
      </w:r>
    </w:p>
    <w:p>
      <w:pPr>
        <w:pStyle w:val="Compact"/>
        <w:numPr>
          <w:ilvl w:val="0"/>
          <w:numId w:val="1002"/>
        </w:numPr>
      </w:pPr>
      <w:r>
        <w:rPr>
          <w:b/>
          <w:bCs/>
        </w:rPr>
        <w:t xml:space="preserve">The Covenant of Grace</w:t>
      </w:r>
      <w:r>
        <w:t xml:space="preserve"> </w:t>
      </w:r>
      <w:r>
        <w:t xml:space="preserve">— How the Old and New Testaments fit together as one plan of redemption; covenant of works vs. covenant of grace.</w:t>
      </w:r>
    </w:p>
    <w:p>
      <w:pPr>
        <w:pStyle w:val="Compact"/>
        <w:numPr>
          <w:ilvl w:val="0"/>
          <w:numId w:val="1002"/>
        </w:numPr>
      </w:pPr>
      <w:r>
        <w:rPr>
          <w:b/>
          <w:bCs/>
        </w:rPr>
        <w:t xml:space="preserve">Justification</w:t>
      </w:r>
      <w:r>
        <w:t xml:space="preserve"> </w:t>
      </w:r>
      <w:r>
        <w:t xml:space="preserve">— Declared righteous by grace alone, through faith alone, in Christ alone; imputation of Christ’s righteousness.</w:t>
      </w:r>
    </w:p>
    <w:p>
      <w:pPr>
        <w:pStyle w:val="Compact"/>
        <w:numPr>
          <w:ilvl w:val="0"/>
          <w:numId w:val="1002"/>
        </w:numPr>
      </w:pPr>
      <w:r>
        <w:rPr>
          <w:b/>
          <w:bCs/>
        </w:rPr>
        <w:t xml:space="preserve">Adoption</w:t>
      </w:r>
      <w:r>
        <w:t xml:space="preserve"> </w:t>
      </w:r>
      <w:r>
        <w:t xml:space="preserve">— Believers as children of God; inheritance; Father–child relationship.</w:t>
      </w:r>
    </w:p>
    <w:p>
      <w:pPr>
        <w:pStyle w:val="Compact"/>
        <w:numPr>
          <w:ilvl w:val="0"/>
          <w:numId w:val="1002"/>
        </w:numPr>
      </w:pPr>
      <w:r>
        <w:rPr>
          <w:b/>
          <w:bCs/>
        </w:rPr>
        <w:t xml:space="preserve">Sanctification</w:t>
      </w:r>
      <w:r>
        <w:t xml:space="preserve"> </w:t>
      </w:r>
      <w:r>
        <w:t xml:space="preserve">— Progressive growth in holiness; the believer’s war with remaining sin; the Spirit’s work.</w:t>
      </w:r>
    </w:p>
    <w:p>
      <w:pPr>
        <w:pStyle w:val="Compact"/>
        <w:numPr>
          <w:ilvl w:val="0"/>
          <w:numId w:val="1002"/>
        </w:numPr>
      </w:pPr>
      <w:r>
        <w:rPr>
          <w:b/>
          <w:bCs/>
        </w:rPr>
        <w:t xml:space="preserve">Perseverance of the Saints</w:t>
      </w:r>
      <w:r>
        <w:t xml:space="preserve"> </w:t>
      </w:r>
      <w:r>
        <w:t xml:space="preserve">— God’s preservation of the elect; comfort and warning; security in Christ.</w:t>
      </w:r>
    </w:p>
    <w:p>
      <w:pPr>
        <w:pStyle w:val="Compact"/>
        <w:numPr>
          <w:ilvl w:val="0"/>
          <w:numId w:val="1002"/>
        </w:numPr>
      </w:pPr>
      <w:r>
        <w:rPr>
          <w:b/>
          <w:bCs/>
        </w:rPr>
        <w:t xml:space="preserve">Repentance &amp; Saving Faith</w:t>
      </w:r>
      <w:r>
        <w:t xml:space="preserve"> </w:t>
      </w:r>
      <w:r>
        <w:t xml:space="preserve">— The nature and gift of repentance; faith as trust in Christ; the relationship between the two.</w:t>
      </w:r>
    </w:p>
    <w:p>
      <w:pPr>
        <w:pStyle w:val="Compact"/>
        <w:numPr>
          <w:ilvl w:val="0"/>
          <w:numId w:val="1002"/>
        </w:numPr>
      </w:pPr>
      <w:r>
        <w:rPr>
          <w:b/>
          <w:bCs/>
        </w:rPr>
        <w:t xml:space="preserve">Good Works</w:t>
      </w:r>
      <w:r>
        <w:t xml:space="preserve"> </w:t>
      </w:r>
      <w:r>
        <w:t xml:space="preserve">— The fruit of salvation, not the ground of it; the believer’s calling to obedience.</w:t>
      </w:r>
    </w:p>
    <w:p>
      <w:pPr>
        <w:pStyle w:val="Compact"/>
        <w:numPr>
          <w:ilvl w:val="0"/>
          <w:numId w:val="1002"/>
        </w:numPr>
      </w:pPr>
      <w:r>
        <w:rPr>
          <w:b/>
          <w:bCs/>
        </w:rPr>
        <w:t xml:space="preserve">Assurance of Salvation</w:t>
      </w:r>
      <w:r>
        <w:t xml:space="preserve"> </w:t>
      </w:r>
      <w:r>
        <w:t xml:space="preserve">— Grounds for assurance; marks of true faith; fluctuations in assurance.</w:t>
      </w:r>
    </w:p>
    <w:bookmarkEnd w:id="12"/>
    <w:bookmarkStart w:id="13" w:name="bucket-3-the-holy-spirit-the-church"/>
    <w:p>
      <w:pPr>
        <w:pStyle w:val="Heading2"/>
      </w:pPr>
      <w:r>
        <w:t xml:space="preserve">Bucket 3 — The Holy Spirit &amp; The Church</w:t>
      </w:r>
    </w:p>
    <w:p>
      <w:pPr>
        <w:pStyle w:val="FirstParagraph"/>
      </w:pPr>
      <w:r>
        <w:t xml:space="preserve">Topics covering the third person of the Trinity and the community of believers.</w:t>
      </w:r>
    </w:p>
    <w:p>
      <w:pPr>
        <w:pStyle w:val="Compact"/>
        <w:numPr>
          <w:ilvl w:val="0"/>
          <w:numId w:val="1003"/>
        </w:numPr>
      </w:pPr>
      <w:r>
        <w:rPr>
          <w:b/>
          <w:bCs/>
        </w:rPr>
        <w:t xml:space="preserve">The Person &amp; Work of the Holy Spirit</w:t>
      </w:r>
      <w:r>
        <w:t xml:space="preserve"> </w:t>
      </w:r>
      <w:r>
        <w:t xml:space="preserve">— Deity; conviction; regeneration; indwelling; sealing; filling.</w:t>
      </w:r>
    </w:p>
    <w:p>
      <w:pPr>
        <w:pStyle w:val="Compact"/>
        <w:numPr>
          <w:ilvl w:val="0"/>
          <w:numId w:val="1003"/>
        </w:numPr>
      </w:pPr>
      <w:r>
        <w:rPr>
          <w:b/>
          <w:bCs/>
        </w:rPr>
        <w:t xml:space="preserve">The Church</w:t>
      </w:r>
      <w:r>
        <w:t xml:space="preserve"> </w:t>
      </w:r>
      <w:r>
        <w:t xml:space="preserve">— Universal and local; the marks of a true church; the bride of Christ.</w:t>
      </w:r>
    </w:p>
    <w:p>
      <w:pPr>
        <w:pStyle w:val="Compact"/>
        <w:numPr>
          <w:ilvl w:val="0"/>
          <w:numId w:val="1003"/>
        </w:numPr>
      </w:pPr>
      <w:r>
        <w:rPr>
          <w:b/>
          <w:bCs/>
        </w:rPr>
        <w:t xml:space="preserve">Church Discipline</w:t>
      </w:r>
      <w:r>
        <w:t xml:space="preserve"> </w:t>
      </w:r>
      <w:r>
        <w:t xml:space="preserve">— Loving accountability; restoration; the role of elders and congregation.</w:t>
      </w:r>
    </w:p>
    <w:p>
      <w:pPr>
        <w:pStyle w:val="Compact"/>
        <w:numPr>
          <w:ilvl w:val="0"/>
          <w:numId w:val="1003"/>
        </w:numPr>
      </w:pPr>
      <w:r>
        <w:rPr>
          <w:b/>
          <w:bCs/>
        </w:rPr>
        <w:t xml:space="preserve">Baptism</w:t>
      </w:r>
      <w:r>
        <w:t xml:space="preserve"> </w:t>
      </w:r>
      <w:r>
        <w:t xml:space="preserve">— Sign and seal of union with Christ; mode and subjects; Trinity’s stated practice.</w:t>
      </w:r>
    </w:p>
    <w:p>
      <w:pPr>
        <w:pStyle w:val="Compact"/>
        <w:numPr>
          <w:ilvl w:val="0"/>
          <w:numId w:val="1003"/>
        </w:numPr>
      </w:pPr>
      <w:r>
        <w:rPr>
          <w:b/>
          <w:bCs/>
        </w:rPr>
        <w:t xml:space="preserve">The Lord’s Supper</w:t>
      </w:r>
      <w:r>
        <w:t xml:space="preserve"> </w:t>
      </w:r>
      <w:r>
        <w:t xml:space="preserve">— Institution; spiritual presence; worthy participation; frequency.</w:t>
      </w:r>
    </w:p>
    <w:p>
      <w:pPr>
        <w:pStyle w:val="Compact"/>
        <w:numPr>
          <w:ilvl w:val="0"/>
          <w:numId w:val="1003"/>
        </w:numPr>
      </w:pPr>
      <w:r>
        <w:rPr>
          <w:b/>
          <w:bCs/>
        </w:rPr>
        <w:t xml:space="preserve">The Gifts of the Spirit</w:t>
      </w:r>
      <w:r>
        <w:t xml:space="preserve"> </w:t>
      </w:r>
      <w:r>
        <w:t xml:space="preserve">— Continuationism vs. cessationism; edification of the body.</w:t>
      </w:r>
    </w:p>
    <w:p>
      <w:pPr>
        <w:pStyle w:val="Compact"/>
        <w:numPr>
          <w:ilvl w:val="0"/>
          <w:numId w:val="1003"/>
        </w:numPr>
      </w:pPr>
      <w:r>
        <w:rPr>
          <w:b/>
          <w:bCs/>
        </w:rPr>
        <w:t xml:space="preserve">The Communion of Saints</w:t>
      </w:r>
      <w:r>
        <w:t xml:space="preserve"> </w:t>
      </w:r>
      <w:r>
        <w:t xml:space="preserve">— Fellowship, mutual care, shared life among believers.</w:t>
      </w:r>
    </w:p>
    <w:p>
      <w:pPr>
        <w:pStyle w:val="Compact"/>
        <w:numPr>
          <w:ilvl w:val="0"/>
          <w:numId w:val="1003"/>
        </w:numPr>
      </w:pPr>
      <w:r>
        <w:rPr>
          <w:b/>
          <w:bCs/>
        </w:rPr>
        <w:t xml:space="preserve">Discipleship &amp; Spiritual Growth</w:t>
      </w:r>
      <w:r>
        <w:t xml:space="preserve"> </w:t>
      </w:r>
      <w:r>
        <w:t xml:space="preserve">— Following Jesus day by day; maturity; means of grace.</w:t>
      </w:r>
    </w:p>
    <w:p>
      <w:pPr>
        <w:pStyle w:val="Compact"/>
        <w:numPr>
          <w:ilvl w:val="0"/>
          <w:numId w:val="1003"/>
        </w:numPr>
      </w:pPr>
      <w:r>
        <w:rPr>
          <w:b/>
          <w:bCs/>
        </w:rPr>
        <w:t xml:space="preserve">Worship</w:t>
      </w:r>
      <w:r>
        <w:t xml:space="preserve"> </w:t>
      </w:r>
      <w:r>
        <w:t xml:space="preserve">— Public gathering; prayer; preaching; singing; the centrality of Word and sacrament.</w:t>
      </w:r>
    </w:p>
    <w:bookmarkEnd w:id="13"/>
    <w:bookmarkStart w:id="14" w:name="bucket-4-scripture-the-christian-life"/>
    <w:p>
      <w:pPr>
        <w:pStyle w:val="Heading2"/>
      </w:pPr>
      <w:r>
        <w:t xml:space="preserve">Bucket 4 — Scripture &amp; The Christian Life</w:t>
      </w:r>
    </w:p>
    <w:p>
      <w:pPr>
        <w:pStyle w:val="FirstParagraph"/>
      </w:pPr>
      <w:r>
        <w:t xml:space="preserve">Topics covering the Bible’s authority and the believer’s daily walk.</w:t>
      </w:r>
    </w:p>
    <w:p>
      <w:pPr>
        <w:pStyle w:val="Compact"/>
        <w:numPr>
          <w:ilvl w:val="0"/>
          <w:numId w:val="1004"/>
        </w:numPr>
      </w:pPr>
      <w:r>
        <w:rPr>
          <w:b/>
          <w:bCs/>
        </w:rPr>
        <w:t xml:space="preserve">The Authority &amp; Inspiration of Scripture</w:t>
      </w:r>
      <w:r>
        <w:t xml:space="preserve"> </w:t>
      </w:r>
      <w:r>
        <w:t xml:space="preserve">— Inerrancy, infallibility, sufficiency; canon; how God speaks through the text.</w:t>
      </w:r>
    </w:p>
    <w:p>
      <w:pPr>
        <w:pStyle w:val="Compact"/>
        <w:numPr>
          <w:ilvl w:val="0"/>
          <w:numId w:val="1004"/>
        </w:numPr>
      </w:pPr>
      <w:r>
        <w:rPr>
          <w:b/>
          <w:bCs/>
        </w:rPr>
        <w:t xml:space="preserve">How to Read &amp; Interpret the Bible</w:t>
      </w:r>
      <w:r>
        <w:t xml:space="preserve"> </w:t>
      </w:r>
      <w:r>
        <w:t xml:space="preserve">— Hermeneutics; genre; context; the rule of faith; Christ-centered reading.</w:t>
      </w:r>
    </w:p>
    <w:p>
      <w:pPr>
        <w:pStyle w:val="Compact"/>
        <w:numPr>
          <w:ilvl w:val="0"/>
          <w:numId w:val="1004"/>
        </w:numPr>
      </w:pPr>
      <w:r>
        <w:rPr>
          <w:b/>
          <w:bCs/>
        </w:rPr>
        <w:t xml:space="preserve">Prayer</w:t>
      </w:r>
      <w:r>
        <w:t xml:space="preserve"> </w:t>
      </w:r>
      <w:r>
        <w:t xml:space="preserve">— The privilege of access; types of prayer; obstacles and encouragements.</w:t>
      </w:r>
    </w:p>
    <w:p>
      <w:pPr>
        <w:pStyle w:val="Compact"/>
        <w:numPr>
          <w:ilvl w:val="0"/>
          <w:numId w:val="1004"/>
        </w:numPr>
      </w:pPr>
      <w:r>
        <w:rPr>
          <w:b/>
          <w:bCs/>
        </w:rPr>
        <w:t xml:space="preserve">The Law &amp; the Gospel</w:t>
      </w:r>
      <w:r>
        <w:t xml:space="preserve"> </w:t>
      </w:r>
      <w:r>
        <w:t xml:space="preserve">— Three uses of the law; how the law and grace relate; the place of the Old Testament.</w:t>
      </w:r>
    </w:p>
    <w:p>
      <w:pPr>
        <w:pStyle w:val="Compact"/>
        <w:numPr>
          <w:ilvl w:val="0"/>
          <w:numId w:val="1004"/>
        </w:numPr>
      </w:pPr>
      <w:r>
        <w:rPr>
          <w:b/>
          <w:bCs/>
        </w:rPr>
        <w:t xml:space="preserve">Christian Liberty &amp; Conscience</w:t>
      </w:r>
      <w:r>
        <w:t xml:space="preserve"> </w:t>
      </w:r>
      <w:r>
        <w:t xml:space="preserve">— Freedom from legalism; freedom for service; matters of indifference.</w:t>
      </w:r>
    </w:p>
    <w:p>
      <w:pPr>
        <w:pStyle w:val="Compact"/>
        <w:numPr>
          <w:ilvl w:val="0"/>
          <w:numId w:val="1004"/>
        </w:numPr>
      </w:pPr>
      <w:r>
        <w:rPr>
          <w:b/>
          <w:bCs/>
        </w:rPr>
        <w:t xml:space="preserve">Marriage, Sex &amp; Family</w:t>
      </w:r>
      <w:r>
        <w:t xml:space="preserve"> </w:t>
      </w:r>
      <w:r>
        <w:t xml:space="preserve">— Biblical theology of marriage; sexual ethics; roles; singleness honored.</w:t>
      </w:r>
    </w:p>
    <w:p>
      <w:pPr>
        <w:pStyle w:val="Compact"/>
        <w:numPr>
          <w:ilvl w:val="0"/>
          <w:numId w:val="1004"/>
        </w:numPr>
      </w:pPr>
      <w:r>
        <w:rPr>
          <w:b/>
          <w:bCs/>
        </w:rPr>
        <w:t xml:space="preserve">Parenting &amp; Children</w:t>
      </w:r>
      <w:r>
        <w:t xml:space="preserve"> </w:t>
      </w:r>
      <w:r>
        <w:t xml:space="preserve">— Raising children in the faith; covenant nurture; family discipleship.</w:t>
      </w:r>
    </w:p>
    <w:p>
      <w:pPr>
        <w:pStyle w:val="Compact"/>
        <w:numPr>
          <w:ilvl w:val="0"/>
          <w:numId w:val="1004"/>
        </w:numPr>
      </w:pPr>
      <w:r>
        <w:rPr>
          <w:b/>
          <w:bCs/>
        </w:rPr>
        <w:t xml:space="preserve">Singleness</w:t>
      </w:r>
      <w:r>
        <w:t xml:space="preserve"> </w:t>
      </w:r>
      <w:r>
        <w:t xml:space="preserve">— The gift and calling of the unmarried Christian; contentment and purpose.</w:t>
      </w:r>
    </w:p>
    <w:p>
      <w:pPr>
        <w:pStyle w:val="Compact"/>
        <w:numPr>
          <w:ilvl w:val="0"/>
          <w:numId w:val="1004"/>
        </w:numPr>
      </w:pPr>
      <w:r>
        <w:rPr>
          <w:b/>
          <w:bCs/>
        </w:rPr>
        <w:t xml:space="preserve">Vocation &amp; Work</w:t>
      </w:r>
      <w:r>
        <w:t xml:space="preserve"> </w:t>
      </w:r>
      <w:r>
        <w:t xml:space="preserve">— Calling; ordinary work as worship; integrity in the workplace; rest.</w:t>
      </w:r>
    </w:p>
    <w:p>
      <w:pPr>
        <w:pStyle w:val="Compact"/>
        <w:numPr>
          <w:ilvl w:val="0"/>
          <w:numId w:val="1004"/>
        </w:numPr>
      </w:pPr>
      <w:r>
        <w:rPr>
          <w:b/>
          <w:bCs/>
        </w:rPr>
        <w:t xml:space="preserve">Money, Possessions &amp; Generosity</w:t>
      </w:r>
      <w:r>
        <w:t xml:space="preserve"> </w:t>
      </w:r>
      <w:r>
        <w:t xml:space="preserve">— Stewardship; tithing; contentment; generosity as worship.</w:t>
      </w:r>
    </w:p>
    <w:p>
      <w:pPr>
        <w:pStyle w:val="Compact"/>
        <w:numPr>
          <w:ilvl w:val="0"/>
          <w:numId w:val="1004"/>
        </w:numPr>
      </w:pPr>
      <w:r>
        <w:rPr>
          <w:b/>
          <w:bCs/>
        </w:rPr>
        <w:t xml:space="preserve">Suffering, Trials &amp; Comfort</w:t>
      </w:r>
      <w:r>
        <w:t xml:space="preserve"> </w:t>
      </w:r>
      <w:r>
        <w:t xml:space="preserve">— Why God allows suffering; perseverance; comfort from God and community.</w:t>
      </w:r>
    </w:p>
    <w:p>
      <w:pPr>
        <w:pStyle w:val="Compact"/>
        <w:numPr>
          <w:ilvl w:val="0"/>
          <w:numId w:val="1004"/>
        </w:numPr>
      </w:pPr>
      <w:r>
        <w:rPr>
          <w:b/>
          <w:bCs/>
        </w:rPr>
        <w:t xml:space="preserve">Anxiety, Fear &amp; Hope</w:t>
      </w:r>
      <w:r>
        <w:t xml:space="preserve"> </w:t>
      </w:r>
      <w:r>
        <w:t xml:space="preserve">— Anchoring the heart in God’s promises; courage in uncertain seasons.</w:t>
      </w:r>
    </w:p>
    <w:p>
      <w:pPr>
        <w:pStyle w:val="Compact"/>
        <w:numPr>
          <w:ilvl w:val="0"/>
          <w:numId w:val="1004"/>
        </w:numPr>
      </w:pPr>
      <w:r>
        <w:rPr>
          <w:b/>
          <w:bCs/>
        </w:rPr>
        <w:t xml:space="preserve">Anger, Forgiveness &amp; Reconciliation</w:t>
      </w:r>
      <w:r>
        <w:t xml:space="preserve"> </w:t>
      </w:r>
      <w:r>
        <w:t xml:space="preserve">— Dealing with anger; the cost and grace of forgiveness; pursuing peace.</w:t>
      </w:r>
    </w:p>
    <w:p>
      <w:pPr>
        <w:pStyle w:val="Compact"/>
        <w:numPr>
          <w:ilvl w:val="0"/>
          <w:numId w:val="1004"/>
        </w:numPr>
      </w:pPr>
      <w:r>
        <w:rPr>
          <w:b/>
          <w:bCs/>
        </w:rPr>
        <w:t xml:space="preserve">Temptation &amp; Sin</w:t>
      </w:r>
      <w:r>
        <w:t xml:space="preserve"> </w:t>
      </w:r>
      <w:r>
        <w:t xml:space="preserve">— Sources of temptation; mortification; the believer’s fight against remaining sin. When a sermon is about original sin / the doctrine of humanity’s fallen nature rather than personal temptation, also pull in</w:t>
      </w:r>
      <w:r>
        <w:t xml:space="preserve"> </w:t>
      </w:r>
      <w:r>
        <w:rPr>
          <w:rStyle w:val="VerbatimChar"/>
        </w:rPr>
        <w:t xml:space="preserve">sanctification</w:t>
      </w:r>
      <w:r>
        <w:t xml:space="preserve"> </w:t>
      </w:r>
      <w:r>
        <w:t xml:space="preserve">for the contrast God is drawing.</w:t>
      </w:r>
    </w:p>
    <w:p>
      <w:pPr>
        <w:pStyle w:val="Compact"/>
        <w:numPr>
          <w:ilvl w:val="0"/>
          <w:numId w:val="1004"/>
        </w:numPr>
      </w:pPr>
      <w:r>
        <w:rPr>
          <w:b/>
          <w:bCs/>
        </w:rPr>
        <w:t xml:space="preserve">Integrity, Truthfulness &amp; Speech</w:t>
      </w:r>
      <w:r>
        <w:t xml:space="preserve"> </w:t>
      </w:r>
      <w:r>
        <w:t xml:space="preserve">— Honesty, faithfulness, the danger of falsehood, the power of the tongue; includes themes from Psalm 15 and similar passages that don’t fit cleanly into sanctification/good-works. Distinct from</w:t>
      </w:r>
      <w:r>
        <w:t xml:space="preserve"> </w:t>
      </w:r>
      <w:r>
        <w:rPr>
          <w:rStyle w:val="VerbatimChar"/>
        </w:rPr>
        <w:t xml:space="preserve">anger-forgiveness-and-reconciliation</w:t>
      </w:r>
      <w:r>
        <w:t xml:space="preserve"> </w:t>
      </w:r>
      <w:r>
        <w:t xml:space="preserve">(which is about restoring relationship after being wronged).</w:t>
      </w:r>
    </w:p>
    <w:p>
      <w:pPr>
        <w:pStyle w:val="Compact"/>
        <w:numPr>
          <w:ilvl w:val="0"/>
          <w:numId w:val="1004"/>
        </w:numPr>
      </w:pPr>
      <w:r>
        <w:rPr>
          <w:b/>
          <w:bCs/>
        </w:rPr>
        <w:t xml:space="preserve">Identity in Christ</w:t>
      </w:r>
      <w:r>
        <w:t xml:space="preserve"> </w:t>
      </w:r>
      <w:r>
        <w:t xml:space="preserve">— Who we are in union with Christ; new creation; freedom from false identities.</w:t>
      </w:r>
    </w:p>
    <w:bookmarkEnd w:id="14"/>
    <w:bookmarkStart w:id="15" w:name="bucket-5-mission-community-witness"/>
    <w:p>
      <w:pPr>
        <w:pStyle w:val="Heading2"/>
      </w:pPr>
      <w:r>
        <w:t xml:space="preserve">Bucket 5 — Mission, Community &amp; Witness</w:t>
      </w:r>
    </w:p>
    <w:p>
      <w:pPr>
        <w:pStyle w:val="FirstParagraph"/>
      </w:pPr>
      <w:r>
        <w:t xml:space="preserve">Topics covering the church’s outward call and engagement with the world.</w:t>
      </w:r>
    </w:p>
    <w:p>
      <w:pPr>
        <w:pStyle w:val="Compact"/>
        <w:numPr>
          <w:ilvl w:val="0"/>
          <w:numId w:val="1005"/>
        </w:numPr>
      </w:pPr>
      <w:r>
        <w:rPr>
          <w:b/>
          <w:bCs/>
        </w:rPr>
        <w:t xml:space="preserve">The Great Commission &amp; Evangelism</w:t>
      </w:r>
      <w:r>
        <w:t xml:space="preserve"> </w:t>
      </w:r>
      <w:r>
        <w:t xml:space="preserve">— Making disciples of all nations; sharing the gospel in word and life.</w:t>
      </w:r>
    </w:p>
    <w:p>
      <w:pPr>
        <w:pStyle w:val="Compact"/>
        <w:numPr>
          <w:ilvl w:val="0"/>
          <w:numId w:val="1005"/>
        </w:numPr>
      </w:pPr>
      <w:r>
        <w:rPr>
          <w:b/>
          <w:bCs/>
        </w:rPr>
        <w:t xml:space="preserve">Disciple-Making</w:t>
      </w:r>
      <w:r>
        <w:t xml:space="preserve"> </w:t>
      </w:r>
      <w:r>
        <w:t xml:space="preserve">— Intentional spiritual friendships; teaching others to obey everything Christ commanded.</w:t>
      </w:r>
    </w:p>
    <w:p>
      <w:pPr>
        <w:pStyle w:val="Compact"/>
        <w:numPr>
          <w:ilvl w:val="0"/>
          <w:numId w:val="1005"/>
        </w:numPr>
      </w:pPr>
      <w:r>
        <w:rPr>
          <w:b/>
          <w:bCs/>
        </w:rPr>
        <w:t xml:space="preserve">Home Groups &amp; Small Groups</w:t>
      </w:r>
      <w:r>
        <w:t xml:space="preserve"> </w:t>
      </w:r>
      <w:r>
        <w:t xml:space="preserve">— Trinity’s stated model; communal life; shepherding one another.</w:t>
      </w:r>
    </w:p>
    <w:p>
      <w:pPr>
        <w:pStyle w:val="Compact"/>
        <w:numPr>
          <w:ilvl w:val="0"/>
          <w:numId w:val="1005"/>
        </w:numPr>
      </w:pPr>
      <w:r>
        <w:rPr>
          <w:b/>
          <w:bCs/>
        </w:rPr>
        <w:t xml:space="preserve">Missions (Local &amp; Global)</w:t>
      </w:r>
      <w:r>
        <w:t xml:space="preserve"> </w:t>
      </w:r>
      <w:r>
        <w:t xml:space="preserve">— Local outreach; cross-cultural mission; the unreached; Brandon’s UK and Burkina Faso background may appear here.</w:t>
      </w:r>
    </w:p>
    <w:p>
      <w:pPr>
        <w:pStyle w:val="Compact"/>
        <w:numPr>
          <w:ilvl w:val="0"/>
          <w:numId w:val="1005"/>
        </w:numPr>
      </w:pPr>
      <w:r>
        <w:rPr>
          <w:b/>
          <w:bCs/>
        </w:rPr>
        <w:t xml:space="preserve">Mercy, Justice &amp; Caring for the Poor</w:t>
      </w:r>
      <w:r>
        <w:t xml:space="preserve"> </w:t>
      </w:r>
      <w:r>
        <w:t xml:space="preserve">— Compassion ministries; defending the vulnerable; the church’s prophetic voice.</w:t>
      </w:r>
    </w:p>
    <w:p>
      <w:pPr>
        <w:pStyle w:val="Compact"/>
        <w:numPr>
          <w:ilvl w:val="0"/>
          <w:numId w:val="1005"/>
        </w:numPr>
      </w:pPr>
      <w:r>
        <w:rPr>
          <w:b/>
          <w:bCs/>
        </w:rPr>
        <w:t xml:space="preserve">Christian Witness in Culture</w:t>
      </w:r>
      <w:r>
        <w:t xml:space="preserve"> </w:t>
      </w:r>
      <w:r>
        <w:t xml:space="preserve">— Engaging surrounding culture; biblical worldview; salt and light; defending the faith.</w:t>
      </w:r>
    </w:p>
    <w:bookmarkEnd w:id="15"/>
    <w:bookmarkStart w:id="16" w:name="bucket-7-seasonal-liturgical"/>
    <w:p>
      <w:pPr>
        <w:pStyle w:val="Heading2"/>
      </w:pPr>
      <w:r>
        <w:t xml:space="preserve">Bucket 7 — Seasonal &amp; Liturgical</w:t>
      </w:r>
    </w:p>
    <w:p>
      <w:pPr>
        <w:pStyle w:val="FirstParagraph"/>
      </w:pPr>
      <w:r>
        <w:t xml:space="preserve">Topics covering the Christian calendar and seasons of the church year. A sermon may be tagged with a seasonal bucket in addition to one or more doctrinal topics.</w:t>
      </w:r>
    </w:p>
    <w:p>
      <w:pPr>
        <w:pStyle w:val="Compact"/>
        <w:numPr>
          <w:ilvl w:val="0"/>
          <w:numId w:val="1006"/>
        </w:numPr>
      </w:pPr>
      <w:r>
        <w:rPr>
          <w:b/>
          <w:bCs/>
        </w:rPr>
        <w:t xml:space="preserve">Advent</w:t>
      </w:r>
      <w:r>
        <w:t xml:space="preserve"> </w:t>
      </w:r>
      <w:r>
        <w:t xml:space="preserve">— The four weeks leading to Christmas; waiting, longing, hope.</w:t>
      </w:r>
    </w:p>
    <w:p>
      <w:pPr>
        <w:pStyle w:val="Compact"/>
        <w:numPr>
          <w:ilvl w:val="0"/>
          <w:numId w:val="1006"/>
        </w:numPr>
      </w:pPr>
      <w:r>
        <w:rPr>
          <w:b/>
          <w:bCs/>
        </w:rPr>
        <w:t xml:space="preserve">Christmas</w:t>
      </w:r>
      <w:r>
        <w:t xml:space="preserve"> </w:t>
      </w:r>
      <w:r>
        <w:t xml:space="preserve">— The incarnation; the birth of Christ; joy of God with us.</w:t>
      </w:r>
    </w:p>
    <w:p>
      <w:pPr>
        <w:pStyle w:val="Compact"/>
        <w:numPr>
          <w:ilvl w:val="0"/>
          <w:numId w:val="1006"/>
        </w:numPr>
      </w:pPr>
      <w:r>
        <w:rPr>
          <w:b/>
          <w:bCs/>
        </w:rPr>
        <w:t xml:space="preserve">Epiphany</w:t>
      </w:r>
      <w:r>
        <w:t xml:space="preserve"> </w:t>
      </w:r>
      <w:r>
        <w:t xml:space="preserve">— The manifestation of Christ to the nations; the Magi; light to the Gentiles.</w:t>
      </w:r>
    </w:p>
    <w:p>
      <w:pPr>
        <w:pStyle w:val="Compact"/>
        <w:numPr>
          <w:ilvl w:val="0"/>
          <w:numId w:val="1006"/>
        </w:numPr>
      </w:pPr>
      <w:r>
        <w:rPr>
          <w:b/>
          <w:bCs/>
        </w:rPr>
        <w:t xml:space="preserve">Lent</w:t>
      </w:r>
      <w:r>
        <w:t xml:space="preserve"> </w:t>
      </w:r>
      <w:r>
        <w:t xml:space="preserve">— The forty days leading to Easter; repentance, fasting, suffering with Christ.</w:t>
      </w:r>
    </w:p>
    <w:p>
      <w:pPr>
        <w:pStyle w:val="Compact"/>
        <w:numPr>
          <w:ilvl w:val="0"/>
          <w:numId w:val="1006"/>
        </w:numPr>
      </w:pPr>
      <w:r>
        <w:rPr>
          <w:b/>
          <w:bCs/>
        </w:rPr>
        <w:t xml:space="preserve">Easter / Resurrection Day</w:t>
      </w:r>
      <w:r>
        <w:t xml:space="preserve"> </w:t>
      </w:r>
      <w:r>
        <w:t xml:space="preserve">— The resurrection of Christ; victory over death; new creation.</w:t>
      </w:r>
    </w:p>
    <w:p>
      <w:pPr>
        <w:pStyle w:val="Compact"/>
        <w:numPr>
          <w:ilvl w:val="0"/>
          <w:numId w:val="1006"/>
        </w:numPr>
      </w:pPr>
      <w:r>
        <w:rPr>
          <w:b/>
          <w:bCs/>
        </w:rPr>
        <w:t xml:space="preserve">Ascension</w:t>
      </w:r>
      <w:r>
        <w:t xml:space="preserve"> </w:t>
      </w:r>
      <w:r>
        <w:t xml:space="preserve">— Christ’s exaltation to the Father’s right hand; His present reign.</w:t>
      </w:r>
    </w:p>
    <w:p>
      <w:pPr>
        <w:pStyle w:val="Compact"/>
        <w:numPr>
          <w:ilvl w:val="0"/>
          <w:numId w:val="1006"/>
        </w:numPr>
      </w:pPr>
      <w:r>
        <w:rPr>
          <w:b/>
          <w:bCs/>
        </w:rPr>
        <w:t xml:space="preserve">Pentecost</w:t>
      </w:r>
      <w:r>
        <w:t xml:space="preserve"> </w:t>
      </w:r>
      <w:r>
        <w:t xml:space="preserve">— The outpouring of the Holy Spirit; birth of the church; empowerment for witness.</w:t>
      </w:r>
    </w:p>
    <w:p>
      <w:r>
        <w:pict>
          <v:rect style="width:0;height:1.5pt" o:hralign="center" o:hrstd="t" o:hr="t"/>
        </w:pict>
      </w:r>
    </w:p>
    <w:bookmarkEnd w:id="16"/>
    <w:bookmarkStart w:id="17" w:name="parallel-axis-bible-book-series"/>
    <w:p>
      <w:pPr>
        <w:pStyle w:val="Heading2"/>
      </w:pPr>
      <w:r>
        <w:t xml:space="preserve">Parallel Axis — Bible Book &amp; Series</w:t>
      </w:r>
    </w:p>
    <w:p>
      <w:pPr>
        <w:pStyle w:val="FirstParagraph"/>
      </w:pPr>
      <w:r>
        <w:t xml:space="preserve">Each sermon may also be tagged with the</w:t>
      </w:r>
      <w:r>
        <w:t xml:space="preserve"> </w:t>
      </w:r>
      <w:r>
        <w:rPr>
          <w:b/>
          <w:bCs/>
        </w:rPr>
        <w:t xml:space="preserve">Bible book</w:t>
      </w:r>
      <w:r>
        <w:t xml:space="preserve"> </w:t>
      </w:r>
      <w:r>
        <w:t xml:space="preserve">it primarily exposits (e.g., Genesis, Romans, Revelation) and the</w:t>
      </w:r>
      <w:r>
        <w:t xml:space="preserve"> </w:t>
      </w:r>
      <w:r>
        <w:rPr>
          <w:b/>
          <w:bCs/>
        </w:rPr>
        <w:t xml:space="preserve">series name</w:t>
      </w:r>
      <w:r>
        <w:t xml:space="preserve"> </w:t>
      </w:r>
      <w:r>
        <w:t xml:space="preserve">if it is part of a multi-week series. This is a parallel metadata axis, separate from the doctrinal topics. It exists so the future topic page can cross-link</w:t>
      </w:r>
      <w:r>
        <w:t xml:space="preserve"> </w:t>
      </w:r>
      <w:r>
        <w:t xml:space="preserve">“all sermons through Romans”</w:t>
      </w:r>
      <w:r>
        <w:t xml:space="preserve"> </w:t>
      </w:r>
      <w:r>
        <w:t xml:space="preserve">or</w:t>
      </w:r>
      <w:r>
        <w:t xml:space="preserve"> </w:t>
      </w:r>
      <w:r>
        <w:t xml:space="preserve">“all sermons in the</w:t>
      </w:r>
      <w:r>
        <w:t xml:space="preserve"> </w:t>
      </w:r>
      <w:r>
        <w:rPr>
          <w:i/>
          <w:iCs/>
        </w:rPr>
        <w:t xml:space="preserve">Kingdom Come</w:t>
      </w:r>
      <w:r>
        <w:t xml:space="preserve"> </w:t>
      </w:r>
      <w:r>
        <w:t xml:space="preserve">series”</w:t>
      </w:r>
      <w:r>
        <w:t xml:space="preserve"> </w:t>
      </w:r>
      <w:r>
        <w:t xml:space="preserve">alongside the doctrinal tags.</w:t>
      </w:r>
    </w:p>
    <w:p>
      <w:pPr>
        <w:pStyle w:val="BodyText"/>
      </w:pPr>
      <w:r>
        <w:t xml:space="preserve">Bible books are not doctrine; they are corpus structure. Tag with the book of the main passage being preached, not the minor cross-references.</w:t>
      </w:r>
    </w:p>
    <w:p>
      <w:r>
        <w:pict>
          <v:rect style="width:0;height:1.5pt" o:hralign="center" o:hrstd="t" o:hr="t"/>
        </w:pict>
      </w:r>
    </w:p>
    <w:bookmarkEnd w:id="17"/>
    <w:bookmarkStart w:id="18" w:name="bucket-6-last-things-spiritual-warfare"/>
    <w:p>
      <w:pPr>
        <w:pStyle w:val="Heading2"/>
      </w:pPr>
      <w:r>
        <w:t xml:space="preserve">Bucket 6 — Last Things &amp; Spiritual Warfare</w:t>
      </w:r>
    </w:p>
    <w:p>
      <w:pPr>
        <w:pStyle w:val="FirstParagraph"/>
      </w:pPr>
      <w:r>
        <w:t xml:space="preserve">Topics covering the end of the age and the unseen spiritual realm.</w:t>
      </w:r>
    </w:p>
    <w:p>
      <w:pPr>
        <w:pStyle w:val="Compact"/>
        <w:numPr>
          <w:ilvl w:val="0"/>
          <w:numId w:val="1007"/>
        </w:numPr>
      </w:pPr>
      <w:r>
        <w:rPr>
          <w:b/>
          <w:bCs/>
        </w:rPr>
        <w:t xml:space="preserve">The Return of Christ</w:t>
      </w:r>
      <w:r>
        <w:t xml:space="preserve"> </w:t>
      </w:r>
      <w:r>
        <w:t xml:space="preserve">— Trinity’s stated doctrine; imminence; the visible, bodily second coming.</w:t>
      </w:r>
    </w:p>
    <w:p>
      <w:pPr>
        <w:pStyle w:val="Compact"/>
        <w:numPr>
          <w:ilvl w:val="0"/>
          <w:numId w:val="1007"/>
        </w:numPr>
      </w:pPr>
      <w:r>
        <w:rPr>
          <w:b/>
          <w:bCs/>
        </w:rPr>
        <w:t xml:space="preserve">The Resurrection of the Body</w:t>
      </w:r>
      <w:r>
        <w:t xml:space="preserve"> </w:t>
      </w:r>
      <w:r>
        <w:t xml:space="preserve">— Bodily resurrection of the just and the unjust.</w:t>
      </w:r>
    </w:p>
    <w:p>
      <w:pPr>
        <w:pStyle w:val="Compact"/>
        <w:numPr>
          <w:ilvl w:val="0"/>
          <w:numId w:val="1007"/>
        </w:numPr>
      </w:pPr>
      <w:r>
        <w:rPr>
          <w:b/>
          <w:bCs/>
        </w:rPr>
        <w:t xml:space="preserve">The Last Judgment</w:t>
      </w:r>
      <w:r>
        <w:t xml:space="preserve"> </w:t>
      </w:r>
      <w:r>
        <w:t xml:space="preserve">— Christ as judge; the throne; the books opened; the separation of sheep and goats.</w:t>
      </w:r>
    </w:p>
    <w:p>
      <w:pPr>
        <w:pStyle w:val="Compact"/>
        <w:numPr>
          <w:ilvl w:val="0"/>
          <w:numId w:val="1007"/>
        </w:numPr>
      </w:pPr>
      <w:r>
        <w:rPr>
          <w:b/>
          <w:bCs/>
        </w:rPr>
        <w:t xml:space="preserve">Heaven &amp; Hell</w:t>
      </w:r>
      <w:r>
        <w:t xml:space="preserve"> </w:t>
      </w:r>
      <w:r>
        <w:t xml:space="preserve">— Eternal states; the joy of the redeemed; the seriousness of everlasting punishment.</w:t>
      </w:r>
    </w:p>
    <w:p>
      <w:pPr>
        <w:pStyle w:val="Compact"/>
        <w:numPr>
          <w:ilvl w:val="0"/>
          <w:numId w:val="1007"/>
        </w:numPr>
      </w:pPr>
      <w:r>
        <w:rPr>
          <w:b/>
          <w:bCs/>
        </w:rPr>
        <w:t xml:space="preserve">The End Times &amp; Eschatology</w:t>
      </w:r>
      <w:r>
        <w:t xml:space="preserve"> </w:t>
      </w:r>
      <w:r>
        <w:t xml:space="preserve">— Broader themes from Revelation and Daniel; the millennium; tribulation; Israel and the church.</w:t>
      </w:r>
    </w:p>
    <w:p>
      <w:pPr>
        <w:pStyle w:val="Compact"/>
        <w:numPr>
          <w:ilvl w:val="0"/>
          <w:numId w:val="1007"/>
        </w:numPr>
      </w:pPr>
      <w:r>
        <w:rPr>
          <w:b/>
          <w:bCs/>
        </w:rPr>
        <w:t xml:space="preserve">Spiritual Warfare, Angels &amp; Demons</w:t>
      </w:r>
      <w:r>
        <w:t xml:space="preserve"> </w:t>
      </w:r>
      <w:r>
        <w:t xml:space="preserve">— The unseen realm; the armor of God; the Christian’s defense; demonic opposition.</w:t>
      </w:r>
    </w:p>
    <w:p>
      <w:pPr>
        <w:pStyle w:val="Compact"/>
        <w:numPr>
          <w:ilvl w:val="0"/>
          <w:numId w:val="1007"/>
        </w:numPr>
      </w:pPr>
      <w:r>
        <w:rPr>
          <w:b/>
          <w:bCs/>
        </w:rPr>
        <w:t xml:space="preserve">Life After Death</w:t>
      </w:r>
      <w:r>
        <w:t xml:space="preserve"> </w:t>
      </w:r>
      <w:r>
        <w:t xml:space="preserve">— The intermediate state; the soul between death and resurrection.</w:t>
      </w:r>
    </w:p>
    <w:p>
      <w:r>
        <w:pict>
          <v:rect style="width:0;height:1.5pt" o:hralign="center" o:hrstd="t" o:hr="t"/>
        </w:pict>
      </w:r>
    </w:p>
    <w:bookmarkEnd w:id="18"/>
    <w:bookmarkStart w:id="19" w:name="decided-2026-06-28"/>
    <w:p>
      <w:pPr>
        <w:pStyle w:val="Heading2"/>
      </w:pPr>
      <w:r>
        <w:t xml:space="preserve">Decided (2026-06-28)</w:t>
      </w:r>
    </w:p>
    <w:p>
      <w:pPr>
        <w:pStyle w:val="Compact"/>
        <w:numPr>
          <w:ilvl w:val="0"/>
          <w:numId w:val="1008"/>
        </w:numPr>
      </w:pPr>
      <w:r>
        <w:rPr>
          <w:b/>
          <w:bCs/>
        </w:rPr>
        <w:t xml:space="preserve">Lean Reformed Protestant.</w:t>
      </w:r>
      <w:r>
        <w:t xml:space="preserve"> </w:t>
      </w:r>
      <w:r>
        <w:t xml:space="preserve">Baptist-only distinctives (believer’s baptism by immersion, regenerate church membership, etc.) dropped. The taxonomy stays Reformed Protestant (consistent with Trinity’s teaching heritage via Redeemer). Baptism and membership tags reflect Trinity’s stated practice, not a Baptist or Presbyterian doctrinal position.</w:t>
      </w:r>
    </w:p>
    <w:p>
      <w:pPr>
        <w:pStyle w:val="Compact"/>
        <w:numPr>
          <w:ilvl w:val="0"/>
          <w:numId w:val="1008"/>
        </w:numPr>
      </w:pPr>
      <w:r>
        <w:rPr>
          <w:b/>
          <w:bCs/>
        </w:rPr>
        <w:t xml:space="preserve">Bible-book / series axis added.</w:t>
      </w:r>
      <w:r>
        <w:t xml:space="preserve"> </w:t>
      </w:r>
      <w:r>
        <w:t xml:space="preserve">See</w:t>
      </w:r>
      <w:r>
        <w:t xml:space="preserve"> </w:t>
      </w:r>
      <w:r>
        <w:t xml:space="preserve">“Parallel Axis — Bible Book &amp; Series”</w:t>
      </w:r>
      <w:r>
        <w:t xml:space="preserve"> </w:t>
      </w:r>
      <w:r>
        <w:t xml:space="preserve">above.</w:t>
      </w:r>
    </w:p>
    <w:p>
      <w:pPr>
        <w:pStyle w:val="Compact"/>
        <w:numPr>
          <w:ilvl w:val="0"/>
          <w:numId w:val="1008"/>
        </w:numPr>
      </w:pPr>
      <w:r>
        <w:rPr>
          <w:b/>
          <w:bCs/>
        </w:rPr>
        <w:t xml:space="preserve">Seasonal / liturgical bucket added.</w:t>
      </w:r>
      <w:r>
        <w:t xml:space="preserve"> </w:t>
      </w:r>
      <w:r>
        <w:t xml:space="preserve">See</w:t>
      </w:r>
      <w:r>
        <w:t xml:space="preserve"> </w:t>
      </w:r>
      <w:r>
        <w:t xml:space="preserve">“Bucket 7 — Seasonal &amp; Liturgical”</w:t>
      </w:r>
      <w:r>
        <w:t xml:space="preserve"> </w:t>
      </w:r>
      <w:r>
        <w:t xml:space="preserve">above.</w:t>
      </w:r>
    </w:p>
    <w:p>
      <w:pPr>
        <w:pStyle w:val="Compact"/>
        <w:numPr>
          <w:ilvl w:val="0"/>
          <w:numId w:val="1008"/>
        </w:numPr>
      </w:pPr>
      <w:r>
        <w:rPr>
          <w:b/>
          <w:bCs/>
        </w:rPr>
        <w:t xml:space="preserve">Granularity kept.</w:t>
      </w:r>
      <w:r>
        <w:t xml:space="preserve"> </w:t>
      </w:r>
      <w:r>
        <w:t xml:space="preserve">~55 doctrinal topics plus the seasonal bucket and book/series axis. Per-sermon tag count: 2–4 doctrinal topics, plus 0–1 book, plus 0–1 series, plus 0–1 seasonal tag.</w:t>
      </w:r>
    </w:p>
    <w:p>
      <w:pPr>
        <w:pStyle w:val="Compact"/>
        <w:numPr>
          <w:ilvl w:val="0"/>
          <w:numId w:val="1008"/>
        </w:numPr>
      </w:pPr>
      <w:r>
        <w:rPr>
          <w:b/>
          <w:bCs/>
        </w:rPr>
        <w:t xml:space="preserve">Flat multi-tag with separate book/series fields.</w:t>
      </w:r>
      <w:r>
        <w:t xml:space="preserve"> </w:t>
      </w:r>
      <w:r>
        <w:t xml:space="preserve">Each sermon carries a flat list of doctrinal topics plus separate fields for</w:t>
      </w:r>
      <w:r>
        <w:t xml:space="preserve"> </w:t>
      </w:r>
      <w:r>
        <w:rPr>
          <w:rStyle w:val="VerbatimChar"/>
        </w:rPr>
        <w:t xml:space="preserve">book</w:t>
      </w:r>
      <w:r>
        <w:t xml:space="preserve"> </w:t>
      </w:r>
      <w:r>
        <w:t xml:space="preserve">and</w:t>
      </w:r>
      <w:r>
        <w:t xml:space="preserve"> </w:t>
      </w:r>
      <w:r>
        <w:rPr>
          <w:rStyle w:val="VerbatimChar"/>
        </w:rPr>
        <w:t xml:space="preserve">series</w:t>
      </w:r>
      <w:r>
        <w:t xml:space="preserve">. No hierarchy in the doctrinal tags.</w:t>
      </w:r>
    </w:p>
    <w:bookmarkEnd w:id="19"/>
    <w:bookmarkStart w:id="20" w:name="next-step"/>
    <w:p>
      <w:pPr>
        <w:pStyle w:val="Heading2"/>
      </w:pPr>
      <w:r>
        <w:t xml:space="preserve">Next Step</w:t>
      </w:r>
    </w:p>
    <w:p>
      <w:pPr>
        <w:pStyle w:val="FirstParagraph"/>
      </w:pPr>
      <w:r>
        <w:t xml:space="preserve">Tagging plan drafted and saved alongside this file:</w:t>
      </w:r>
      <w:r>
        <w:t xml:space="preserve"> </w:t>
      </w:r>
      <w:r>
        <w:rPr>
          <w:rStyle w:val="VerbatimChar"/>
        </w:rPr>
        <w:t xml:space="preserve">tagging-plan-2026-06-28.md</w:t>
      </w:r>
      <w:r>
        <w:t xml:space="preserve"> </w:t>
      </w:r>
      <w:r>
        <w:t xml:space="preserve">(and</w:t>
      </w:r>
      <w:r>
        <w:t xml:space="preserve"> </w:t>
      </w:r>
      <w:r>
        <w:rPr>
          <w:rStyle w:val="VerbatimChar"/>
        </w:rPr>
        <w:t xml:space="preserve">tagging-plan-2026-06-28.docx</w:t>
      </w:r>
      <w:r>
        <w:t xml:space="preserve">). It pulls the full 78-episode inventory from Transistor (show 57028), proposes a 4-phase workflow (transcripts → tagging → storage → public page), and recommends LLM-assisted tagging with Chris’s verification pass using a Codex sub-agent. See that doc for details.</w:t>
      </w:r>
    </w:p>
    <w:bookmarkEnd w:id="20"/>
    <w:bookmarkStart w:id="21" w:name="updated-2026-06-28-after-pilot"/>
    <w:p>
      <w:pPr>
        <w:pStyle w:val="Heading2"/>
      </w:pPr>
      <w:r>
        <w:t xml:space="preserve">Updated 2026-06-28 (after pilot)</w:t>
      </w:r>
    </w:p>
    <w:p>
      <w:pPr>
        <w:pStyle w:val="FirstParagraph"/>
      </w:pPr>
      <w:r>
        <w:t xml:space="preserve">After tagging the first 10 sermons, three additions were made:</w:t>
      </w:r>
    </w:p>
    <w:p>
      <w:pPr>
        <w:pStyle w:val="Compact"/>
        <w:numPr>
          <w:ilvl w:val="0"/>
          <w:numId w:val="1009"/>
        </w:numPr>
      </w:pPr>
      <w:r>
        <w:rPr>
          <w:rStyle w:val="VerbatimChar"/>
          <w:b/>
          <w:bCs/>
        </w:rPr>
        <w:t xml:space="preserve">gospel</w:t>
      </w:r>
      <w:r>
        <w:rPr>
          <w:b/>
          <w:bCs/>
        </w:rPr>
        <w:t xml:space="preserve"> </w:t>
      </w:r>
      <w:r>
        <w:rPr>
          <w:b/>
          <w:bCs/>
        </w:rPr>
        <w:t xml:space="preserve">and</w:t>
      </w:r>
      <w:r>
        <w:rPr>
          <w:b/>
          <w:bCs/>
        </w:rPr>
        <w:t xml:space="preserve"> </w:t>
      </w:r>
      <w:r>
        <w:rPr>
          <w:rStyle w:val="VerbatimChar"/>
          <w:b/>
          <w:bCs/>
        </w:rPr>
        <w:t xml:space="preserve">salvation</w:t>
      </w:r>
      <w:r>
        <w:rPr>
          <w:b/>
          <w:bCs/>
        </w:rPr>
        <w:t xml:space="preserve"> </w:t>
      </w:r>
      <w:r>
        <w:rPr>
          <w:b/>
          <w:bCs/>
        </w:rPr>
        <w:t xml:space="preserve">added as discrete topics in Bucket 2.</w:t>
      </w:r>
      <w:r>
        <w:t xml:space="preserve"> </w:t>
      </w:r>
      <w:r>
        <w:t xml:space="preserve">The pilot showed both are recurring sermon themes that didn’t fit cleanly into existing topics.</w:t>
      </w:r>
      <w:r>
        <w:t xml:space="preserve"> </w:t>
      </w:r>
      <w:r>
        <w:rPr>
          <w:rStyle w:val="VerbatimChar"/>
        </w:rPr>
        <w:t xml:space="preserve">gospel</w:t>
      </w:r>
      <w:r>
        <w:t xml:space="preserve"> </w:t>
      </w:r>
      <w:r>
        <w:t xml:space="preserve">is the meta-topic (what it is, why it matters, how it applies);</w:t>
      </w:r>
      <w:r>
        <w:t xml:space="preserve"> </w:t>
      </w:r>
      <w:r>
        <w:rPr>
          <w:rStyle w:val="VerbatimChar"/>
        </w:rPr>
        <w:t xml:space="preserve">salvation</w:t>
      </w:r>
      <w:r>
        <w:t xml:space="preserve"> </w:t>
      </w:r>
      <w:r>
        <w:t xml:space="preserve">is the full arc of God’s saving work.</w:t>
      </w:r>
      <w:r>
        <w:t xml:space="preserve"> </w:t>
      </w:r>
      <w:r>
        <w:rPr>
          <w:rStyle w:val="VerbatimChar"/>
        </w:rPr>
        <w:t xml:space="preserve">repentance-and-saving-faith</w:t>
      </w:r>
      <w:r>
        <w:t xml:space="preserve"> </w:t>
      </w:r>
      <w:r>
        <w:t xml:space="preserve">and</w:t>
      </w:r>
      <w:r>
        <w:t xml:space="preserve"> </w:t>
      </w:r>
      <w:r>
        <w:rPr>
          <w:rStyle w:val="VerbatimChar"/>
        </w:rPr>
        <w:t xml:space="preserve">justification</w:t>
      </w:r>
      <w:r>
        <w:t xml:space="preserve"> </w:t>
      </w:r>
      <w:r>
        <w:t xml:space="preserve">remain narrower tags for the human response and imputed righteousness respectively.</w:t>
      </w:r>
    </w:p>
    <w:p>
      <w:pPr>
        <w:pStyle w:val="Compact"/>
        <w:numPr>
          <w:ilvl w:val="0"/>
          <w:numId w:val="1009"/>
        </w:numPr>
      </w:pPr>
      <w:r>
        <w:rPr>
          <w:rStyle w:val="VerbatimChar"/>
          <w:b/>
          <w:bCs/>
        </w:rPr>
        <w:t xml:space="preserve">integrity-truthfulness-speech</w:t>
      </w:r>
      <w:r>
        <w:rPr>
          <w:b/>
          <w:bCs/>
        </w:rPr>
        <w:t xml:space="preserve"> </w:t>
      </w:r>
      <w:r>
        <w:rPr>
          <w:b/>
          <w:bCs/>
        </w:rPr>
        <w:t xml:space="preserve">added to Bucket 4.</w:t>
      </w:r>
      <w:r>
        <w:t xml:space="preserve"> </w:t>
      </w:r>
      <w:r>
        <w:t xml:space="preserve">Psalm 15 and similar passages (honesty, faithfulness, the tongue) didn’t sit cleanly under</w:t>
      </w:r>
      <w:r>
        <w:t xml:space="preserve"> </w:t>
      </w:r>
      <w:r>
        <w:rPr>
          <w:rStyle w:val="VerbatimChar"/>
        </w:rPr>
        <w:t xml:space="preserve">sanctification</w:t>
      </w:r>
      <w:r>
        <w:t xml:space="preserve">/</w:t>
      </w:r>
      <w:r>
        <w:rPr>
          <w:rStyle w:val="VerbatimChar"/>
        </w:rPr>
        <w:t xml:space="preserve">good-works</w:t>
      </w:r>
      <w:r>
        <w:t xml:space="preserve"> </w:t>
      </w:r>
      <w:r>
        <w:t xml:space="preserve">in the pilot.</w:t>
      </w:r>
    </w:p>
    <w:p>
      <w:pPr>
        <w:pStyle w:val="FirstParagraph"/>
      </w:pPr>
      <w:r>
        <w:t xml:space="preserve">These bring the doctrinal topic count from 55 to 58.</w:t>
      </w:r>
    </w:p>
    <w:bookmarkEnd w:id="21"/>
    <w:bookmarkStart w:id="22" w:name="topic-slug-map"/>
    <w:p>
      <w:pPr>
        <w:pStyle w:val="Heading2"/>
      </w:pPr>
      <w:r>
        <w:t xml:space="preserve">Topic slug map</w:t>
      </w:r>
    </w:p>
    <w:p>
      <w:pPr>
        <w:pStyle w:val="FirstParagraph"/>
      </w:pPr>
      <w:r>
        <w:t xml:space="preserve">For Codex sub-agent tagging, every topic title above maps to a kebab-case slug. The full mapping is in</w:t>
      </w:r>
      <w:r>
        <w:t xml:space="preserve"> </w:t>
      </w:r>
      <w:r>
        <w:rPr>
          <w:rStyle w:val="VerbatimChar"/>
        </w:rPr>
        <w:t xml:space="preserve">topic-slug-map.json</w:t>
      </w:r>
      <w:r>
        <w:t xml:space="preserve">. Include that file in the tagging prompt so Codex uses canonical slugs from the start.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Fellowship Sermon Topic Taxonomy — Proposed</dc:title>
  <dc:creator>Dobby (for Chris)</dc:creator>
  <cp:keywords/>
  <dcterms:created xsi:type="dcterms:W3CDTF">2026-06-28T22:36:26Z</dcterms:created>
  <dcterms:modified xsi:type="dcterms:W3CDTF">2026-06-28T22:36:26Z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y fmtid="{D5CDD505-2E9C-101B-9397-08002B2CF9AE}" pid="3" name="parent_church">
    <vt:lpwstr>Redeemer Community Church (Birmingham, AL). Trinity Fellowship is intentionally non-denominational and not affiliated with any formal denomination, though it shares Redeemer’s theological convictions as a church plant.</vt:lpwstr>
  </property>
  <property fmtid="{D5CDD505-2E9C-101B-9397-08002B2CF9AE}" pid="4" name="pastor">
    <vt:lpwstr>Brandon Nelson</vt:lpwstr>
  </property>
  <property fmtid="{D5CDD505-2E9C-101B-9397-08002B2CF9AE}" pid="5" name="source">
    <vt:lpwstr>Trinity Fellowship’s “What We Believe” page (trinitynorthjefferson.org/beliefs), expanded from the Westminster Confession of Faith, the 1689 London Baptist Confession, and classic Reformed Protestant theology.</vt:lpwstr>
  </property>
  <property fmtid="{D5CDD505-2E9C-101B-9397-08002B2CF9AE}" pid="6" name="status">
    <vt:lpwstr>Draft for review</vt:lpwstr>
  </property>
</Properties>
</file>