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t>The attached please find the Excel file of Ming official titles. This is a merged file with Ming official titles from the current edition of the dictionary and the those on the original CBDB list that Hongsu shared with me two years ago (file name: ming_qing_office_titles_UCLA.xlsx ) . That’s why you will see two background colors—green for dictionary titles and white for current CBDB titles. Here are more notes about the merged file for your reference.</w:t>
      </w:r>
    </w:p>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t> </w:t>
      </w:r>
    </w:p>
    <w:p w:rsidR="00CC7382" w:rsidRPr="00CC7382" w:rsidRDefault="00CC7382" w:rsidP="00CC7382">
      <w:pPr>
        <w:spacing w:before="100" w:beforeAutospacing="1" w:after="100" w:afterAutospacing="1"/>
        <w:ind w:left="825" w:hanging="360"/>
        <w:rPr>
          <w:rFonts w:eastAsia="Times New Roman"/>
        </w:rPr>
      </w:pPr>
      <w:r w:rsidRPr="00CC7382">
        <w:rPr>
          <w:rFonts w:ascii="Symbol" w:eastAsia="Times New Roman" w:hAnsi="Symbol"/>
          <w:color w:val="000000"/>
          <w:sz w:val="22"/>
          <w:szCs w:val="22"/>
        </w:rPr>
        <w:t></w:t>
      </w:r>
      <w:r w:rsidRPr="00CC7382">
        <w:rPr>
          <w:rFonts w:eastAsia="Times New Roman"/>
          <w:color w:val="000000"/>
          <w:sz w:val="14"/>
          <w:szCs w:val="14"/>
        </w:rPr>
        <w:t xml:space="preserve">         </w:t>
      </w:r>
      <w:r w:rsidRPr="00CC7382">
        <w:rPr>
          <w:rFonts w:ascii="Calibri" w:eastAsia="Times New Roman" w:hAnsi="Calibri"/>
          <w:color w:val="1F497D"/>
          <w:sz w:val="22"/>
          <w:szCs w:val="22"/>
        </w:rPr>
        <w:t>Column A contains two (office</w:t>
      </w:r>
      <w:r w:rsidR="004A360D">
        <w:rPr>
          <w:rFonts w:ascii="Calibri" w:eastAsia="Times New Roman" w:hAnsi="Calibri"/>
          <w:color w:val="1F497D"/>
          <w:sz w:val="22"/>
          <w:szCs w:val="22"/>
        </w:rPr>
        <w:t>) ID series—those five-digit</w:t>
      </w:r>
      <w:bookmarkStart w:id="0" w:name="_GoBack"/>
      <w:bookmarkEnd w:id="0"/>
      <w:r w:rsidRPr="00CC7382">
        <w:rPr>
          <w:rFonts w:ascii="Calibri" w:eastAsia="Times New Roman" w:hAnsi="Calibri"/>
          <w:color w:val="1F497D"/>
          <w:sz w:val="22"/>
          <w:szCs w:val="22"/>
        </w:rPr>
        <w:t xml:space="preserve"> number starting with number 7 are from CDBD whereas the others are from the dictionary. Some dictionary numbers have been replaced by CBDB numbers, as you may find from some green rows, where dictionary and CBDB titles are identical;</w:t>
      </w:r>
    </w:p>
    <w:p w:rsidR="00CC7382" w:rsidRPr="00CC7382" w:rsidRDefault="00CC7382" w:rsidP="00CC7382">
      <w:pPr>
        <w:spacing w:before="100" w:beforeAutospacing="1" w:after="100" w:afterAutospacing="1"/>
        <w:ind w:left="825" w:hanging="360"/>
        <w:rPr>
          <w:rFonts w:eastAsia="Times New Roman"/>
        </w:rPr>
      </w:pPr>
      <w:r w:rsidRPr="00CC7382">
        <w:rPr>
          <w:rFonts w:ascii="Symbol" w:eastAsia="Times New Roman" w:hAnsi="Symbol"/>
          <w:color w:val="000000"/>
          <w:sz w:val="22"/>
          <w:szCs w:val="22"/>
        </w:rPr>
        <w:t></w:t>
      </w:r>
      <w:r w:rsidRPr="00CC7382">
        <w:rPr>
          <w:rFonts w:eastAsia="Times New Roman"/>
          <w:color w:val="000000"/>
          <w:sz w:val="14"/>
          <w:szCs w:val="14"/>
        </w:rPr>
        <w:t xml:space="preserve">         </w:t>
      </w:r>
      <w:r w:rsidRPr="00CC7382">
        <w:rPr>
          <w:rFonts w:ascii="Calibri" w:eastAsia="Times New Roman" w:hAnsi="Calibri"/>
          <w:color w:val="1F497D"/>
          <w:sz w:val="22"/>
          <w:szCs w:val="22"/>
        </w:rPr>
        <w:t>Some white-backgrounded rows are grayed out for the official titles that either are duplicates or entered as alternatives to main official title entries. There are also some cases where those titles are either Qing titles or unlikely official titles. In other words, these are the titles that could/should be removed from the system;</w:t>
      </w:r>
    </w:p>
    <w:p w:rsidR="00CC7382" w:rsidRPr="00CC7382" w:rsidRDefault="00CC7382" w:rsidP="00CC7382">
      <w:pPr>
        <w:spacing w:before="100" w:beforeAutospacing="1" w:after="100" w:afterAutospacing="1"/>
        <w:ind w:left="825" w:hanging="360"/>
        <w:rPr>
          <w:rFonts w:eastAsia="Times New Roman"/>
        </w:rPr>
      </w:pPr>
      <w:r w:rsidRPr="00CC7382">
        <w:rPr>
          <w:rFonts w:ascii="Symbol" w:eastAsia="Times New Roman" w:hAnsi="Symbol"/>
          <w:color w:val="000000"/>
          <w:sz w:val="22"/>
          <w:szCs w:val="22"/>
        </w:rPr>
        <w:t></w:t>
      </w:r>
      <w:r w:rsidRPr="00CC7382">
        <w:rPr>
          <w:rFonts w:eastAsia="Times New Roman"/>
          <w:color w:val="000000"/>
          <w:sz w:val="14"/>
          <w:szCs w:val="14"/>
        </w:rPr>
        <w:t xml:space="preserve">         </w:t>
      </w:r>
      <w:r w:rsidRPr="00CC7382">
        <w:rPr>
          <w:rFonts w:ascii="Calibri" w:eastAsia="Times New Roman" w:hAnsi="Calibri"/>
          <w:color w:val="000000"/>
          <w:sz w:val="22"/>
          <w:szCs w:val="22"/>
        </w:rPr>
        <w:t xml:space="preserve">Column B, C &amp; D are office classifications essentially using the scheme we developed for the dictionary. There are only a few categories (marked in brown color) which we’ve created for those CBDB titles, such as </w:t>
      </w:r>
      <w:r w:rsidRPr="00CC7382">
        <w:rPr>
          <w:rFonts w:ascii="MS Gothic" w:eastAsia="MS Gothic" w:hAnsi="MS Gothic" w:hint="eastAsia"/>
          <w:color w:val="953735"/>
          <w:sz w:val="22"/>
          <w:szCs w:val="22"/>
        </w:rPr>
        <w:t>典籍實錄修纂</w:t>
      </w:r>
      <w:r w:rsidRPr="00CC7382">
        <w:rPr>
          <w:rFonts w:ascii="Microsoft JhengHei" w:eastAsia="Microsoft JhengHei" w:hAnsi="Microsoft JhengHei" w:hint="eastAsia"/>
          <w:color w:val="953735"/>
          <w:sz w:val="22"/>
          <w:szCs w:val="22"/>
        </w:rPr>
        <w:t xml:space="preserve">官 &amp; </w:t>
      </w:r>
      <w:r w:rsidRPr="00CC7382">
        <w:rPr>
          <w:rFonts w:ascii="MS Gothic" w:eastAsia="MS Gothic" w:hAnsi="MS Gothic" w:hint="eastAsia"/>
          <w:color w:val="953735"/>
          <w:sz w:val="22"/>
          <w:szCs w:val="22"/>
        </w:rPr>
        <w:t>外交使節</w:t>
      </w:r>
      <w:r w:rsidRPr="00CC7382">
        <w:rPr>
          <w:rFonts w:ascii="Calibri" w:eastAsia="Times New Roman" w:hAnsi="Calibri"/>
          <w:color w:val="953735"/>
          <w:sz w:val="22"/>
          <w:szCs w:val="22"/>
        </w:rPr>
        <w:t xml:space="preserve"> </w:t>
      </w:r>
      <w:r w:rsidRPr="00CC7382">
        <w:rPr>
          <w:rFonts w:ascii="Calibri" w:eastAsia="Times New Roman" w:hAnsi="Calibri"/>
          <w:color w:val="000000"/>
          <w:sz w:val="22"/>
          <w:szCs w:val="22"/>
        </w:rPr>
        <w:t>in this merged file that our project team decided not to include in the dictionary. The reasons for the exclusion can be found in Column K;</w:t>
      </w:r>
    </w:p>
    <w:p w:rsidR="00CC7382" w:rsidRPr="00CC7382" w:rsidRDefault="00CC7382" w:rsidP="00CC7382">
      <w:pPr>
        <w:spacing w:before="100" w:beforeAutospacing="1" w:after="100" w:afterAutospacing="1"/>
        <w:ind w:left="825" w:hanging="360"/>
        <w:rPr>
          <w:rFonts w:eastAsia="Times New Roman"/>
        </w:rPr>
      </w:pPr>
      <w:r w:rsidRPr="00CC7382">
        <w:rPr>
          <w:rFonts w:ascii="Symbol" w:eastAsia="Times New Roman" w:hAnsi="Symbol"/>
          <w:color w:val="000000"/>
          <w:sz w:val="22"/>
          <w:szCs w:val="22"/>
        </w:rPr>
        <w:t></w:t>
      </w:r>
      <w:r w:rsidRPr="00CC7382">
        <w:rPr>
          <w:rFonts w:eastAsia="Times New Roman"/>
          <w:color w:val="000000"/>
          <w:sz w:val="14"/>
          <w:szCs w:val="14"/>
        </w:rPr>
        <w:t xml:space="preserve">         </w:t>
      </w:r>
      <w:r w:rsidRPr="00CC7382">
        <w:rPr>
          <w:rFonts w:ascii="Calibri" w:eastAsia="Times New Roman" w:hAnsi="Calibri"/>
          <w:color w:val="000000"/>
          <w:sz w:val="22"/>
          <w:szCs w:val="22"/>
        </w:rPr>
        <w:t xml:space="preserve">Due to the restriction of the three-level office scheme, some official titles in Column E are prefixed </w:t>
      </w:r>
      <w:proofErr w:type="gramStart"/>
      <w:r w:rsidRPr="00CC7382">
        <w:rPr>
          <w:rFonts w:ascii="Calibri" w:eastAsia="Times New Roman" w:hAnsi="Calibri"/>
          <w:color w:val="000000"/>
          <w:sz w:val="22"/>
          <w:szCs w:val="22"/>
        </w:rPr>
        <w:t>with  names</w:t>
      </w:r>
      <w:proofErr w:type="gramEnd"/>
      <w:r w:rsidRPr="00CC7382">
        <w:rPr>
          <w:rFonts w:ascii="Calibri" w:eastAsia="Times New Roman" w:hAnsi="Calibri"/>
          <w:color w:val="000000"/>
          <w:sz w:val="22"/>
          <w:szCs w:val="22"/>
        </w:rPr>
        <w:t xml:space="preserve"> of subordinated offices as to those in Column D; </w:t>
      </w:r>
    </w:p>
    <w:p w:rsidR="00CC7382" w:rsidRPr="00CC7382" w:rsidRDefault="00CC7382" w:rsidP="00CC7382">
      <w:pPr>
        <w:spacing w:before="100" w:beforeAutospacing="1" w:after="100" w:afterAutospacing="1"/>
        <w:ind w:left="825" w:hanging="360"/>
        <w:rPr>
          <w:rFonts w:eastAsia="Times New Roman"/>
        </w:rPr>
      </w:pPr>
      <w:r w:rsidRPr="00CC7382">
        <w:rPr>
          <w:rFonts w:ascii="Symbol" w:eastAsia="Times New Roman" w:hAnsi="Symbol"/>
          <w:color w:val="000000"/>
          <w:sz w:val="22"/>
          <w:szCs w:val="22"/>
        </w:rPr>
        <w:t></w:t>
      </w:r>
      <w:r w:rsidRPr="00CC7382">
        <w:rPr>
          <w:rFonts w:eastAsia="Times New Roman"/>
          <w:color w:val="000000"/>
          <w:sz w:val="14"/>
          <w:szCs w:val="14"/>
        </w:rPr>
        <w:t xml:space="preserve">         </w:t>
      </w:r>
      <w:proofErr w:type="gramStart"/>
      <w:r w:rsidRPr="00CC7382">
        <w:rPr>
          <w:rFonts w:ascii="Calibri" w:eastAsia="Times New Roman" w:hAnsi="Calibri"/>
          <w:color w:val="000000"/>
          <w:sz w:val="22"/>
          <w:szCs w:val="22"/>
        </w:rPr>
        <w:t>In</w:t>
      </w:r>
      <w:proofErr w:type="gramEnd"/>
      <w:r w:rsidRPr="00CC7382">
        <w:rPr>
          <w:rFonts w:ascii="Calibri" w:eastAsia="Times New Roman" w:hAnsi="Calibri"/>
          <w:color w:val="000000"/>
          <w:sz w:val="22"/>
          <w:szCs w:val="22"/>
        </w:rPr>
        <w:t xml:space="preserve"> the end of the list, there are some CBDB official titles with no office assignments. They are mostly from the Qing dynasty, which is out of the scope of our project;</w:t>
      </w:r>
    </w:p>
    <w:p w:rsidR="00CC7382" w:rsidRPr="00CC7382" w:rsidRDefault="00CC7382" w:rsidP="00CC7382">
      <w:pPr>
        <w:spacing w:before="100" w:beforeAutospacing="1" w:after="100" w:afterAutospacing="1"/>
        <w:ind w:left="825" w:hanging="360"/>
        <w:rPr>
          <w:rFonts w:eastAsia="Times New Roman"/>
        </w:rPr>
      </w:pPr>
      <w:r w:rsidRPr="00CC7382">
        <w:rPr>
          <w:rFonts w:ascii="Symbol" w:eastAsia="Times New Roman" w:hAnsi="Symbol"/>
          <w:color w:val="000000"/>
          <w:sz w:val="22"/>
          <w:szCs w:val="22"/>
        </w:rPr>
        <w:t></w:t>
      </w:r>
      <w:r w:rsidRPr="00CC7382">
        <w:rPr>
          <w:rFonts w:eastAsia="Times New Roman"/>
          <w:color w:val="000000"/>
          <w:sz w:val="14"/>
          <w:szCs w:val="14"/>
        </w:rPr>
        <w:t xml:space="preserve">         </w:t>
      </w:r>
      <w:proofErr w:type="gramStart"/>
      <w:r w:rsidRPr="00CC7382">
        <w:rPr>
          <w:rFonts w:ascii="Calibri" w:eastAsia="Times New Roman" w:hAnsi="Calibri"/>
          <w:color w:val="000000"/>
          <w:sz w:val="22"/>
          <w:szCs w:val="22"/>
        </w:rPr>
        <w:t>Those</w:t>
      </w:r>
      <w:proofErr w:type="gramEnd"/>
      <w:r w:rsidRPr="00CC7382">
        <w:rPr>
          <w:rFonts w:ascii="Calibri" w:eastAsia="Times New Roman" w:hAnsi="Calibri"/>
          <w:color w:val="000000"/>
          <w:sz w:val="22"/>
          <w:szCs w:val="22"/>
        </w:rPr>
        <w:t xml:space="preserve"> texts in red are where special attention is needed</w:t>
      </w:r>
    </w:p>
    <w:p w:rsidR="00CC7382" w:rsidRPr="00CC7382" w:rsidRDefault="00CC7382" w:rsidP="00CC7382">
      <w:pPr>
        <w:spacing w:before="100" w:beforeAutospacing="1" w:after="100" w:afterAutospacing="1"/>
        <w:ind w:left="825" w:hanging="360"/>
        <w:rPr>
          <w:rFonts w:eastAsia="Times New Roman"/>
        </w:rPr>
      </w:pPr>
      <w:r w:rsidRPr="00CC7382">
        <w:rPr>
          <w:rFonts w:ascii="Symbol" w:eastAsia="Times New Roman" w:hAnsi="Symbol"/>
          <w:color w:val="000000"/>
          <w:sz w:val="22"/>
          <w:szCs w:val="22"/>
        </w:rPr>
        <w:t></w:t>
      </w:r>
      <w:r w:rsidRPr="00CC7382">
        <w:rPr>
          <w:rFonts w:eastAsia="Times New Roman"/>
          <w:color w:val="000000"/>
          <w:sz w:val="14"/>
          <w:szCs w:val="14"/>
        </w:rPr>
        <w:t xml:space="preserve">         </w:t>
      </w:r>
      <w:proofErr w:type="gramStart"/>
      <w:r w:rsidRPr="00CC7382">
        <w:rPr>
          <w:rFonts w:ascii="Calibri" w:eastAsia="Times New Roman" w:hAnsi="Calibri"/>
          <w:color w:val="000000"/>
          <w:sz w:val="22"/>
          <w:szCs w:val="22"/>
        </w:rPr>
        <w:t>Below</w:t>
      </w:r>
      <w:proofErr w:type="gramEnd"/>
      <w:r w:rsidRPr="00CC7382">
        <w:rPr>
          <w:rFonts w:ascii="Calibri" w:eastAsia="Times New Roman" w:hAnsi="Calibri"/>
          <w:color w:val="000000"/>
          <w:sz w:val="22"/>
          <w:szCs w:val="22"/>
        </w:rPr>
        <w:t xml:space="preserve"> is one case that we’ve identified with redundant assignment of CBDB office ID number</w:t>
      </w:r>
    </w:p>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t>  </w:t>
      </w:r>
    </w:p>
    <w:tbl>
      <w:tblPr>
        <w:tblW w:w="9350" w:type="dxa"/>
        <w:tblCellMar>
          <w:left w:w="0" w:type="dxa"/>
          <w:right w:w="0" w:type="dxa"/>
        </w:tblCellMar>
        <w:tblLook w:val="04A0" w:firstRow="1" w:lastRow="0" w:firstColumn="1" w:lastColumn="0" w:noHBand="0" w:noVBand="1"/>
      </w:tblPr>
      <w:tblGrid>
        <w:gridCol w:w="766"/>
        <w:gridCol w:w="3056"/>
        <w:gridCol w:w="2832"/>
        <w:gridCol w:w="1707"/>
        <w:gridCol w:w="1440"/>
      </w:tblGrid>
      <w:tr w:rsidR="00CC7382" w:rsidRPr="00CC7382" w:rsidTr="00CC7382">
        <w:trPr>
          <w:trHeight w:val="315"/>
        </w:trPr>
        <w:tc>
          <w:tcPr>
            <w:tcW w:w="31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CC7382" w:rsidRPr="00CC7382" w:rsidRDefault="00CC7382" w:rsidP="00CC7382">
            <w:pPr>
              <w:spacing w:before="100" w:beforeAutospacing="1" w:after="100" w:afterAutospacing="1"/>
              <w:jc w:val="right"/>
              <w:rPr>
                <w:rFonts w:eastAsia="Times New Roman"/>
              </w:rPr>
            </w:pPr>
            <w:r w:rsidRPr="00CC7382">
              <w:rPr>
                <w:rFonts w:eastAsia="Times New Roman"/>
                <w:color w:val="FF0000"/>
                <w:sz w:val="22"/>
                <w:szCs w:val="22"/>
              </w:rPr>
              <w:t>71274</w:t>
            </w:r>
          </w:p>
        </w:tc>
        <w:tc>
          <w:tcPr>
            <w:tcW w:w="3056"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Microsoft JhengHei" w:eastAsia="Microsoft JhengHei" w:hAnsi="Microsoft JhengHei" w:hint="eastAsia"/>
                <w:color w:val="000000"/>
                <w:sz w:val="22"/>
                <w:szCs w:val="22"/>
              </w:rPr>
              <w:t>地方軍事與治安機構類</w:t>
            </w:r>
            <w:r w:rsidRPr="00CC7382">
              <w:rPr>
                <w:rFonts w:ascii="Calibri" w:eastAsia="Times New Roman" w:hAnsi="Calibri"/>
                <w:color w:val="000000"/>
                <w:sz w:val="22"/>
                <w:szCs w:val="22"/>
              </w:rPr>
              <w:t xml:space="preserve"> Regional and Local Military Units</w:t>
            </w:r>
          </w:p>
        </w:tc>
        <w:tc>
          <w:tcPr>
            <w:tcW w:w="2832"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Microsoft JhengHei" w:eastAsia="Microsoft JhengHei" w:hAnsi="Microsoft JhengHei" w:hint="eastAsia"/>
                <w:color w:val="000000"/>
                <w:sz w:val="22"/>
                <w:szCs w:val="22"/>
              </w:rPr>
              <w:t>招討經略安撫使門</w:t>
            </w:r>
            <w:r w:rsidRPr="00CC7382">
              <w:rPr>
                <w:rFonts w:ascii="Calibri" w:eastAsia="Times New Roman" w:hAnsi="Calibri"/>
                <w:color w:val="000000"/>
                <w:sz w:val="22"/>
                <w:szCs w:val="22"/>
              </w:rPr>
              <w:t xml:space="preserve"> Various Pacification Commissions</w:t>
            </w:r>
          </w:p>
        </w:tc>
        <w:tc>
          <w:tcPr>
            <w:tcW w:w="1707"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Microsoft JhengHei" w:eastAsia="Microsoft JhengHei" w:hAnsi="Microsoft JhengHei" w:hint="eastAsia"/>
                <w:color w:val="000000"/>
                <w:sz w:val="22"/>
                <w:szCs w:val="22"/>
              </w:rPr>
              <w:t>宣撫司</w:t>
            </w:r>
            <w:r w:rsidRPr="00CC7382">
              <w:rPr>
                <w:rFonts w:ascii="Calibri" w:eastAsia="Times New Roman" w:hAnsi="Calibri"/>
                <w:color w:val="000000"/>
                <w:sz w:val="22"/>
                <w:szCs w:val="22"/>
              </w:rPr>
              <w:t xml:space="preserve"> Pacification Commission</w:t>
            </w:r>
          </w:p>
        </w:tc>
        <w:tc>
          <w:tcPr>
            <w:tcW w:w="1440" w:type="dxa"/>
            <w:tcBorders>
              <w:top w:val="single" w:sz="8" w:space="0" w:color="000000"/>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SimSun" w:eastAsia="SimSun" w:hAnsi="SimSun" w:cs="SimSun" w:hint="eastAsia"/>
                <w:color w:val="1F497D"/>
                <w:sz w:val="22"/>
                <w:szCs w:val="22"/>
              </w:rPr>
              <w:t>宣撫使</w:t>
            </w:r>
          </w:p>
        </w:tc>
      </w:tr>
      <w:tr w:rsidR="00CC7382" w:rsidRPr="00CC7382" w:rsidTr="00CC7382">
        <w:trPr>
          <w:trHeight w:val="315"/>
        </w:trPr>
        <w:tc>
          <w:tcPr>
            <w:tcW w:w="31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CC7382" w:rsidRPr="00CC7382" w:rsidRDefault="00CC7382" w:rsidP="00CC7382">
            <w:pPr>
              <w:spacing w:before="100" w:beforeAutospacing="1" w:after="100" w:afterAutospacing="1"/>
              <w:jc w:val="right"/>
              <w:rPr>
                <w:rFonts w:eastAsia="Times New Roman"/>
              </w:rPr>
            </w:pPr>
            <w:r w:rsidRPr="00CC7382">
              <w:rPr>
                <w:rFonts w:eastAsia="Times New Roman"/>
                <w:color w:val="FF0000"/>
                <w:sz w:val="22"/>
                <w:szCs w:val="22"/>
              </w:rPr>
              <w:t>71274</w:t>
            </w:r>
          </w:p>
        </w:tc>
        <w:tc>
          <w:tcPr>
            <w:tcW w:w="3056" w:type="dxa"/>
            <w:tcBorders>
              <w:top w:val="nil"/>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Microsoft JhengHei" w:eastAsia="Microsoft JhengHei" w:hAnsi="Microsoft JhengHei" w:hint="eastAsia"/>
                <w:color w:val="000000"/>
                <w:sz w:val="22"/>
                <w:szCs w:val="22"/>
              </w:rPr>
              <w:t>地方軍事與治安機構類</w:t>
            </w:r>
            <w:r w:rsidRPr="00CC7382">
              <w:rPr>
                <w:rFonts w:ascii="Calibri" w:eastAsia="Times New Roman" w:hAnsi="Calibri"/>
                <w:color w:val="000000"/>
                <w:sz w:val="22"/>
                <w:szCs w:val="22"/>
              </w:rPr>
              <w:t xml:space="preserve"> Regional and Local Military Units</w:t>
            </w:r>
          </w:p>
        </w:tc>
        <w:tc>
          <w:tcPr>
            <w:tcW w:w="2832" w:type="dxa"/>
            <w:tcBorders>
              <w:top w:val="nil"/>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Microsoft JhengHei" w:eastAsia="Microsoft JhengHei" w:hAnsi="Microsoft JhengHei" w:hint="eastAsia"/>
                <w:color w:val="000000"/>
                <w:sz w:val="22"/>
                <w:szCs w:val="22"/>
              </w:rPr>
              <w:t>招討經略安撫使門</w:t>
            </w:r>
            <w:r w:rsidRPr="00CC7382">
              <w:rPr>
                <w:rFonts w:ascii="Calibri" w:eastAsia="Times New Roman" w:hAnsi="Calibri"/>
                <w:color w:val="000000"/>
                <w:sz w:val="22"/>
                <w:szCs w:val="22"/>
              </w:rPr>
              <w:t xml:space="preserve"> Various Pacification Commissions</w:t>
            </w:r>
          </w:p>
        </w:tc>
        <w:tc>
          <w:tcPr>
            <w:tcW w:w="1707" w:type="dxa"/>
            <w:tcBorders>
              <w:top w:val="nil"/>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Microsoft JhengHei" w:eastAsia="Microsoft JhengHei" w:hAnsi="Microsoft JhengHei" w:hint="eastAsia"/>
                <w:color w:val="000000"/>
                <w:sz w:val="22"/>
                <w:szCs w:val="22"/>
              </w:rPr>
              <w:t>宣撫司</w:t>
            </w:r>
            <w:r w:rsidRPr="00CC7382">
              <w:rPr>
                <w:rFonts w:ascii="Calibri" w:eastAsia="Times New Roman" w:hAnsi="Calibri"/>
                <w:color w:val="000000"/>
                <w:sz w:val="22"/>
                <w:szCs w:val="22"/>
              </w:rPr>
              <w:t xml:space="preserve"> Pacification Commission</w:t>
            </w:r>
          </w:p>
        </w:tc>
        <w:tc>
          <w:tcPr>
            <w:tcW w:w="1440" w:type="dxa"/>
            <w:tcBorders>
              <w:top w:val="nil"/>
              <w:left w:val="nil"/>
              <w:bottom w:val="single" w:sz="8" w:space="0" w:color="000000"/>
              <w:right w:val="single" w:sz="8" w:space="0" w:color="000000"/>
            </w:tcBorders>
            <w:shd w:val="clear" w:color="auto" w:fill="FFFFFF"/>
            <w:noWrap/>
            <w:tcMar>
              <w:top w:w="0" w:type="dxa"/>
              <w:left w:w="108" w:type="dxa"/>
              <w:bottom w:w="0" w:type="dxa"/>
              <w:right w:w="108" w:type="dxa"/>
            </w:tcMar>
            <w:vAlign w:val="bottom"/>
            <w:hideMark/>
          </w:tcPr>
          <w:p w:rsidR="00CC7382" w:rsidRPr="00CC7382" w:rsidRDefault="00CC7382" w:rsidP="00CC7382">
            <w:pPr>
              <w:spacing w:before="100" w:beforeAutospacing="1" w:after="100" w:afterAutospacing="1"/>
              <w:rPr>
                <w:rFonts w:eastAsia="Times New Roman"/>
              </w:rPr>
            </w:pPr>
            <w:r w:rsidRPr="00CC7382">
              <w:rPr>
                <w:rFonts w:ascii="SimSun" w:eastAsia="SimSun" w:hAnsi="SimSun" w:cs="SimSun" w:hint="eastAsia"/>
                <w:color w:val="1F497D"/>
                <w:sz w:val="22"/>
                <w:szCs w:val="22"/>
              </w:rPr>
              <w:t>宣撫司經歷</w:t>
            </w:r>
          </w:p>
        </w:tc>
      </w:tr>
    </w:tbl>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t> </w:t>
      </w:r>
    </w:p>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lastRenderedPageBreak/>
        <w:t xml:space="preserve">Apologies for taking such a long time to merge the two files, due to the volume and complexity of the two lists and the labor shortage on our side (overloaded with library or personal matters). </w:t>
      </w:r>
    </w:p>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t xml:space="preserve">Let me know if you have any further questions. Oh, if you prefer a solo dictionary list, just simply remove the white rows. </w:t>
      </w:r>
    </w:p>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t> Best,</w:t>
      </w:r>
    </w:p>
    <w:p w:rsidR="00CC7382" w:rsidRPr="00CC7382" w:rsidRDefault="00CC7382" w:rsidP="00CC7382">
      <w:pPr>
        <w:spacing w:before="100" w:beforeAutospacing="1" w:after="100" w:afterAutospacing="1"/>
        <w:rPr>
          <w:rFonts w:eastAsia="Times New Roman"/>
        </w:rPr>
      </w:pPr>
      <w:r w:rsidRPr="00CC7382">
        <w:rPr>
          <w:rFonts w:ascii="Calibri" w:eastAsia="Times New Roman" w:hAnsi="Calibri"/>
          <w:color w:val="1F497D"/>
          <w:sz w:val="22"/>
          <w:szCs w:val="22"/>
        </w:rPr>
        <w:t>Ying</w:t>
      </w:r>
      <w:r>
        <w:rPr>
          <w:rFonts w:ascii="Calibri" w:eastAsia="Times New Roman" w:hAnsi="Calibri"/>
          <w:color w:val="1F497D"/>
          <w:sz w:val="22"/>
          <w:szCs w:val="22"/>
        </w:rPr>
        <w:t xml:space="preserve"> ZHANG</w:t>
      </w:r>
    </w:p>
    <w:p w:rsidR="00A35B00" w:rsidRDefault="00A35B00"/>
    <w:sectPr w:rsidR="00A35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382"/>
    <w:rsid w:val="001B7E0E"/>
    <w:rsid w:val="00280B84"/>
    <w:rsid w:val="002C417E"/>
    <w:rsid w:val="0035742C"/>
    <w:rsid w:val="004A360D"/>
    <w:rsid w:val="00523D9D"/>
    <w:rsid w:val="007D562D"/>
    <w:rsid w:val="00A35B00"/>
    <w:rsid w:val="00CC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C2397F-6C01-407F-B28C-649A334D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738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9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 Peter K.</dc:creator>
  <cp:keywords/>
  <dc:description/>
  <cp:lastModifiedBy>Bol, Peter K.</cp:lastModifiedBy>
  <cp:revision>3</cp:revision>
  <dcterms:created xsi:type="dcterms:W3CDTF">2018-05-01T00:17:00Z</dcterms:created>
  <dcterms:modified xsi:type="dcterms:W3CDTF">2018-05-01T17:23:00Z</dcterms:modified>
</cp:coreProperties>
</file>