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CBDB User MDB — Issues Report</w:t>
      </w:r>
    </w:p>
    <w:p>
      <w:pPr>
        <w:jc w:val="center"/>
      </w:pPr>
      <w:r>
        <w:t>A respectful summary of issues uncovered during regression testing.</w:t>
      </w:r>
    </w:p>
    <w:p>
      <w:r>
        <w:t>Dear maintainer,</w:t>
      </w:r>
    </w:p>
    <w:p>
      <w:r>
        <w:t>Below is a summary of the issues we uncovered while building an automated regression-test suite for the CBDB User MDB. We hope this report is useful as you continue your wonderful stewardship of this dataset, and we sincerely thank you for the immense work that has gone into building it.</w:t>
      </w:r>
    </w:p>
    <w:p>
      <w:r>
        <w:t>The issues are ordered by severity (P0 highest). Each entry includes a concise description, step-by-step user reproduction, screenshots where the issue is visible in the Access UI, and a suggested fix. None of these are urgent; they are documented so they can be addressed at the maintainer's convenience.</w:t>
      </w:r>
    </w:p>
    <w:p>
      <w:r>
        <w:br w:type="page"/>
      </w:r>
    </w:p>
    <w:p>
      <w:pPr>
        <w:pStyle w:val="Heading1"/>
      </w:pPr>
      <w:r>
        <w:t>Table of Contents</w:t>
      </w:r>
    </w:p>
    <w:p>
      <w:r>
        <w:fldChar w:fldCharType="begin"/>
        <w:instrText xml:space="preserve">TOC \o "1-2" \h \z \u</w:instrText>
        <w:fldChar w:fldCharType="separate"/>
        <w:t>Right-click here and choose 'Update Field' to populate.</w:t>
        <w:fldChar w:fldCharType="end"/>
      </w:r>
    </w:p>
    <w:p>
      <w:r>
        <w:br w:type="page"/>
      </w:r>
    </w:p>
    <w:p>
      <w:pPr>
        <w:pStyle w:val="Heading1"/>
      </w:pPr>
      <w:r>
        <w:t>Severity legend</w:t>
      </w:r>
    </w:p>
    <w:p>
      <w:pPr>
        <w:pStyle w:val="ListBullet"/>
      </w:pPr>
      <w:r>
        <w:t>P0 — Silent data corruption: data is wrong or missing without an error popup.</w:t>
      </w:r>
    </w:p>
    <w:p>
      <w:pPr>
        <w:pStyle w:val="ListBullet"/>
      </w:pPr>
      <w:r>
        <w:t>P1 — Visible runtime crash: a popup appears, the operation aborts.</w:t>
      </w:r>
    </w:p>
    <w:p>
      <w:pPr>
        <w:pStyle w:val="ListBullet"/>
      </w:pPr>
      <w:r>
        <w:t>P2 — Silent display: form fields render blank when they should show data.</w:t>
      </w:r>
    </w:p>
    <w:p>
      <w:pPr>
        <w:pStyle w:val="ListBullet"/>
      </w:pPr>
      <w:r>
        <w:t>P3 — Missing UI: a feature exists in code but no button invokes it.</w:t>
      </w:r>
    </w:p>
    <w:p>
      <w:pPr>
        <w:pStyle w:val="ListBullet"/>
      </w:pPr>
      <w:r>
        <w:t>P4 — Setup: one-time hurdle on each new install.</w:t>
      </w:r>
    </w:p>
    <w:p>
      <w:pPr>
        <w:pStyle w:val="ListBullet"/>
      </w:pPr>
      <w:r>
        <w:t>P5 — Dormant / latent / not currently reproducible: kept as historical record; we re-checked on the current dump and could not trigger the symptom.</w:t>
      </w:r>
    </w:p>
    <w:p>
      <w:r>
        <w:br w:type="page"/>
      </w:r>
    </w:p>
    <w:p>
      <w:pPr>
        <w:pStyle w:val="Heading1"/>
      </w:pPr>
      <w:r>
        <w:t>P0 — Silent data corruption</w:t>
      </w:r>
    </w:p>
    <w:p>
      <w:pPr>
        <w:pStyle w:val="Heading2"/>
      </w:pPr>
      <w:r>
        <w:t>Issue #7 — LookAtPlace.CmdNeo4j people-CSV silently fails on the first record</w:t>
      </w:r>
    </w:p>
    <w:p>
      <w:pPr>
        <w:pStyle w:val="Heading3"/>
      </w:pPr>
      <w:r>
        <w:t>Affected sub</w:t>
      </w:r>
    </w:p>
    <w:p>
      <w:r>
        <w:t>Form_LookAtPlace.CmdNeo4j_Click</w:t>
      </w:r>
    </w:p>
    <w:p>
      <w:pPr>
        <w:pStyle w:val="Heading3"/>
      </w:pPr>
      <w:r>
        <w:t>Severity</w:t>
      </w:r>
    </w:p>
    <w:p>
      <w:r>
        <w:t>P0 — Silent data corruption (export silently produces nothing)</w:t>
      </w:r>
    </w:p>
    <w:p>
      <w:pPr>
        <w:pStyle w:val="Heading3"/>
      </w:pPr>
      <w:r>
        <w:t>Description</w:t>
      </w:r>
    </w:p>
    <w:p>
      <w:r>
        <w:t>The People-CSV section of `LookAtPlace.CmdNeo4j_Click` (line ~322 onward) builds a recordset from a SELECT that projects only four `ZZ_SCRATCH_P_TEXT` columns, but the row-write loop reads `!c_dynasty`, `!c_dynasty_chn`, and `!c_female` from that recordset. As soon as the loop hits the first row, JET raises 'Item not found in this collection'. The error handler silences it with `MsgBox`, so the user sees a single popup, then NO files are produced for any of the downstream Neo4j export steps.</w:t>
      </w:r>
    </w:p>
    <w:p>
      <w:pPr>
        <w:pStyle w:val="Heading3"/>
      </w:pPr>
      <w:r>
        <w:t>Steps to reproduce</w:t>
      </w:r>
    </w:p>
    <w:p>
      <w:pPr>
        <w:pStyle w:val="ListNumber"/>
      </w:pPr>
      <w:r>
        <w:t>Open **LookAtPlace**.  Pick the address picker, choose a well-attested address — for example **c_addr_id = 7213** (Kaifeng 開封) — so the resulting query has plenty of people to feed the People-CSV loop.  Click **Run Query**.</w:t>
      </w:r>
    </w:p>
    <w:p>
      <w:pPr>
        <w:pStyle w:val="ListNumber"/>
      </w:pPr>
      <w:r>
        <w:t>Once the query finishes, click the **Neo4j** export button.</w:t>
      </w:r>
    </w:p>
    <w:p>
      <w:pPr>
        <w:pStyle w:val="ListNumber"/>
      </w:pPr>
      <w:r>
        <w:t>Pick a save location at the first SaveAs prompt (the 'People file' prompt).</w:t>
      </w:r>
    </w:p>
    <w:p>
      <w:pPr>
        <w:pStyle w:val="ListNumber"/>
      </w:pPr>
      <w:r>
        <w:t>A `Run-time error 3265 — Item not found in this collection` popup appears almost immediately.</w:t>
      </w:r>
    </w:p>
    <w:p>
      <w:pPr>
        <w:pStyle w:val="ListNumber"/>
      </w:pPr>
      <w:r>
        <w:t>After clicking OK, the chosen folder is empty — no Neo4j export file was written.</w:t>
      </w:r>
    </w:p>
    <w:p>
      <w:pPr>
        <w:pStyle w:val="Heading3"/>
      </w:pPr>
      <w:r>
        <w:t>Screenshots</w:t>
      </w:r>
    </w:p>
    <w:p>
      <w:r>
        <w:drawing>
          <wp:inline xmlns:a="http://schemas.openxmlformats.org/drawingml/2006/main" xmlns:pic="http://schemas.openxmlformats.org/drawingml/2006/picture">
            <wp:extent cx="5486400" cy="3088934"/>
            <wp:docPr id="1" name="Picture 1"/>
            <wp:cNvGraphicFramePr>
              <a:graphicFrameLocks noChangeAspect="1"/>
            </wp:cNvGraphicFramePr>
            <a:graphic>
              <a:graphicData uri="http://schemas.openxmlformats.org/drawingml/2006/picture">
                <pic:pic>
                  <pic:nvPicPr>
                    <pic:cNvPr id="0" name="bug7_step1_annotated.png"/>
                    <pic:cNvPicPr/>
                  </pic:nvPicPr>
                  <pic:blipFill>
                    <a:blip r:embed="rId9"/>
                    <a:stretch>
                      <a:fillRect/>
                    </a:stretch>
                  </pic:blipFill>
                  <pic:spPr>
                    <a:xfrm>
                      <a:off x="0" y="0"/>
                      <a:ext cx="5486400" cy="3088934"/>
                    </a:xfrm>
                    <a:prstGeom prst="rect"/>
                  </pic:spPr>
                </pic:pic>
              </a:graphicData>
            </a:graphic>
          </wp:inline>
        </w:drawing>
      </w:r>
    </w:p>
    <w:p>
      <w:pPr>
        <w:jc w:val="center"/>
      </w:pPr>
      <w:r>
        <w:rPr>
          <w:i/>
          <w:sz w:val="18"/>
        </w:rPr>
        <w:t>Step 1 — open LookAtPlace, run any query, click **Neo4j**.  The CmdNeo4j button is in the bottom export-button row; reachability verified against `analysis/dump/control_inventory.json` (LookAtPlace has a `CmdNeo4j` control with the `CmdNeo4j_Click` event bound — re-checked 2026-05-03).</w:t>
      </w:r>
    </w:p>
    <w:p>
      <w:r>
        <w:drawing>
          <wp:inline xmlns:a="http://schemas.openxmlformats.org/drawingml/2006/main" xmlns:pic="http://schemas.openxmlformats.org/drawingml/2006/picture">
            <wp:extent cx="5486400" cy="2969911"/>
            <wp:docPr id="2" name="Picture 2"/>
            <wp:cNvGraphicFramePr>
              <a:graphicFrameLocks noChangeAspect="1"/>
            </wp:cNvGraphicFramePr>
            <a:graphic>
              <a:graphicData uri="http://schemas.openxmlformats.org/drawingml/2006/picture">
                <pic:pic>
                  <pic:nvPicPr>
                    <pic:cNvPr id="0" name="bug7_step2_faux_popup.png"/>
                    <pic:cNvPicPr/>
                  </pic:nvPicPr>
                  <pic:blipFill>
                    <a:blip r:embed="rId10"/>
                    <a:stretch>
                      <a:fillRect/>
                    </a:stretch>
                  </pic:blipFill>
                  <pic:spPr>
                    <a:xfrm>
                      <a:off x="0" y="0"/>
                      <a:ext cx="5486400" cy="2969911"/>
                    </a:xfrm>
                    <a:prstGeom prst="rect"/>
                  </pic:spPr>
                </pic:pic>
              </a:graphicData>
            </a:graphic>
          </wp:inline>
        </w:drawing>
      </w:r>
    </w:p>
    <w:p>
      <w:pPr>
        <w:jc w:val="center"/>
      </w:pPr>
      <w:r>
        <w:rPr>
          <w:i/>
          <w:sz w:val="18"/>
        </w:rPr>
        <w:t>Step 2 — the popup users see.  Reconstructed in PIL because the real popup would block the COM test driver; the error code (DAO 3265 'Item not found in this collection') and message text come from JET's documented behaviour for a recordset field that isn't in the underlying SELECT.</w:t>
      </w:r>
    </w:p>
    <w:p>
      <w:pPr>
        <w:pStyle w:val="Heading3"/>
      </w:pPr>
      <w:r>
        <w:t>Suggested fix</w:t>
      </w:r>
    </w:p>
    <w:p>
      <w:r>
        <w:t>Extend the SELECT in the People-CSV branch to project the fields the loop reads, e.g. `DYNASTIES.c_dynasty`, `DYNASTIES.c_dynasty_chn`, `BIOG_MAIN.c_female` (the JOINs already expose them).</w:t>
      </w:r>
    </w:p>
    <w:p>
      <w:pPr>
        <w:pStyle w:val="Heading2"/>
      </w:pPr>
      <w:r>
        <w:t>Issue #8 — LookAtNetworks.CmdNeo4j people/place CSVs silently fail on the first record</w:t>
      </w:r>
    </w:p>
    <w:p>
      <w:pPr>
        <w:pStyle w:val="Heading3"/>
      </w:pPr>
      <w:r>
        <w:t>Affected sub</w:t>
      </w:r>
    </w:p>
    <w:p>
      <w:r>
        <w:t>Form_LookAtNetworks.CmdNeo4j_Click</w:t>
      </w:r>
    </w:p>
    <w:p>
      <w:pPr>
        <w:pStyle w:val="Heading3"/>
      </w:pPr>
      <w:r>
        <w:t>Severity</w:t>
      </w:r>
    </w:p>
    <w:p>
      <w:r>
        <w:t>P0 — Silent data corruption</w:t>
      </w:r>
    </w:p>
    <w:p>
      <w:pPr>
        <w:pStyle w:val="Heading3"/>
      </w:pPr>
      <w:r>
        <w:t>Description</w:t>
      </w:r>
    </w:p>
    <w:p>
      <w:r>
        <w:t>Same shape as Issue #7 but on a different form. Two SELECTs in `LookAtNetworks.CmdNeo4j_Click` are missing fields that the row-write loop reads:</w:t>
      </w:r>
    </w:p>
    <w:p>
      <w:r>
        <w:t xml:space="preserve">  • `tRstPlace` SELECT (line 2458) projects 3 columns; the loop reads `!x_coord` / `!y_coord` (not projected).</w:t>
        <w:br/>
        <w:t xml:space="preserve">  • `tRstPeoplePlace` SELECT similarly omits `c_person_id` / `c_index_addr_id` that the loop reads.</w:t>
      </w:r>
    </w:p>
    <w:p>
      <w:r>
        <w:t>Same silent-fail symptom as Issue #7.</w:t>
      </w:r>
    </w:p>
    <w:p>
      <w:pPr>
        <w:pStyle w:val="Heading3"/>
      </w:pPr>
      <w:r>
        <w:t>Steps to reproduce</w:t>
      </w:r>
    </w:p>
    <w:p>
      <w:pPr>
        <w:pStyle w:val="ListNumber"/>
      </w:pPr>
      <w:r>
        <w:t>Open **LookAtNetworks** (note: this form has a known opening-delay issue; please allow several seconds).</w:t>
      </w:r>
    </w:p>
    <w:p>
      <w:pPr>
        <w:pStyle w:val="ListNumber"/>
      </w:pPr>
      <w:r>
        <w:t>Run a query, then click **Neo4j**.</w:t>
      </w:r>
    </w:p>
    <w:p>
      <w:pPr>
        <w:pStyle w:val="ListNumber"/>
      </w:pPr>
      <w:r>
        <w:t>When the export reaches the People-with-Place file, the same `Item not found` popup appears, and no further files are written.</w:t>
      </w:r>
    </w:p>
    <w:p>
      <w:pPr>
        <w:pStyle w:val="Heading3"/>
      </w:pPr>
      <w:r>
        <w:t>Screenshots</w:t>
      </w:r>
    </w:p>
    <w:p>
      <w:r>
        <w:drawing>
          <wp:inline xmlns:a="http://schemas.openxmlformats.org/drawingml/2006/main" xmlns:pic="http://schemas.openxmlformats.org/drawingml/2006/picture">
            <wp:extent cx="5486400" cy="2969911"/>
            <wp:docPr id="3" name="Picture 3"/>
            <wp:cNvGraphicFramePr>
              <a:graphicFrameLocks noChangeAspect="1"/>
            </wp:cNvGraphicFramePr>
            <a:graphic>
              <a:graphicData uri="http://schemas.openxmlformats.org/drawingml/2006/picture">
                <pic:pic>
                  <pic:nvPicPr>
                    <pic:cNvPr id="0" name="bug8_faux_popup.png"/>
                    <pic:cNvPicPr/>
                  </pic:nvPicPr>
                  <pic:blipFill>
                    <a:blip r:embed="rId11"/>
                    <a:stretch>
                      <a:fillRect/>
                    </a:stretch>
                  </pic:blipFill>
                  <pic:spPr>
                    <a:xfrm>
                      <a:off x="0" y="0"/>
                      <a:ext cx="5486400" cy="2969911"/>
                    </a:xfrm>
                    <a:prstGeom prst="rect"/>
                  </pic:spPr>
                </pic:pic>
              </a:graphicData>
            </a:graphic>
          </wp:inline>
        </w:drawing>
      </w:r>
    </w:p>
    <w:p>
      <w:pPr>
        <w:jc w:val="center"/>
      </w:pPr>
      <w:r>
        <w:rPr>
          <w:i/>
          <w:sz w:val="18"/>
        </w:rPr>
        <w:t>Reconstructed-in-PIL popup showing the JET 'Item not found in this collection' error users would see.  **Important caveat:** the backdrop in this image is LookAtPlace, NOT LookAtNetworks — LookAtNetworks's `Form_Open` currently hangs the COM test driver, so a real runtime view of the host form couldn't be captured.  The popup text is reconstructed from VBA static inspection of `Form_LookAtNetworks.vb:2458` / `:2475`.</w:t>
      </w:r>
    </w:p>
    <w:p>
      <w:pPr>
        <w:pStyle w:val="Heading3"/>
      </w:pPr>
      <w:r>
        <w:t>Suggested fix</w:t>
      </w:r>
    </w:p>
    <w:p>
      <w:r>
        <w:t>Extend each SELECT to project every field the loop reads. For tRstPlace: add `ADDR_CODES.x_coord`, `ADDR_CODES.y_coord`. For tRstPeoplePlace: add the missing `c_person_id` / `c_index_addr_id` columns from the joined tables.</w:t>
      </w:r>
    </w:p>
    <w:p>
      <w:pPr>
        <w:pStyle w:val="Heading2"/>
      </w:pPr>
      <w:r>
        <w:t>Issue #9 — LookAtEntry.CmdNeo4j Institutions block uses the wrong recordset variable</w:t>
      </w:r>
    </w:p>
    <w:p>
      <w:pPr>
        <w:pStyle w:val="Heading3"/>
      </w:pPr>
      <w:r>
        <w:t>Affected sub</w:t>
      </w:r>
    </w:p>
    <w:p>
      <w:r>
        <w:t>Form_LookAtEntry.CmdNeo4j_Click</w:t>
      </w:r>
    </w:p>
    <w:p>
      <w:pPr>
        <w:pStyle w:val="Heading3"/>
      </w:pPr>
      <w:r>
        <w:t>Severity</w:t>
      </w:r>
    </w:p>
    <w:p>
      <w:r>
        <w:t>P0 — Silent data corruption (export silently produces nothing)</w:t>
      </w:r>
    </w:p>
    <w:p>
      <w:pPr>
        <w:pStyle w:val="Heading3"/>
      </w:pPr>
      <w:r>
        <w:t>Description</w:t>
      </w:r>
    </w:p>
    <w:p>
      <w:r>
        <w:t>Line 1415 of `Form_LookAtEntry.vb` opens the institutions recordset as `tRstInstitutions = CurrentDb.OpenRecordset(tQueryStr)`. Ten lines later, line 1425 says `With tRstAssocCodes` and the loop reads `!c_inst_code`, `!c_inst_name_code`, etc. against THAT recordset — which was bound much earlier to the AssocCodes SELECT and doesn't have `c_inst_*` columns. Same `Item not found` symptom; InstitutionCodes file is never written.</w:t>
      </w:r>
    </w:p>
    <w:p>
      <w:r>
        <w:t>Note: triggering this path requires entries with `c_inst_code &gt; 0` (i.e. social-institution-bearing entries). Not every fixture reaches this With block.</w:t>
      </w:r>
    </w:p>
    <w:p>
      <w:pPr>
        <w:pStyle w:val="Heading3"/>
      </w:pPr>
      <w:r>
        <w:t>Steps to reproduce</w:t>
      </w:r>
    </w:p>
    <w:p>
      <w:pPr>
        <w:pStyle w:val="ListNumber"/>
      </w:pPr>
      <w:r>
        <w:t>Open **LookAtEntry** with a query that produces entries with social institution codes (those are uncommon — most entries don't trigger this).</w:t>
      </w:r>
    </w:p>
    <w:p>
      <w:pPr>
        <w:pStyle w:val="ListNumber"/>
      </w:pPr>
      <w:r>
        <w:t>Click **Neo4j**, accept all the SaveAs dialogs.</w:t>
      </w:r>
    </w:p>
    <w:p>
      <w:pPr>
        <w:pStyle w:val="ListNumber"/>
      </w:pPr>
      <w:r>
        <w:t>When the export reaches the InstitutionCodes file, the same `Item not found` popup appears.</w:t>
      </w:r>
    </w:p>
    <w:p>
      <w:pPr>
        <w:pStyle w:val="Heading3"/>
      </w:pPr>
      <w:r>
        <w:t>Screenshots</w:t>
      </w:r>
    </w:p>
    <w:p>
      <w:r>
        <w:drawing>
          <wp:inline xmlns:a="http://schemas.openxmlformats.org/drawingml/2006/main" xmlns:pic="http://schemas.openxmlformats.org/drawingml/2006/picture">
            <wp:extent cx="5486400" cy="3088934"/>
            <wp:docPr id="4" name="Picture 4"/>
            <wp:cNvGraphicFramePr>
              <a:graphicFrameLocks noChangeAspect="1"/>
            </wp:cNvGraphicFramePr>
            <a:graphic>
              <a:graphicData uri="http://schemas.openxmlformats.org/drawingml/2006/picture">
                <pic:pic>
                  <pic:nvPicPr>
                    <pic:cNvPr id="0" name="bug9_form_annotated.png"/>
                    <pic:cNvPicPr/>
                  </pic:nvPicPr>
                  <pic:blipFill>
                    <a:blip r:embed="rId12"/>
                    <a:stretch>
                      <a:fillRect/>
                    </a:stretch>
                  </pic:blipFill>
                  <pic:spPr>
                    <a:xfrm>
                      <a:off x="0" y="0"/>
                      <a:ext cx="5486400" cy="3088934"/>
                    </a:xfrm>
                    <a:prstGeom prst="rect"/>
                  </pic:spPr>
                </pic:pic>
              </a:graphicData>
            </a:graphic>
          </wp:inline>
        </w:drawing>
      </w:r>
    </w:p>
    <w:p>
      <w:pPr>
        <w:jc w:val="center"/>
      </w:pPr>
      <w:r>
        <w:rPr>
          <w:i/>
          <w:sz w:val="18"/>
        </w:rPr>
        <w:t>Step 1 — open LookAtEntry, run any query, click **Neo4j**.  (Note: this code path only fires for queries whose result includes entries with `c_inst_code &gt; 0` — see the summary's REAL_BUT_GATED note.)</w:t>
      </w:r>
    </w:p>
    <w:p>
      <w:r>
        <w:drawing>
          <wp:inline xmlns:a="http://schemas.openxmlformats.org/drawingml/2006/main" xmlns:pic="http://schemas.openxmlformats.org/drawingml/2006/picture">
            <wp:extent cx="5486400" cy="2969911"/>
            <wp:docPr id="5" name="Picture 5"/>
            <wp:cNvGraphicFramePr>
              <a:graphicFrameLocks noChangeAspect="1"/>
            </wp:cNvGraphicFramePr>
            <a:graphic>
              <a:graphicData uri="http://schemas.openxmlformats.org/drawingml/2006/picture">
                <pic:pic>
                  <pic:nvPicPr>
                    <pic:cNvPr id="0" name="bug9_faux_popup.png"/>
                    <pic:cNvPicPr/>
                  </pic:nvPicPr>
                  <pic:blipFill>
                    <a:blip r:embed="rId13"/>
                    <a:stretch>
                      <a:fillRect/>
                    </a:stretch>
                  </pic:blipFill>
                  <pic:spPr>
                    <a:xfrm>
                      <a:off x="0" y="0"/>
                      <a:ext cx="5486400" cy="2969911"/>
                    </a:xfrm>
                    <a:prstGeom prst="rect"/>
                  </pic:spPr>
                </pic:pic>
              </a:graphicData>
            </a:graphic>
          </wp:inline>
        </w:drawing>
      </w:r>
    </w:p>
    <w:p>
      <w:pPr>
        <w:jc w:val="center"/>
      </w:pPr>
      <w:r>
        <w:rPr>
          <w:i/>
          <w:sz w:val="18"/>
        </w:rPr>
        <w:t>Step 2 — the popup users see when the With block on line 1425 reads `!c_inst_code` against the wrong-named recordset.  Reconstructed in PIL because the real popup would block the COM test driver; the error code (DAO 3265) and message text are JET's standard response to a recordset field that doesn't exist.</w:t>
      </w:r>
    </w:p>
    <w:p>
      <w:pPr>
        <w:pStyle w:val="Heading3"/>
      </w:pPr>
      <w:r>
        <w:t>Suggested fix</w:t>
      </w:r>
    </w:p>
    <w:p>
      <w:r>
        <w:t>Change `With tRstAssocCodes` on line 1425 to `With tRstInstitutions`. Single-character class of fix; the underlying recordset variable was simply mis-named.</w:t>
      </w:r>
    </w:p>
    <w:p>
      <w:pPr>
        <w:pStyle w:val="Heading1"/>
      </w:pPr>
      <w:r>
        <w:t>P1 — Visible runtime crash</w:t>
      </w:r>
    </w:p>
    <w:p>
      <w:pPr>
        <w:pStyle w:val="Heading2"/>
      </w:pPr>
      <w:r>
        <w:t>Issue #6 — LookAtGroupData ChkEntry path references a non-existent column ENTRY_DATA.c_parental_status</w:t>
      </w:r>
    </w:p>
    <w:p>
      <w:pPr>
        <w:pStyle w:val="Heading3"/>
      </w:pPr>
      <w:r>
        <w:t>Affected sub</w:t>
      </w:r>
    </w:p>
    <w:p>
      <w:r>
        <w:t>Form_LookAtGroupData.queryEntry</w:t>
      </w:r>
    </w:p>
    <w:p>
      <w:pPr>
        <w:pStyle w:val="Heading3"/>
      </w:pPr>
      <w:r>
        <w:t>Severity</w:t>
      </w:r>
    </w:p>
    <w:p>
      <w:r>
        <w:t>P1 — Visible crash on a common path (Entry sub-query)</w:t>
      </w:r>
    </w:p>
    <w:p>
      <w:pPr>
        <w:pStyle w:val="Heading3"/>
      </w:pPr>
      <w:r>
        <w:t>Description</w:t>
      </w:r>
    </w:p>
    <w:p>
      <w:r>
        <w:t>`Form_LookAtGroupData.vb` line 2621 has an INSERT INTO whose target column list ends with `c_parental_status_code` but whose SELECT projection ends with `ENTRY_DATA.c_parental_status` (no `_code` suffix). The actual column on `ENTRY_DATA` is `c_parental_status_code`; the typo means the SQL crashes with 'No such field' the moment the user checks **Entry** and clicks **Run**.</w:t>
      </w:r>
    </w:p>
    <w:p>
      <w:r>
        <w:t>`Form_LookAtEntry.vb:1650` does the same logical query and uses the correct name, so this is a single-line drift.</w:t>
      </w:r>
    </w:p>
    <w:p>
      <w:pPr>
        <w:pStyle w:val="Heading3"/>
      </w:pPr>
      <w:r>
        <w:t>Steps to reproduce</w:t>
      </w:r>
    </w:p>
    <w:p>
      <w:r>
        <w:rPr>
          <w:b/>
        </w:rPr>
        <w:t>Recommended demo person: c_personid=1 (安惇, An Dun)</w:t>
      </w:r>
    </w:p>
    <w:p>
      <w:r>
        <w:t>Use person 1 (安惇, An Dun) as the import list (small: only 2 entry row, fast to reproduce). In LookAtGroupData, leave only the **Entry** checkbox ticked, click **Run**.</w:t>
      </w:r>
      <w:r>
        <w:rPr>
          <w:i/>
        </w:rPr>
        <w:t xml:space="preserve"> — picked by `reports/probe_demo_persons.py`; a SQL probe selected this person because their row counts genuinely satisfy the precondition the bug needs.</w:t>
      </w:r>
    </w:p>
    <w:p>
      <w:pPr>
        <w:pStyle w:val="ListNumber"/>
      </w:pPr>
      <w:r>
        <w:t>In **LookAtGroupData**, populate the import list with one entry — c_personid = 1 (An Dun 安惇) is enough; he has exactly 2 ENTRY_DATA rows so the broken queryEntry SQL will run on a tiny well-known sample.</w:t>
      </w:r>
    </w:p>
    <w:p>
      <w:pPr>
        <w:pStyle w:val="ListNumber"/>
      </w:pPr>
      <w:r>
        <w:t>Tick **only** the **Entry** checkbox (leave Status / Office / Text / Addr unchecked so the unrelated query branches don't fire).</w:t>
      </w:r>
    </w:p>
    <w:p>
      <w:pPr>
        <w:pStyle w:val="ListNumber"/>
      </w:pPr>
      <w:r>
        <w:t>Click **Run**.</w:t>
      </w:r>
    </w:p>
    <w:p>
      <w:pPr>
        <w:pStyle w:val="ListNumber"/>
      </w:pPr>
      <w:r>
        <w:t>A popup appears reporting that a field doesn't exist (JET reports this as 'No value given for one or more required parameters' / 'No such field' depending on the Office build — both mean the SQL referenced `ENTRY_DATA.c_parental_status` which doesn't exist).</w:t>
      </w:r>
    </w:p>
    <w:p>
      <w:pPr>
        <w:pStyle w:val="Heading3"/>
      </w:pPr>
      <w:r>
        <w:t>Screenshots</w:t>
      </w:r>
    </w:p>
    <w:p>
      <w:r>
        <w:drawing>
          <wp:inline xmlns:a="http://schemas.openxmlformats.org/drawingml/2006/main" xmlns:pic="http://schemas.openxmlformats.org/drawingml/2006/picture">
            <wp:extent cx="5486400" cy="3088934"/>
            <wp:docPr id="6" name="Picture 6"/>
            <wp:cNvGraphicFramePr>
              <a:graphicFrameLocks noChangeAspect="1"/>
            </wp:cNvGraphicFramePr>
            <a:graphic>
              <a:graphicData uri="http://schemas.openxmlformats.org/drawingml/2006/picture">
                <pic:pic>
                  <pic:nvPicPr>
                    <pic:cNvPr id="0" name="bug6_form_annotated.png"/>
                    <pic:cNvPicPr/>
                  </pic:nvPicPr>
                  <pic:blipFill>
                    <a:blip r:embed="rId14"/>
                    <a:stretch>
                      <a:fillRect/>
                    </a:stretch>
                  </pic:blipFill>
                  <pic:spPr>
                    <a:xfrm>
                      <a:off x="0" y="0"/>
                      <a:ext cx="5486400" cy="3088934"/>
                    </a:xfrm>
                    <a:prstGeom prst="rect"/>
                  </pic:spPr>
                </pic:pic>
              </a:graphicData>
            </a:graphic>
          </wp:inline>
        </w:drawing>
      </w:r>
    </w:p>
    <w:p>
      <w:pPr>
        <w:jc w:val="center"/>
      </w:pPr>
      <w:r>
        <w:rPr>
          <w:i/>
          <w:sz w:val="18"/>
        </w:rPr>
        <w:t>Step 1 — open LookAtGroupData, leave only the Entry checkbox ticked, click Run.  (Demo input from `reports/demo_persons.json`: import list = c_personid 1, 安惇.)</w:t>
      </w:r>
    </w:p>
    <w:p>
      <w:r>
        <w:drawing>
          <wp:inline xmlns:a="http://schemas.openxmlformats.org/drawingml/2006/main" xmlns:pic="http://schemas.openxmlformats.org/drawingml/2006/picture">
            <wp:extent cx="5486400" cy="2969911"/>
            <wp:docPr id="7" name="Picture 7"/>
            <wp:cNvGraphicFramePr>
              <a:graphicFrameLocks noChangeAspect="1"/>
            </wp:cNvGraphicFramePr>
            <a:graphic>
              <a:graphicData uri="http://schemas.openxmlformats.org/drawingml/2006/picture">
                <pic:pic>
                  <pic:nvPicPr>
                    <pic:cNvPr id="0" name="bug6_faux_popup.png"/>
                    <pic:cNvPicPr/>
                  </pic:nvPicPr>
                  <pic:blipFill>
                    <a:blip r:embed="rId15"/>
                    <a:stretch>
                      <a:fillRect/>
                    </a:stretch>
                  </pic:blipFill>
                  <pic:spPr>
                    <a:xfrm>
                      <a:off x="0" y="0"/>
                      <a:ext cx="5486400" cy="2969911"/>
                    </a:xfrm>
                    <a:prstGeom prst="rect"/>
                  </pic:spPr>
                </pic:pic>
              </a:graphicData>
            </a:graphic>
          </wp:inline>
        </w:drawing>
      </w:r>
    </w:p>
    <w:p>
      <w:pPr>
        <w:jc w:val="center"/>
      </w:pPr>
      <w:r>
        <w:rPr>
          <w:i/>
          <w:sz w:val="18"/>
        </w:rPr>
        <w:t>Step 2 — the JET error popup users see.  The popup graphic is reconstructed in PIL because the real popup would block the COM test driver; the error code (3061) and message text come from JET's documented behaviour for unknown-identifier-as-parameter on the line cited in the summary.</w:t>
      </w:r>
    </w:p>
    <w:p>
      <w:pPr>
        <w:pStyle w:val="Heading3"/>
      </w:pPr>
      <w:r>
        <w:t>Suggested fix</w:t>
      </w:r>
    </w:p>
    <w:p>
      <w:r>
        <w:t>Change `ENTRY_DATA.c_parental_status` to `ENTRY_DATA.c_parental_status_code` on line 2621. One-line fix.</w:t>
      </w:r>
    </w:p>
    <w:p>
      <w:pPr>
        <w:pStyle w:val="Heading2"/>
      </w:pPr>
      <w:r>
        <w:t>Issue #13 — BIOG_MAIN_2 Subform tries to open a picker form (frmPickNIAN_HAO) that doesn't exist</w:t>
      </w:r>
    </w:p>
    <w:p>
      <w:pPr>
        <w:pStyle w:val="Heading3"/>
      </w:pPr>
      <w:r>
        <w:t>Affected sub</w:t>
      </w:r>
    </w:p>
    <w:p>
      <w:r>
        <w:t>Form_BIOG_MAIN_2_Subform.c_fl_ey_notes_Click</w:t>
      </w:r>
    </w:p>
    <w:p>
      <w:pPr>
        <w:pStyle w:val="Heading3"/>
      </w:pPr>
      <w:r>
        <w:t>Severity</w:t>
      </w:r>
    </w:p>
    <w:p>
      <w:r>
        <w:t>P1 — Visible crash on a user click</w:t>
      </w:r>
    </w:p>
    <w:p>
      <w:pPr>
        <w:pStyle w:val="Heading3"/>
      </w:pPr>
      <w:r>
        <w:t>Description</w:t>
      </w:r>
    </w:p>
    <w:p>
      <w:r>
        <w:t>When the user clicks the `c_fl_ey_notes` field on a person's biographical detail subform, `Sub c_fl_ey_notes_Click` runs `DoCmd.OpenForm "frmPickNIAN_HAO"`. There is no form named `frmPickNIAN_HAO` in the .mdb's CurrentProject.AllForms collection. Access raises 'Item not found …' and the field click does nothing useful for the user.</w:t>
      </w:r>
    </w:p>
    <w:p>
      <w:r>
        <w:t>Likely cause: a picker form was renamed or consolidated in an earlier refactor, and this caller wasn't updated.</w:t>
      </w:r>
    </w:p>
    <w:p>
      <w:pPr>
        <w:pStyle w:val="Heading3"/>
      </w:pPr>
      <w:r>
        <w:t>Steps to reproduce</w:t>
      </w:r>
    </w:p>
    <w:p>
      <w:r>
        <w:rPr>
          <w:b/>
        </w:rPr>
        <w:t>Recommended demo person: c_personid=5 (查籥, Zha Yue)</w:t>
      </w:r>
    </w:p>
    <w:p>
      <w:r>
        <w:t>Open person 5 (查籥, Zha Yue). Their `c_fl_ey_notes` field has actual text in it (sample: '紹興二十一年進士。…'), so clicking it actually triggers the broken Sub.</w:t>
      </w:r>
      <w:r>
        <w:rPr>
          <w:i/>
        </w:rPr>
        <w:t xml:space="preserve"> — picked by `reports/probe_demo_persons.py`; a SQL probe selected this person because their row counts genuinely satisfy the precondition the bug needs.</w:t>
      </w:r>
    </w:p>
    <w:p>
      <w:pPr>
        <w:pStyle w:val="ListNumber"/>
      </w:pPr>
      <w:r>
        <w:t>Open the biographical detail form for **c_personid = 5 (Zha Yue 查籥)** — picked because his BIOG_MAIN row has a non-empty `c_fl_ey_notes` value, so the field is interactable (clicking an empty field doesn't fire the Sub).</w:t>
      </w:r>
    </w:p>
    <w:p>
      <w:pPr>
        <w:pStyle w:val="ListNumber"/>
      </w:pPr>
      <w:r>
        <w:t>On the BIOG_MAIN_2 subform, click the `c_fl_ey_notes` field — that fires the `c_fl_ey_notes_Click` Sub.</w:t>
      </w:r>
    </w:p>
    <w:p>
      <w:pPr>
        <w:pStyle w:val="ListNumber"/>
      </w:pPr>
      <w:r>
        <w:t>An `Item not found in this collection.` popup appears (because the Sub tries `DoCmd.OpenForm "frmPickNIAN_HAO"` and that form doesn't exist).</w:t>
      </w:r>
    </w:p>
    <w:p>
      <w:pPr>
        <w:pStyle w:val="Heading3"/>
      </w:pPr>
      <w:r>
        <w:t>Screenshots</w:t>
      </w:r>
    </w:p>
    <w:p>
      <w:r>
        <w:drawing>
          <wp:inline xmlns:a="http://schemas.openxmlformats.org/drawingml/2006/main" xmlns:pic="http://schemas.openxmlformats.org/drawingml/2006/picture">
            <wp:extent cx="5486400" cy="3088934"/>
            <wp:docPr id="8" name="Picture 8"/>
            <wp:cNvGraphicFramePr>
              <a:graphicFrameLocks noChangeAspect="1"/>
            </wp:cNvGraphicFramePr>
            <a:graphic>
              <a:graphicData uri="http://schemas.openxmlformats.org/drawingml/2006/picture">
                <pic:pic>
                  <pic:nvPicPr>
                    <pic:cNvPr id="0" name="bug13_browser_annotated.png"/>
                    <pic:cNvPicPr/>
                  </pic:nvPicPr>
                  <pic:blipFill>
                    <a:blip r:embed="rId16"/>
                    <a:stretch>
                      <a:fillRect/>
                    </a:stretch>
                  </pic:blipFill>
                  <pic:spPr>
                    <a:xfrm>
                      <a:off x="0" y="0"/>
                      <a:ext cx="5486400" cy="3088934"/>
                    </a:xfrm>
                    <a:prstGeom prst="rect"/>
                  </pic:spPr>
                </pic:pic>
              </a:graphicData>
            </a:graphic>
          </wp:inline>
        </w:drawing>
      </w:r>
    </w:p>
    <w:p>
      <w:pPr>
        <w:jc w:val="center"/>
      </w:pPr>
      <w:r>
        <w:rPr>
          <w:i/>
          <w:sz w:val="18"/>
        </w:rPr>
        <w:t>Step 1 — open CBDB_Browser_2, navigate to c_personid=5 (查籥 Zha Yue), click the `c_fl_ey_notes` field on the Birth/Death sub-tab (this fires `c_fl_ey_notes_Click`).</w:t>
      </w:r>
    </w:p>
    <w:p>
      <w:r>
        <w:drawing>
          <wp:inline xmlns:a="http://schemas.openxmlformats.org/drawingml/2006/main" xmlns:pic="http://schemas.openxmlformats.org/drawingml/2006/picture">
            <wp:extent cx="5486400" cy="2969911"/>
            <wp:docPr id="9" name="Picture 9"/>
            <wp:cNvGraphicFramePr>
              <a:graphicFrameLocks noChangeAspect="1"/>
            </wp:cNvGraphicFramePr>
            <a:graphic>
              <a:graphicData uri="http://schemas.openxmlformats.org/drawingml/2006/picture">
                <pic:pic>
                  <pic:nvPicPr>
                    <pic:cNvPr id="0" name="bug13_faux_popup.png"/>
                    <pic:cNvPicPr/>
                  </pic:nvPicPr>
                  <pic:blipFill>
                    <a:blip r:embed="rId17"/>
                    <a:stretch>
                      <a:fillRect/>
                    </a:stretch>
                  </pic:blipFill>
                  <pic:spPr>
                    <a:xfrm>
                      <a:off x="0" y="0"/>
                      <a:ext cx="5486400" cy="2969911"/>
                    </a:xfrm>
                    <a:prstGeom prst="rect"/>
                  </pic:spPr>
                </pic:pic>
              </a:graphicData>
            </a:graphic>
          </wp:inline>
        </w:drawing>
      </w:r>
    </w:p>
    <w:p>
      <w:pPr>
        <w:jc w:val="center"/>
      </w:pPr>
      <w:r>
        <w:rPr>
          <w:i/>
          <w:sz w:val="18"/>
        </w:rPr>
        <w:t>Step 2 — the popup users see.  Reconstructed in PIL because the real popup would block the COM test driver; error 2102 + 'misspelled or refers to a form that doesn't exist' is Access's standard message when DoCmd.OpenForm targets a form not in CurrentProject.AllForms.</w:t>
      </w:r>
    </w:p>
    <w:p>
      <w:pPr>
        <w:pStyle w:val="Heading3"/>
      </w:pPr>
      <w:r>
        <w:t>Suggested fix</w:t>
      </w:r>
    </w:p>
    <w:p>
      <w:r>
        <w:t>Either restore the picker form `frmPickNIAN_HAO`, or update the caller in `Form_BIOG_MAIN_2_Subform.c_fl_ey_notes_Click` to use whichever picker form replaced it.</w:t>
      </w:r>
    </w:p>
    <w:p>
      <w:pPr>
        <w:pStyle w:val="Heading1"/>
      </w:pPr>
      <w:r>
        <w:t>P2 — Silent display</w:t>
      </w:r>
    </w:p>
    <w:p>
      <w:pPr>
        <w:pStyle w:val="Heading2"/>
      </w:pPr>
      <w:r>
        <w:t>Issue #10 — EVENT_ADDR_2 Subform address columns silently render blank (wrong ControlSource)</w:t>
      </w:r>
    </w:p>
    <w:p>
      <w:pPr>
        <w:pStyle w:val="Heading3"/>
      </w:pPr>
      <w:r>
        <w:t>Affected sub</w:t>
      </w:r>
    </w:p>
    <w:p>
      <w:r>
        <w:t>EVENT_ADDR_2 Subform</w:t>
      </w:r>
    </w:p>
    <w:p>
      <w:pPr>
        <w:pStyle w:val="Heading3"/>
      </w:pPr>
      <w:r>
        <w:t>Severity</w:t>
      </w:r>
    </w:p>
    <w:p>
      <w:r>
        <w:t>P2 — Silent display (EVENT_ADDR_2's TxtAddrCHN / TxtAddrPY render blank for every row)</w:t>
      </w:r>
    </w:p>
    <w:p>
      <w:pPr>
        <w:pStyle w:val="Heading3"/>
      </w:pPr>
      <w:r>
        <w:t>Description</w:t>
      </w:r>
    </w:p>
    <w:p>
      <w:r>
        <w:t>On the EVENT_ADDR_2 sub-form (events with addresses), the two address controls are bound as follows:</w:t>
      </w:r>
    </w:p>
    <w:p>
      <w:r>
        <w:t xml:space="preserve">  • `TxtAddrCHN`.ControlSource = `c_name_chn`</w:t>
        <w:br/>
        <w:t xml:space="preserve">  • `TxtAddrPY`.ControlSource = `c_name`</w:t>
      </w:r>
    </w:p>
    <w:p>
      <w:r>
        <w:t>But the form's RecordSource is the saved query `View_EventAddrData`, which aliases ADDR_CODES.c_name_chn as `c_event_addr_chn` and ADDR_CODES.c_name as `c_event_addr_name`. Neither `c_name` nor `c_name_chn` is in the projection, so both controls silently render blank for every row.</w:t>
      </w:r>
    </w:p>
    <w:p>
      <w:pPr>
        <w:pStyle w:val="Heading3"/>
      </w:pPr>
      <w:r>
        <w:t>Steps to reproduce</w:t>
      </w:r>
    </w:p>
    <w:p>
      <w:r>
        <w:rPr>
          <w:b/>
        </w:rPr>
        <w:t>Recommended demo person: c_personid=44872 (孫才, Sun Cai)</w:t>
      </w:r>
    </w:p>
    <w:p>
      <w:r>
        <w:t>Open person 44872 (孫才, Sun Cai). The EVENTS sub-datasheet shows 1 event row(s); 1 of them have an associated address. That's where the bound controls render blank on every row.</w:t>
      </w:r>
      <w:r>
        <w:rPr>
          <w:i/>
        </w:rPr>
        <w:t xml:space="preserve"> — picked by `reports/probe_demo_persons.py`; a SQL probe selected this person because their row counts genuinely satisfy the precondition the bug needs.</w:t>
      </w:r>
    </w:p>
    <w:p>
      <w:pPr>
        <w:pStyle w:val="ListNumber"/>
      </w:pPr>
      <w:r>
        <w:t>Open CBDB_Browser_2 and navigate to **c_personid = 44872 (Sun Cai 孫才)** — picked because he has 1 EVENTS_DATA row with an associated EVENT_ADDR row pointing at `c_addr_id = 12603` (Anfeng / 安豐 in ADDR_CODES).  Switch to the **Events** sub-tab.</w:t>
      </w:r>
    </w:p>
    <w:p>
      <w:pPr>
        <w:pStyle w:val="ListNumber"/>
      </w:pPr>
      <w:r>
        <w:t>Look at the small EVENT_ADDR_2 sub-form embedded inside the event row (it's nested below the main event line).  The two address textboxes there — `TxtAddrCHN` and `TxtAddrPY` — render blank.</w:t>
      </w:r>
    </w:p>
    <w:p>
      <w:pPr>
        <w:pStyle w:val="ListNumber"/>
      </w:pPr>
      <w:r>
        <w:t>**Note:** the parent EVENTS_DATA_2 sub-form has its own address controls (also called TxtAddrCHN / TxtAddrPY but bound to `c_addr_chn` / `c_addr_name`, which `View_EventsData` DOES project) — those work and show '安豐' / 'Anfeng'.  Bug #10 is specifically about the inner EVENT_ADDR_2 sub-form's controls being blank, not about the visible address values on the parent row.</w:t>
      </w:r>
    </w:p>
    <w:p>
      <w:pPr>
        <w:pStyle w:val="ListNumber"/>
      </w:pPr>
      <w:r>
        <w:t>SQL verification (no Access needed): `SELECT c_name_chn FROM View_EventAddrData` raises `Too few parameters. Expected 2.` — JET treats the unknown identifier as a parameter, confirming the column is not in the projection.</w:t>
      </w:r>
    </w:p>
    <w:p>
      <w:pPr>
        <w:pStyle w:val="Heading3"/>
      </w:pPr>
      <w:r>
        <w:t>Screenshots</w:t>
      </w:r>
    </w:p>
    <w:p>
      <w:r>
        <w:drawing>
          <wp:inline xmlns:a="http://schemas.openxmlformats.org/drawingml/2006/main" xmlns:pic="http://schemas.openxmlformats.org/drawingml/2006/picture">
            <wp:extent cx="5486400" cy="3088934"/>
            <wp:docPr id="10" name="Picture 10"/>
            <wp:cNvGraphicFramePr>
              <a:graphicFrameLocks noChangeAspect="1"/>
            </wp:cNvGraphicFramePr>
            <a:graphic>
              <a:graphicData uri="http://schemas.openxmlformats.org/drawingml/2006/picture">
                <pic:pic>
                  <pic:nvPicPr>
                    <pic:cNvPr id="0" name="bug10_subform_annotated.png"/>
                    <pic:cNvPicPr/>
                  </pic:nvPicPr>
                  <pic:blipFill>
                    <a:blip r:embed="rId18"/>
                    <a:stretch>
                      <a:fillRect/>
                    </a:stretch>
                  </pic:blipFill>
                  <pic:spPr>
                    <a:xfrm>
                      <a:off x="0" y="0"/>
                      <a:ext cx="5486400" cy="3088934"/>
                    </a:xfrm>
                    <a:prstGeom prst="rect"/>
                  </pic:spPr>
                </pic:pic>
              </a:graphicData>
            </a:graphic>
          </wp:inline>
        </w:drawing>
      </w:r>
    </w:p>
    <w:p>
      <w:pPr>
        <w:jc w:val="center"/>
      </w:pPr>
      <w:r>
        <w:rPr>
          <w:i/>
          <w:sz w:val="18"/>
        </w:rPr>
        <w:t>Runtime view of CBDB_Browser_2 → BIOG_MAIN_2 → Events tab with c_personid=44872 (孫才) loaded.  **The visible '安豐' / address values come from the parent EVENTS_DATA_2 sub-form's TxtAddrCHN (correctly bound to `c_addr_chn`).**  Bug #10's blank controls live in the smaller EVENT_ADDR_2 sub-form nested inside the event row — those two controls (TxtAddrCHN / TxtAddrPY bound to `c_name_chn` / `c_name`, neither in `View_EventAddrData`'s projection) render empty.  COM probe confirms both are Visible=True with widths 2340 / 2100 twips (≈4cm / 3.5cm) — i.e. real user-visible blank columns, just smaller than the parent row's address display.  Verification scripts: `analysis/probe_bug_10_11_12_visibility.py` (control visibility) + the SQL probe in the steps above.</w:t>
      </w:r>
    </w:p>
    <w:p>
      <w:pPr>
        <w:pStyle w:val="Heading3"/>
      </w:pPr>
      <w:r>
        <w:t>Suggested fix</w:t>
      </w:r>
    </w:p>
    <w:p>
      <w:r>
        <w:t>In the form designer for `EVENT_ADDR_2 Subform`, change `TxtAddrCHN`.ControlSource from `c_name_chn` to `c_event_addr_chn`, and `TxtAddrPY`.ControlSource from `c_name` to `c_event_addr_name` (the actual aliases in View_EventAddrData).</w:t>
      </w:r>
    </w:p>
    <w:p>
      <w:pPr>
        <w:pStyle w:val="Heading1"/>
      </w:pPr>
      <w:r>
        <w:t>P3 — Missing UI</w:t>
      </w:r>
    </w:p>
    <w:p>
      <w:pPr>
        <w:pStyle w:val="Heading2"/>
      </w:pPr>
      <w:r>
        <w:t>Issue #15 — LookAtPlace is missing its CmdGIS button (handler exists but no UI control)</w:t>
      </w:r>
    </w:p>
    <w:p>
      <w:pPr>
        <w:pStyle w:val="Heading3"/>
      </w:pPr>
      <w:r>
        <w:t>Affected sub</w:t>
      </w:r>
    </w:p>
    <w:p>
      <w:r>
        <w:t>LookAtPlace</w:t>
      </w:r>
    </w:p>
    <w:p>
      <w:pPr>
        <w:pStyle w:val="Heading3"/>
      </w:pPr>
      <w:r>
        <w:t>Severity</w:t>
      </w:r>
    </w:p>
    <w:p>
      <w:r>
        <w:t>P3 — Missing UI (feature unavailable to users)</w:t>
      </w:r>
    </w:p>
    <w:p>
      <w:pPr>
        <w:pStyle w:val="Heading3"/>
      </w:pPr>
      <w:r>
        <w:t>Description</w:t>
      </w:r>
    </w:p>
    <w:p>
      <w:r>
        <w:t>`Form_LookAtPlace.vb` defines a fully functional `CmdGIS_Click` handler — it builds and writes a GIS .tab export, identical in shape to the GIS button on Status / Texts / Associations / Office / Kinship. But LookAtPlace's form design has NO `CmdGIS` button on it. Users on Place can use Pajek / Gephi / Neo4j export but cannot use GIS export — the handler is there, just unreachable from the UI.</w:t>
      </w:r>
    </w:p>
    <w:p>
      <w:pPr>
        <w:pStyle w:val="Heading3"/>
      </w:pPr>
      <w:r>
        <w:t>Steps to reproduce</w:t>
      </w:r>
    </w:p>
    <w:p>
      <w:pPr>
        <w:pStyle w:val="ListNumber"/>
      </w:pPr>
      <w:r>
        <w:t>Open **LookAtPlace**.</w:t>
      </w:r>
    </w:p>
    <w:p>
      <w:pPr>
        <w:pStyle w:val="ListNumber"/>
      </w:pPr>
      <w:r>
        <w:t>Look at the export-buttons row at the bottom right.</w:t>
      </w:r>
    </w:p>
    <w:p>
      <w:pPr>
        <w:pStyle w:val="ListNumber"/>
      </w:pPr>
      <w:r>
        <w:t>There's no GIS button. Compare with LookAtStatus / LookAtAssociations / LookAtOffice etc., all of which have one.</w:t>
      </w:r>
    </w:p>
    <w:p>
      <w:pPr>
        <w:pStyle w:val="Heading3"/>
      </w:pPr>
      <w:r>
        <w:t>Screenshots</w:t>
      </w:r>
    </w:p>
    <w:p>
      <w:r>
        <w:drawing>
          <wp:inline xmlns:a="http://schemas.openxmlformats.org/drawingml/2006/main" xmlns:pic="http://schemas.openxmlformats.org/drawingml/2006/picture">
            <wp:extent cx="5486400" cy="3088934"/>
            <wp:docPr id="11" name="Picture 11"/>
            <wp:cNvGraphicFramePr>
              <a:graphicFrameLocks noChangeAspect="1"/>
            </wp:cNvGraphicFramePr>
            <a:graphic>
              <a:graphicData uri="http://schemas.openxmlformats.org/drawingml/2006/picture">
                <pic:pic>
                  <pic:nvPicPr>
                    <pic:cNvPr id="0" name="bug15_LookAtPlace_no_CmdGIS_annotated.png"/>
                    <pic:cNvPicPr/>
                  </pic:nvPicPr>
                  <pic:blipFill>
                    <a:blip r:embed="rId19"/>
                    <a:stretch>
                      <a:fillRect/>
                    </a:stretch>
                  </pic:blipFill>
                  <pic:spPr>
                    <a:xfrm>
                      <a:off x="0" y="0"/>
                      <a:ext cx="5486400" cy="3088934"/>
                    </a:xfrm>
                    <a:prstGeom prst="rect"/>
                  </pic:spPr>
                </pic:pic>
              </a:graphicData>
            </a:graphic>
          </wp:inline>
        </w:drawing>
      </w:r>
    </w:p>
    <w:p>
      <w:pPr>
        <w:jc w:val="center"/>
      </w:pPr>
      <w:r>
        <w:rPr>
          <w:i/>
          <w:sz w:val="18"/>
        </w:rPr>
        <w:t>LookAtPlace as it ships — no GIS button is rendered, even though `Sub CmdGIS_Click()` exists in the module.</w:t>
      </w:r>
    </w:p>
    <w:p>
      <w:pPr>
        <w:pStyle w:val="Heading3"/>
      </w:pPr>
      <w:r>
        <w:t>Suggested fix</w:t>
      </w:r>
    </w:p>
    <w:p>
      <w:r>
        <w:t>In LookAtPlace's form design, add a CmdGIS button next to the existing CmdPajek / CmdGephi buttons, with `OnClick = [Event Procedure]` so it invokes the existing CmdGIS_Click Sub. (Also fix Issue #4 first, otherwise the button will throw 'Object required' on the first click.)</w:t>
      </w:r>
    </w:p>
    <w:p>
      <w:pPr>
        <w:pStyle w:val="Heading2"/>
      </w:pPr>
      <w:r>
        <w:t>Issue #16 — LookAtStatus is missing its CmdPajek button</w:t>
      </w:r>
    </w:p>
    <w:p>
      <w:pPr>
        <w:pStyle w:val="Heading3"/>
      </w:pPr>
      <w:r>
        <w:t>Affected sub</w:t>
      </w:r>
    </w:p>
    <w:p>
      <w:r>
        <w:t>LookAtStatus</w:t>
      </w:r>
    </w:p>
    <w:p>
      <w:pPr>
        <w:pStyle w:val="Heading3"/>
      </w:pPr>
      <w:r>
        <w:t>Severity</w:t>
      </w:r>
    </w:p>
    <w:p>
      <w:r>
        <w:t>P3 — Missing UI</w:t>
      </w:r>
    </w:p>
    <w:p>
      <w:pPr>
        <w:pStyle w:val="Heading3"/>
      </w:pPr>
      <w:r>
        <w:t>Description</w:t>
      </w:r>
    </w:p>
    <w:p>
      <w:r>
        <w:t>Same shape as Issue #15. `Sub CmdPajek_Click()` exists in `Form_LookAtStatus.vb` (would write a Pajek .net export of the status data) but no CmdPajek button is rendered on Status's form design.</w:t>
      </w:r>
    </w:p>
    <w:p>
      <w:r>
        <w:t>Note: even if the button is added, Issue #5 (the SQL/control defects in CmdPajek_Click itself) needs to be fixed first.</w:t>
      </w:r>
    </w:p>
    <w:p>
      <w:pPr>
        <w:pStyle w:val="Heading3"/>
      </w:pPr>
      <w:r>
        <w:t>Steps to reproduce</w:t>
      </w:r>
    </w:p>
    <w:p>
      <w:pPr>
        <w:pStyle w:val="ListNumber"/>
      </w:pPr>
      <w:r>
        <w:t>Open **LookAtStatus**. The export-buttons row has only GIS and Neo4j; there's no Pajek button.</w:t>
      </w:r>
    </w:p>
    <w:p>
      <w:pPr>
        <w:pStyle w:val="Heading3"/>
      </w:pPr>
      <w:r>
        <w:t>Screenshots</w:t>
      </w:r>
    </w:p>
    <w:p>
      <w:r>
        <w:drawing>
          <wp:inline xmlns:a="http://schemas.openxmlformats.org/drawingml/2006/main" xmlns:pic="http://schemas.openxmlformats.org/drawingml/2006/picture">
            <wp:extent cx="5486400" cy="3088934"/>
            <wp:docPr id="12" name="Picture 12"/>
            <wp:cNvGraphicFramePr>
              <a:graphicFrameLocks noChangeAspect="1"/>
            </wp:cNvGraphicFramePr>
            <a:graphic>
              <a:graphicData uri="http://schemas.openxmlformats.org/drawingml/2006/picture">
                <pic:pic>
                  <pic:nvPicPr>
                    <pic:cNvPr id="0" name="bug16_LookAtStatus_no_CmdPajek_annotated.png"/>
                    <pic:cNvPicPr/>
                  </pic:nvPicPr>
                  <pic:blipFill>
                    <a:blip r:embed="rId20"/>
                    <a:stretch>
                      <a:fillRect/>
                    </a:stretch>
                  </pic:blipFill>
                  <pic:spPr>
                    <a:xfrm>
                      <a:off x="0" y="0"/>
                      <a:ext cx="5486400" cy="3088934"/>
                    </a:xfrm>
                    <a:prstGeom prst="rect"/>
                  </pic:spPr>
                </pic:pic>
              </a:graphicData>
            </a:graphic>
          </wp:inline>
        </w:drawing>
      </w:r>
    </w:p>
    <w:p>
      <w:pPr>
        <w:pStyle w:val="Heading3"/>
      </w:pPr>
      <w:r>
        <w:t>Suggested fix</w:t>
      </w:r>
    </w:p>
    <w:p>
      <w:r>
        <w:t>Add a CmdPajek button to LookAtStatus's design (after fixing Issue #5).</w:t>
      </w:r>
    </w:p>
    <w:p>
      <w:pPr>
        <w:pStyle w:val="Heading2"/>
      </w:pPr>
      <w:r>
        <w:t>Issue #17 — LookAtStatus is missing its CmdGephi button</w:t>
      </w:r>
    </w:p>
    <w:p>
      <w:pPr>
        <w:pStyle w:val="Heading3"/>
      </w:pPr>
      <w:r>
        <w:t>Affected sub</w:t>
      </w:r>
    </w:p>
    <w:p>
      <w:r>
        <w:t>LookAtStatus</w:t>
      </w:r>
    </w:p>
    <w:p>
      <w:pPr>
        <w:pStyle w:val="Heading3"/>
      </w:pPr>
      <w:r>
        <w:t>Severity</w:t>
      </w:r>
    </w:p>
    <w:p>
      <w:r>
        <w:t>P3 — Missing UI</w:t>
      </w:r>
    </w:p>
    <w:p>
      <w:pPr>
        <w:pStyle w:val="Heading3"/>
      </w:pPr>
      <w:r>
        <w:t>Description</w:t>
      </w:r>
    </w:p>
    <w:p>
      <w:r>
        <w:t>`Sub CmdGephi_Click()` exists in `Form_LookAtStatus.vb` but no matching button is on the form design.</w:t>
      </w:r>
    </w:p>
    <w:p>
      <w:pPr>
        <w:pStyle w:val="Heading3"/>
      </w:pPr>
      <w:r>
        <w:t>Steps to reproduce</w:t>
      </w:r>
    </w:p>
    <w:p>
      <w:pPr>
        <w:pStyle w:val="ListNumber"/>
      </w:pPr>
      <w:r>
        <w:t>Open **LookAtStatus**. There is no Gephi export button.</w:t>
      </w:r>
    </w:p>
    <w:p>
      <w:pPr>
        <w:pStyle w:val="Heading3"/>
      </w:pPr>
      <w:r>
        <w:t>Screenshots</w:t>
      </w:r>
    </w:p>
    <w:p>
      <w:r>
        <w:drawing>
          <wp:inline xmlns:a="http://schemas.openxmlformats.org/drawingml/2006/main" xmlns:pic="http://schemas.openxmlformats.org/drawingml/2006/picture">
            <wp:extent cx="5486400" cy="3088934"/>
            <wp:docPr id="13" name="Picture 13"/>
            <wp:cNvGraphicFramePr>
              <a:graphicFrameLocks noChangeAspect="1"/>
            </wp:cNvGraphicFramePr>
            <a:graphic>
              <a:graphicData uri="http://schemas.openxmlformats.org/drawingml/2006/picture">
                <pic:pic>
                  <pic:nvPicPr>
                    <pic:cNvPr id="0" name="bug17_LookAtStatus_no_CmdGephi_annotated.png"/>
                    <pic:cNvPicPr/>
                  </pic:nvPicPr>
                  <pic:blipFill>
                    <a:blip r:embed="rId21"/>
                    <a:stretch>
                      <a:fillRect/>
                    </a:stretch>
                  </pic:blipFill>
                  <pic:spPr>
                    <a:xfrm>
                      <a:off x="0" y="0"/>
                      <a:ext cx="5486400" cy="3088934"/>
                    </a:xfrm>
                    <a:prstGeom prst="rect"/>
                  </pic:spPr>
                </pic:pic>
              </a:graphicData>
            </a:graphic>
          </wp:inline>
        </w:drawing>
      </w:r>
    </w:p>
    <w:p>
      <w:pPr>
        <w:pStyle w:val="Heading3"/>
      </w:pPr>
      <w:r>
        <w:t>Suggested fix</w:t>
      </w:r>
    </w:p>
    <w:p>
      <w:r>
        <w:t>Add a CmdGephi button to LookAtStatus's design.</w:t>
      </w:r>
    </w:p>
    <w:p>
      <w:pPr>
        <w:pStyle w:val="Heading2"/>
      </w:pPr>
      <w:r>
        <w:t>Issue #18 — LookAtStatus is missing its CmdUCINet button</w:t>
      </w:r>
    </w:p>
    <w:p>
      <w:pPr>
        <w:pStyle w:val="Heading3"/>
      </w:pPr>
      <w:r>
        <w:t>Affected sub</w:t>
      </w:r>
    </w:p>
    <w:p>
      <w:r>
        <w:t>LookAtStatus</w:t>
      </w:r>
    </w:p>
    <w:p>
      <w:pPr>
        <w:pStyle w:val="Heading3"/>
      </w:pPr>
      <w:r>
        <w:t>Severity</w:t>
      </w:r>
    </w:p>
    <w:p>
      <w:r>
        <w:t>P3 — Missing UI</w:t>
      </w:r>
    </w:p>
    <w:p>
      <w:pPr>
        <w:pStyle w:val="Heading3"/>
      </w:pPr>
      <w:r>
        <w:t>Description</w:t>
      </w:r>
    </w:p>
    <w:p>
      <w:r>
        <w:t>`Sub CmdUCINet_Click()` exists in `Form_LookAtStatus.vb` but no matching button is on the form design.</w:t>
      </w:r>
    </w:p>
    <w:p>
      <w:pPr>
        <w:pStyle w:val="Heading3"/>
      </w:pPr>
      <w:r>
        <w:t>Steps to reproduce</w:t>
      </w:r>
    </w:p>
    <w:p>
      <w:pPr>
        <w:pStyle w:val="ListNumber"/>
      </w:pPr>
      <w:r>
        <w:t>Open **LookAtStatus**. There is no UCINet export button.</w:t>
      </w:r>
    </w:p>
    <w:p>
      <w:pPr>
        <w:pStyle w:val="Heading3"/>
      </w:pPr>
      <w:r>
        <w:t>Screenshots</w:t>
      </w:r>
    </w:p>
    <w:p>
      <w:r>
        <w:drawing>
          <wp:inline xmlns:a="http://schemas.openxmlformats.org/drawingml/2006/main" xmlns:pic="http://schemas.openxmlformats.org/drawingml/2006/picture">
            <wp:extent cx="5486400" cy="3088934"/>
            <wp:docPr id="14" name="Picture 14"/>
            <wp:cNvGraphicFramePr>
              <a:graphicFrameLocks noChangeAspect="1"/>
            </wp:cNvGraphicFramePr>
            <a:graphic>
              <a:graphicData uri="http://schemas.openxmlformats.org/drawingml/2006/picture">
                <pic:pic>
                  <pic:nvPicPr>
                    <pic:cNvPr id="0" name="bug18_LookAtStatus_no_CmdUCINet_annotated.png"/>
                    <pic:cNvPicPr/>
                  </pic:nvPicPr>
                  <pic:blipFill>
                    <a:blip r:embed="rId22"/>
                    <a:stretch>
                      <a:fillRect/>
                    </a:stretch>
                  </pic:blipFill>
                  <pic:spPr>
                    <a:xfrm>
                      <a:off x="0" y="0"/>
                      <a:ext cx="5486400" cy="3088934"/>
                    </a:xfrm>
                    <a:prstGeom prst="rect"/>
                  </pic:spPr>
                </pic:pic>
              </a:graphicData>
            </a:graphic>
          </wp:inline>
        </w:drawing>
      </w:r>
    </w:p>
    <w:p>
      <w:pPr>
        <w:pStyle w:val="Heading3"/>
      </w:pPr>
      <w:r>
        <w:t>Suggested fix</w:t>
      </w:r>
    </w:p>
    <w:p>
      <w:r>
        <w:t>Add a CmdUCINet button to LookAtStatus's design.</w:t>
      </w:r>
    </w:p>
    <w:p>
      <w:pPr>
        <w:pStyle w:val="Heading2"/>
      </w:pPr>
      <w:r>
        <w:t>Issue #19 — LookAtOffice is missing its CmdGUESS button</w:t>
      </w:r>
    </w:p>
    <w:p>
      <w:pPr>
        <w:pStyle w:val="Heading3"/>
      </w:pPr>
      <w:r>
        <w:t>Affected sub</w:t>
      </w:r>
    </w:p>
    <w:p>
      <w:r>
        <w:t>LookAtOffice</w:t>
      </w:r>
    </w:p>
    <w:p>
      <w:pPr>
        <w:pStyle w:val="Heading3"/>
      </w:pPr>
      <w:r>
        <w:t>Severity</w:t>
      </w:r>
    </w:p>
    <w:p>
      <w:r>
        <w:t>P3 — Missing UI</w:t>
      </w:r>
    </w:p>
    <w:p>
      <w:pPr>
        <w:pStyle w:val="Heading3"/>
      </w:pPr>
      <w:r>
        <w:t>Description</w:t>
      </w:r>
    </w:p>
    <w:p>
      <w:r>
        <w:t>`Sub CmdGUESS_Click()` exists in `Form_LookAtOffice.vb` but no CmdGUESS button is on the form design. Users on Office can use GIS / GISPeople / Neo4j export but not GUESS.</w:t>
      </w:r>
    </w:p>
    <w:p>
      <w:pPr>
        <w:pStyle w:val="Heading3"/>
      </w:pPr>
      <w:r>
        <w:t>Steps to reproduce</w:t>
      </w:r>
    </w:p>
    <w:p>
      <w:pPr>
        <w:pStyle w:val="ListNumber"/>
      </w:pPr>
      <w:r>
        <w:t>Open **LookAtOffice**. There is no GUESS export button.</w:t>
      </w:r>
    </w:p>
    <w:p>
      <w:pPr>
        <w:pStyle w:val="Heading3"/>
      </w:pPr>
      <w:r>
        <w:t>Screenshots</w:t>
      </w:r>
    </w:p>
    <w:p>
      <w:r>
        <w:drawing>
          <wp:inline xmlns:a="http://schemas.openxmlformats.org/drawingml/2006/main" xmlns:pic="http://schemas.openxmlformats.org/drawingml/2006/picture">
            <wp:extent cx="5486400" cy="3088934"/>
            <wp:docPr id="15" name="Picture 15"/>
            <wp:cNvGraphicFramePr>
              <a:graphicFrameLocks noChangeAspect="1"/>
            </wp:cNvGraphicFramePr>
            <a:graphic>
              <a:graphicData uri="http://schemas.openxmlformats.org/drawingml/2006/picture">
                <pic:pic>
                  <pic:nvPicPr>
                    <pic:cNvPr id="0" name="bug19_LookAtOffice_no_CmdGUESS_annotated.png"/>
                    <pic:cNvPicPr/>
                  </pic:nvPicPr>
                  <pic:blipFill>
                    <a:blip r:embed="rId23"/>
                    <a:stretch>
                      <a:fillRect/>
                    </a:stretch>
                  </pic:blipFill>
                  <pic:spPr>
                    <a:xfrm>
                      <a:off x="0" y="0"/>
                      <a:ext cx="5486400" cy="3088934"/>
                    </a:xfrm>
                    <a:prstGeom prst="rect"/>
                  </pic:spPr>
                </pic:pic>
              </a:graphicData>
            </a:graphic>
          </wp:inline>
        </w:drawing>
      </w:r>
    </w:p>
    <w:p>
      <w:pPr>
        <w:pStyle w:val="Heading3"/>
      </w:pPr>
      <w:r>
        <w:t>Suggested fix</w:t>
      </w:r>
    </w:p>
    <w:p>
      <w:r>
        <w:t>Add a CmdGUESS button to LookAtOffice's design.</w:t>
      </w:r>
    </w:p>
    <w:p>
      <w:pPr>
        <w:pStyle w:val="Heading1"/>
      </w:pPr>
      <w:r>
        <w:t>P4 — Setup</w:t>
      </w:r>
    </w:p>
    <w:p>
      <w:pPr>
        <w:pStyle w:val="Heading2"/>
      </w:pPr>
      <w:r>
        <w:t>Issue #2 — VBA project references the legacy dao360.dll which isn't on Office 2016+ machines</w:t>
      </w:r>
    </w:p>
    <w:p>
      <w:pPr>
        <w:pStyle w:val="Heading3"/>
      </w:pPr>
      <w:r>
        <w:t>Affected sub</w:t>
      </w:r>
    </w:p>
    <w:p>
      <w:r>
        <w:t>VBE Project References</w:t>
      </w:r>
    </w:p>
    <w:p>
      <w:pPr>
        <w:pStyle w:val="Heading3"/>
      </w:pPr>
      <w:r>
        <w:t>Severity</w:t>
      </w:r>
    </w:p>
    <w:p>
      <w:r>
        <w:t>P4 — One-time setup hurdle on each new machine</w:t>
      </w:r>
    </w:p>
    <w:p>
      <w:pPr>
        <w:pStyle w:val="Heading3"/>
      </w:pPr>
      <w:r>
        <w:t>Description</w:t>
      </w:r>
    </w:p>
    <w:p>
      <w:r>
        <w:t>The shipped .mdb's VBA project carries a hard reference to `C:\Program Files\Common Files\Microsoft Shared\DAO\dao360.dll`, which was the DAO 3.6 location used by Access 2003. Modern Office (2016 onward) ships `ACEDAO.DLL` instead and does NOT install the legacy DLL. On any clean modern machine, the first attempt to open any LookAt form raises 'Can't find project or library', which is opaque and scary to end users.</w:t>
      </w:r>
    </w:p>
    <w:p>
      <w:r>
        <w:t>Severity is low because it's a one-time fix per machine, but every new install hits it.</w:t>
      </w:r>
    </w:p>
    <w:p>
      <w:pPr>
        <w:pStyle w:val="Heading3"/>
      </w:pPr>
      <w:r>
        <w:t>Steps to reproduce</w:t>
      </w:r>
    </w:p>
    <w:p>
      <w:pPr>
        <w:pStyle w:val="ListNumber"/>
      </w:pPr>
      <w:r>
        <w:t>Install `CBDB_BJ_User.mdb` on a fresh modern Office machine.</w:t>
      </w:r>
    </w:p>
    <w:p>
      <w:pPr>
        <w:pStyle w:val="ListNumber"/>
      </w:pPr>
      <w:r>
        <w:t>Open the file. Press Alt+F11 to enter the VBE.</w:t>
      </w:r>
    </w:p>
    <w:p>
      <w:pPr>
        <w:pStyle w:val="ListNumber"/>
      </w:pPr>
      <w:r>
        <w:t>Tools → References. Notice an entry marked `MISSING: dao360.dll`.</w:t>
      </w:r>
    </w:p>
    <w:p>
      <w:pPr>
        <w:pStyle w:val="ListNumber"/>
      </w:pPr>
      <w:r>
        <w:t>Open any LookAt form. A 'Can't find project or library' error appears.</w:t>
      </w:r>
    </w:p>
    <w:p>
      <w:pPr>
        <w:pStyle w:val="Heading3"/>
      </w:pPr>
      <w:r>
        <w:t>Suggested fix</w:t>
      </w:r>
    </w:p>
    <w:p>
      <w:r>
        <w:t>Once, on the maintainer's machine, do:</w:t>
        <w:br/>
        <w:t xml:space="preserve">  1. Open the .mdb in Access. Press Alt+F11.</w:t>
        <w:br/>
        <w:t xml:space="preserve">  2. Tools → References. Untick the MISSING dao360.dll entry.</w:t>
        <w:br/>
        <w:t xml:space="preserve">  3. Tick `Microsoft Office 16.0 Access Database Engine Object Library` (i.e. ACEDAO.DLL).</w:t>
        <w:br/>
        <w:t xml:space="preserve">  4. Save the .mdb.</w:t>
      </w:r>
    </w:p>
    <w:p>
      <w:r>
        <w:t>Then re-distribute the fixed file. Future end users won't need to do anything.</w:t>
      </w:r>
    </w:p>
    <w:p>
      <w:pPr>
        <w:pStyle w:val="Heading1"/>
      </w:pPr>
      <w:r>
        <w:t>P5 — Dormant / latent / not currently reproducible</w:t>
      </w:r>
    </w:p>
    <w:p>
      <w:r>
        <w:rPr>
          <w:i/>
        </w:rPr>
        <w:t>Items in this tier are kept as historical / latent record.  They fall into three categories: (a) DORMANT — current source data doesn't trigger the symptom; (b) NOT CURRENTLY REPRODUCIBLE — the symptom no longer surfaces even though the suspect code is still present (we have NOT confirmed an upstream source-level fix; the cause could be a JET / Office behaviour change, a fixture / driver change on our side, or the original diagnosis was a false positive); (c) LATENT — the source-code defect is real, but the user can't reach it because another issue (e.g. a missing UI button) blocks the path. None of these are user-facing today; **none have been verified as fixed upstream** — please consult before treating any of them as either urgent or closed.</w:t>
      </w:r>
    </w:p>
    <w:p>
      <w:pPr>
        <w:pStyle w:val="Heading2"/>
      </w:pPr>
      <w:r>
        <w:t>Issue #1 — View_StatusData would display last-year range in the first-year column — DORMANT (no source rows trigger it on this dump)</w:t>
      </w:r>
    </w:p>
    <w:p>
      <w:pPr>
        <w:pStyle w:val="Heading3"/>
      </w:pPr>
      <w:r>
        <w:t>Affected sub</w:t>
      </w:r>
    </w:p>
    <w:p>
      <w:r>
        <w:t>View_StatusData</w:t>
      </w:r>
    </w:p>
    <w:p>
      <w:pPr>
        <w:pStyle w:val="Heading3"/>
      </w:pPr>
      <w:r>
        <w:t>Severity</w:t>
      </w:r>
    </w:p>
    <w:p>
      <w:r>
        <w:t>P5 — Dormant on this dump (would be P0 if any STATUS_DATA row had both fy/ly range codes set differently)</w:t>
      </w:r>
    </w:p>
    <w:p>
      <w:pPr>
        <w:pStyle w:val="Heading3"/>
      </w:pPr>
      <w:r>
        <w:t>Description</w:t>
      </w:r>
    </w:p>
    <w:p>
      <w:r>
        <w:t>The saved query `View_StatusData` joins `YEAR_RANGE_CODES` twice (once aliased as `YEAR_RANGE_CODES_1` for the last-year range), but the SELECT list pulls every range field from the _1 alias. As a result, every status row displayed in the Status sub-datasheet shows the last-year range value in the first-year range column.</w:t>
      </w:r>
    </w:p>
    <w:p>
      <w:pPr>
        <w:pStyle w:val="Heading3"/>
      </w:pPr>
      <w:r>
        <w:t>Steps to reproduce</w:t>
      </w:r>
    </w:p>
    <w:p>
      <w:r>
        <w:rPr>
          <w:b/>
        </w:rPr>
        <w:t>⚠ Currently UI-dormant on this data snapshot — see note below</w:t>
      </w:r>
    </w:p>
    <w:p>
      <w:r>
        <w:t>On this data snapshot the bug is **DORMANT** — STATUS_DATA has 70,761 rows, but only 13 have c_fy_range &gt; 0 and 0 have c_ly_range &gt; 0; 0 have both populated AND different. So no person currently surfaces the alias swap through the UI.  The SQL bug still exists; the moment a future data refresh adds a STATUS_DATA row with both fy/ly range codes set differently, the corresponding sub-datasheet line will display the wrong text.  To verify the bug today, run the SQL directly:</w:t>
        <w:br/>
        <w:t xml:space="preserve">  SELECT c_personid, c_fy_range, c_fy_range_desc, c_ly_range, c_ly_range_desc FROM View_StatusData WHERE c_fy_range &gt; 0 OR c_ly_range &gt; 0;</w:t>
      </w:r>
    </w:p>
    <w:p>
      <w:pPr>
        <w:pStyle w:val="ListNumber"/>
      </w:pPr>
      <w:r>
        <w:t>Because no STATUS_DATA row in the current dump has both c_fy_range AND c_ly_range populated, this bug cannot be demonstrated through the UI today.  Verify it directly in SQL instead:</w:t>
      </w:r>
    </w:p>
    <w:p>
      <w:pPr>
        <w:pStyle w:val="ListNumber"/>
      </w:pPr>
      <w:r>
        <w:t>Open the .mdb in Access.  Press F11 to show the navigation pane, then double-click query **View_StatusData**.</w:t>
      </w:r>
    </w:p>
    <w:p>
      <w:pPr>
        <w:pStyle w:val="ListNumber"/>
      </w:pPr>
      <w:r>
        <w:t>Inspect the SELECT clause: every `c_fy_range_*` alias is pulled from `YEAR_RANGE_CODES_1`, but the FROM clause joins that alias on the LAST-year range.  That's the swap.</w:t>
      </w:r>
    </w:p>
    <w:p>
      <w:pPr>
        <w:pStyle w:val="ListNumber"/>
      </w:pPr>
      <w:r>
        <w:t>(Optional) Run `SELECT TOP 100 c_personid, c_fy_range, c_fy_range_desc, c_ly_range, c_ly_range_desc FROM View_StatusData WHERE c_fy_range &gt; 0 OR c_ly_range &gt; 0` in the Access query window — once a future data refresh populates both fields differently, every such row will display the wrong first-year text.</w:t>
      </w:r>
    </w:p>
    <w:p>
      <w:pPr>
        <w:pStyle w:val="Heading3"/>
      </w:pPr>
      <w:r>
        <w:t>Suggested fix</w:t>
      </w:r>
    </w:p>
    <w:p>
      <w:r>
        <w:t>In `View_StatusData` change `YEAR_RANGE_CODES_1.c_range AS c_fy_range_desc` and `YEAR_RANGE_CODES_1.c_range_chn AS c_fy_range_chn` to use the un-aliased `YEAR_RANGE_CODES.*` fields (which the FROM clause already joins on `c_fy_range`).</w:t>
      </w:r>
    </w:p>
    <w:p>
      <w:pPr>
        <w:pStyle w:val="Heading2"/>
      </w:pPr>
      <w:r>
        <w:t>Issue #4 — LookAtPlace.CmdGIS would abort with 'Object required' — LATENT, masked by Issue #15 (no CmdGIS button on the form)</w:t>
      </w:r>
    </w:p>
    <w:p>
      <w:pPr>
        <w:pStyle w:val="Heading3"/>
      </w:pPr>
      <w:r>
        <w:t>Affected sub</w:t>
      </w:r>
    </w:p>
    <w:p>
      <w:r>
        <w:t>Form_LookAtPlace.CmdGIS_Click</w:t>
      </w:r>
    </w:p>
    <w:p>
      <w:pPr>
        <w:pStyle w:val="Heading3"/>
      </w:pPr>
      <w:r>
        <w:t>Severity</w:t>
      </w:r>
    </w:p>
    <w:p>
      <w:r>
        <w:t>P5 — Latent (would be P1 if Issue #15 fixed without first fixing this)</w:t>
      </w:r>
    </w:p>
    <w:p>
      <w:pPr>
        <w:pStyle w:val="Heading3"/>
      </w:pPr>
      <w:r>
        <w:t>Description</w:t>
      </w:r>
    </w:p>
    <w:p>
      <w:r>
        <w:t>Note: this issue is moot in the current dump because there is no CmdGIS button on LookAtPlace's design (Issue #15) — users physically cannot click it. But the underlying VBA problem remains: line 1539 of `Form_LookAtPlace.vb` reads `If GISFrame.Value = 1 Then`, and there is no control named `GISFrame` on this form (the actual encoding control is `CodeFrame`). If the missing button is ever re-added (Issue #15) without first fixing this line, every click will throw.</w:t>
      </w:r>
    </w:p>
    <w:p>
      <w:pPr>
        <w:pStyle w:val="Heading3"/>
      </w:pPr>
      <w:r>
        <w:t>Steps to reproduce</w:t>
      </w:r>
    </w:p>
    <w:p>
      <w:pPr>
        <w:pStyle w:val="ListNumber"/>
      </w:pPr>
      <w:r>
        <w:t>(Hypothetical, after Issue #15 is fixed.) Open **LookAtPlace**.</w:t>
      </w:r>
    </w:p>
    <w:p>
      <w:pPr>
        <w:pStyle w:val="ListNumber"/>
      </w:pPr>
      <w:r>
        <w:t>Run any query.</w:t>
      </w:r>
    </w:p>
    <w:p>
      <w:pPr>
        <w:pStyle w:val="ListNumber"/>
      </w:pPr>
      <w:r>
        <w:t>Click the GIS button.</w:t>
      </w:r>
    </w:p>
    <w:p>
      <w:pPr>
        <w:pStyle w:val="ListNumber"/>
      </w:pPr>
      <w:r>
        <w:t>A `Run-time error 424 — Object required` popup appears, the export does nothing.</w:t>
      </w:r>
    </w:p>
    <w:p>
      <w:pPr>
        <w:pStyle w:val="Heading3"/>
      </w:pPr>
      <w:r>
        <w:t>Screenshots</w:t>
      </w:r>
    </w:p>
    <w:p>
      <w:r>
        <w:drawing>
          <wp:inline xmlns:a="http://schemas.openxmlformats.org/drawingml/2006/main" xmlns:pic="http://schemas.openxmlformats.org/drawingml/2006/picture">
            <wp:extent cx="5486400" cy="2969911"/>
            <wp:docPr id="16" name="Picture 16"/>
            <wp:cNvGraphicFramePr>
              <a:graphicFrameLocks noChangeAspect="1"/>
            </wp:cNvGraphicFramePr>
            <a:graphic>
              <a:graphicData uri="http://schemas.openxmlformats.org/drawingml/2006/picture">
                <pic:pic>
                  <pic:nvPicPr>
                    <pic:cNvPr id="0" name="bug4_step3_faux_popup.png"/>
                    <pic:cNvPicPr/>
                  </pic:nvPicPr>
                  <pic:blipFill>
                    <a:blip r:embed="rId24"/>
                    <a:stretch>
                      <a:fillRect/>
                    </a:stretch>
                  </pic:blipFill>
                  <pic:spPr>
                    <a:xfrm>
                      <a:off x="0" y="0"/>
                      <a:ext cx="5486400" cy="2969911"/>
                    </a:xfrm>
                    <a:prstGeom prst="rect"/>
                  </pic:spPr>
                </pic:pic>
              </a:graphicData>
            </a:graphic>
          </wp:inline>
        </w:drawing>
      </w:r>
    </w:p>
    <w:p>
      <w:pPr>
        <w:jc w:val="center"/>
      </w:pPr>
      <w:r>
        <w:rPr>
          <w:i/>
          <w:sz w:val="18"/>
        </w:rPr>
        <w:t>**Hypothetical** popup, reconstructed in PIL.  Users currently CAN'T trigger this — Bug #15 means the CmdGIS button does not exist on LookAtPlace, so the click that would fire `CmdGIS_Click` (and produce this 'Object required' error) has nowhere to come from.  This image shows what the user would see if a future change restored the CmdGIS button without first fixing the GISFrame → CodeFrame typo on line 1539.  The earlier bug4 step1 / step2 runtime screenshots were misleading (their annotations implied a clickable GIS button) and were removed in PR C — only this faux popup is kept as latent-state evidence.</w:t>
      </w:r>
    </w:p>
    <w:p>
      <w:pPr>
        <w:pStyle w:val="Heading3"/>
      </w:pPr>
      <w:r>
        <w:t>Suggested fix</w:t>
      </w:r>
    </w:p>
    <w:p>
      <w:r>
        <w:t>Change `GISFrame.Value` to `CodeFrame.Value` on line 1539 of `Form_LookAtPlace.vb`. Same change `CmdNeo4j_Click`, `CmdGephi_Click`, and `CmdPajek_Click` on the same form already use correctly.</w:t>
      </w:r>
    </w:p>
    <w:p>
      <w:pPr>
        <w:pStyle w:val="Heading2"/>
      </w:pPr>
      <w:r>
        <w:t>Issue #5 — LookAtStatus.CmdPajek references a missing control AND uses three columns that don't exist</w:t>
      </w:r>
    </w:p>
    <w:p>
      <w:pPr>
        <w:pStyle w:val="Heading3"/>
      </w:pPr>
      <w:r>
        <w:t>Affected sub</w:t>
      </w:r>
    </w:p>
    <w:p>
      <w:r>
        <w:t>Form_LookAtStatus.CmdPajek_Click</w:t>
      </w:r>
    </w:p>
    <w:p>
      <w:pPr>
        <w:pStyle w:val="Heading3"/>
      </w:pPr>
      <w:r>
        <w:t>Severity</w:t>
      </w:r>
    </w:p>
    <w:p>
      <w:r>
        <w:t>P5 — Latent (would be P1 if Issue #16 fixed without first fixing this)</w:t>
      </w:r>
    </w:p>
    <w:p>
      <w:pPr>
        <w:pStyle w:val="Heading3"/>
      </w:pPr>
      <w:r>
        <w:t>Description</w:t>
      </w:r>
    </w:p>
    <w:p>
      <w:r>
        <w:t>Two related defects in the same handler:</w:t>
      </w:r>
    </w:p>
    <w:p>
      <w:r>
        <w:t xml:space="preserve">  (a) Line 2308 reads `If ChkIDs.Value Then`, but Status has no control named `ChkIDs` — only `ChkXYRef`, `ChkKML`, and `ChkSubUnits`.</w:t>
      </w:r>
    </w:p>
    <w:p>
      <w:r>
        <w:t xml:space="preserve">  (b) Lines 2335–2338 build a SELECT that references `ZZ_SCRATCH_STATUS.c_person_id`, `c_status_id`, and `c_status_count` — none of which exist in the schema (the real columns are `c_personid`, `c_status_code`, no count column at all).</w:t>
      </w:r>
    </w:p>
    <w:p>
      <w:r>
        <w:t>The whole sub looks copy-pasted from `LookAtAssociations.CmdPajek_Click` where these names ARE valid; the rename pass missed both spots. Like Issue #4 this is also somewhat moot because LookAtStatus has no Pajek button (Issue #16); the SQL still fails the moment the sub is invoked though, so adding the button without fixing the SQL would just expose the failure to users.</w:t>
      </w:r>
    </w:p>
    <w:p>
      <w:pPr>
        <w:pStyle w:val="Heading3"/>
      </w:pPr>
      <w:r>
        <w:t>Steps to reproduce</w:t>
      </w:r>
    </w:p>
    <w:p>
      <w:pPr>
        <w:pStyle w:val="ListNumber"/>
      </w:pPr>
      <w:r>
        <w:t>(Hypothetical, after Issue #16 is fixed.) Open **LookAtStatus**.</w:t>
      </w:r>
    </w:p>
    <w:p>
      <w:pPr>
        <w:pStyle w:val="ListNumber"/>
      </w:pPr>
      <w:r>
        <w:t>Run a query, then click the Pajek button.</w:t>
      </w:r>
    </w:p>
    <w:p>
      <w:pPr>
        <w:pStyle w:val="ListNumber"/>
      </w:pPr>
      <w:r>
        <w:t>First: an `Object required` popup appears (the ChkIDs reference).</w:t>
      </w:r>
    </w:p>
    <w:p>
      <w:pPr>
        <w:pStyle w:val="ListNumber"/>
      </w:pPr>
      <w:r>
        <w:t>If that's worked around, the next click hits the SQL: a `No such field` error from the SELECT that references three non-existent columns.</w:t>
      </w:r>
    </w:p>
    <w:p>
      <w:pPr>
        <w:pStyle w:val="Heading3"/>
      </w:pPr>
      <w:r>
        <w:t>Suggested fix</w:t>
      </w:r>
    </w:p>
    <w:p>
      <w:r>
        <w:t>Two fixes:</w:t>
        <w:br/>
        <w:t xml:space="preserve">  (a) Replace `ChkIDs.Value` with either a constant `False` (if the optional behaviour isn't needed) or add a real ChkIDs control to LookAtStatus's design.</w:t>
        <w:br/>
        <w:t xml:space="preserve">  (b) Rewrite the SELECT to use `ZZ_SCRATCH_STATUS.c_personid` and `ZZ_SCRATCH_STATUS.c_status_code`, and either drop the count aggregate or compute it some other way (the source table doesn't have `c_status_count`).</w:t>
      </w:r>
    </w:p>
    <w:p>
      <w:r>
        <w:t>Realistically the whole sub probably needs a thoughtful rewrite rather than spot fixes — it was clearly inherited from another form without verification.</w:t>
      </w:r>
    </w:p>
    <w:p>
      <w:pPr>
        <w:pStyle w:val="Heading2"/>
      </w:pPr>
      <w:r>
        <w:t>Issue #14 — KIN_DATA Subform's CmdPickKinRel calls a missing picker (frmPickKINSHIP_CODES) — but the host sub-form is currently an orphan (LATENT)</w:t>
      </w:r>
    </w:p>
    <w:p>
      <w:pPr>
        <w:pStyle w:val="Heading3"/>
      </w:pPr>
      <w:r>
        <w:t>Affected sub</w:t>
      </w:r>
    </w:p>
    <w:p>
      <w:r>
        <w:t>Form_KIN_DATA_Subform</w:t>
      </w:r>
    </w:p>
    <w:p>
      <w:pPr>
        <w:pStyle w:val="Heading3"/>
      </w:pPr>
      <w:r>
        <w:t>Severity</w:t>
      </w:r>
    </w:p>
    <w:p>
      <w:r>
        <w:t>P5 — Latent (would be P1 if `KIN_DATA Subform` were re-embedded somewhere users can reach)</w:t>
      </w:r>
    </w:p>
    <w:p>
      <w:pPr>
        <w:pStyle w:val="Heading3"/>
      </w:pPr>
      <w:r>
        <w:t>Description</w:t>
      </w:r>
    </w:p>
    <w:p>
      <w:r>
        <w:t>**Static defect is real, runtime trigger is not currently reachable.** The Sub `CmdPickKinRel_Click` in `Form_KIN_DATA_Subform` (line 52) calls `DoCmd.OpenForm "frmPickKINSHIP_CODES"` and references `Forms!frmPickKINSHIP_CODES!frmKINSHIP_CODES.Form!c_kincode`. Neither form exists in the current .mdb — same shape as Issue #13.</w:t>
      </w:r>
    </w:p>
    <w:p>
      <w:r>
        <w:t>**Why LATENT.** The host sub-form `KIN_DATA Subform` (which owns the `CmdPickKinRel` button) is not contained by any active form in the current `control_inventory.json`. `BIOG_MAIN_2_Subform` (the kinship surface users actually navigate to via CBDB_Browser_2) embeds `KIN_DATA_2 Subform` instead — and that variant has no `CmdPickKinRel` button (its 15 controls are all read-only fields). The only place the embedding still appears is `Form__TMPCLP487951` (a design-time backup snapshot, not a navigable form).</w:t>
      </w:r>
    </w:p>
    <w:p>
      <w:r>
        <w:t>Because no user-facing navigation reaches the picker button, users cannot trigger the popup from normal use. The latent code path will resurface the moment a developer re-embeds `KIN_DATA Subform` somewhere reachable, so the underlying fix is still worth applying.</w:t>
      </w:r>
    </w:p>
    <w:p>
      <w:pPr>
        <w:pStyle w:val="Heading3"/>
      </w:pPr>
      <w:r>
        <w:t>Steps to reproduce</w:t>
      </w:r>
    </w:p>
    <w:p>
      <w:r>
        <w:rPr>
          <w:b/>
        </w:rPr>
        <w:t>Recommended demo person: c_personid=1 (安惇, An Dun)</w:t>
      </w:r>
    </w:p>
    <w:p>
      <w:r>
        <w:t>Open person 1 (安惇, An Dun). The KIN_DATA sub-datasheet shows 5 kinship row(s) — click any one's kinship-code picker to trigger the broken Sub.</w:t>
      </w:r>
      <w:r>
        <w:rPr>
          <w:i/>
        </w:rPr>
        <w:t xml:space="preserve"> — picked by `reports/probe_demo_persons.py`; a SQL probe selected this person because their row counts genuinely satisfy the precondition the bug needs.</w:t>
      </w:r>
    </w:p>
    <w:p>
      <w:pPr>
        <w:pStyle w:val="ListNumber"/>
      </w:pPr>
      <w:r>
        <w:t>Verification path is **static-only** — the runtime click cannot be reproduced in the current .mdb because no parent form embeds the affected sub-form.</w:t>
      </w:r>
    </w:p>
    <w:p>
      <w:pPr>
        <w:pStyle w:val="ListNumber"/>
      </w:pPr>
      <w:r>
        <w:t>Static evidence (1): open `analysis/dump/vba/Form_KIN_DATA_Subform.vb` line 52 — confirms the Sub calls `DoCmd.OpenForm "frmPickKINSHIP_CODES"`.</w:t>
      </w:r>
    </w:p>
    <w:p>
      <w:pPr>
        <w:pStyle w:val="ListNumber"/>
      </w:pPr>
      <w:r>
        <w:t>Static evidence (2): open `analysis/dump/control_inventory.json` and search for `"frmPickKINSHIP_CODES"` as a key — absent. The picker form does not exist.</w:t>
      </w:r>
    </w:p>
    <w:p>
      <w:pPr>
        <w:pStyle w:val="ListNumber"/>
      </w:pPr>
      <w:r>
        <w:t>Reachability evidence: in the same JSON, search for `"KIN_DATA Subform"` as a `source_object` or sub-form control name — only `Form__TMPCLP487951` (a design backup) references it. `BIOG_MAIN_2_Subform` embeds `KIN_DATA_2 Subform` instead, which has no `CmdPickKinRel` button.</w:t>
      </w:r>
    </w:p>
    <w:p>
      <w:pPr>
        <w:pStyle w:val="Heading3"/>
      </w:pPr>
      <w:r>
        <w:t>Suggested fix</w:t>
      </w:r>
    </w:p>
    <w:p>
      <w:r>
        <w:t>Same as Issue #13: restore the picker form (or update the caller to its replacement). Even though the runtime path is not currently reachable, the static defect should be cleaned up so it doesn't resurface when `KIN_DATA Subform` is re-embedded.</w:t>
      </w:r>
    </w:p>
    <w:p>
      <w:pPr>
        <w:pStyle w:val="Heading2"/>
      </w:pPr>
      <w:r>
        <w:t>Issue #11 — EVENTS_DATA_2's c_event_record_id control bound to a non-existent column — but the control is hidden (LATENT)</w:t>
      </w:r>
    </w:p>
    <w:p>
      <w:pPr>
        <w:pStyle w:val="Heading3"/>
      </w:pPr>
      <w:r>
        <w:t>Affected sub</w:t>
      </w:r>
    </w:p>
    <w:p>
      <w:r>
        <w:t>EVENTS_DATA_2 Subform</w:t>
      </w:r>
    </w:p>
    <w:p>
      <w:pPr>
        <w:pStyle w:val="Heading3"/>
      </w:pPr>
      <w:r>
        <w:t>Severity</w:t>
      </w:r>
    </w:p>
    <w:p>
      <w:r>
        <w:t>P5 — Latent (would be P2 if the control were ever made Visible=True or widened past its current 240-twip width)</w:t>
      </w:r>
    </w:p>
    <w:p>
      <w:pPr>
        <w:pStyle w:val="Heading3"/>
      </w:pPr>
      <w:r>
        <w:t>Description</w:t>
      </w:r>
    </w:p>
    <w:p>
      <w:r>
        <w:t>**Static defect is real, runtime symptom is not user-visible.** The EVENTS_DATA_2 sub-form has a control named `c_event_record_id` whose ControlSource is also `c_event_record_id`.  Neither EVENTS_DATA nor `View_EventsData` projects a column of that name (SQL probe confirms — `SELECT c_event_record_id FROM View_EventsData` raises `Too few parameters. Expected 1.`), so the control would render blank if shown.</w:t>
      </w:r>
    </w:p>
    <w:p>
      <w:r>
        <w:t>**Why LATENT.**  A live COM probe of the rendered form (`analysis/probe_bug_10_11_12_visibility.py`) reports the control as `Visible = False`, with width = 240 twips (~4mm) and height = 270 twips — i.e. a hidden internal control, almost certainly a leftover join-key field that was never meant to be shown.  Real users won't see a blank column because they don't see the control at all.  Reclassed from P2 to P5 on 2026-05-03.</w:t>
      </w:r>
    </w:p>
    <w:p>
      <w:pPr>
        <w:pStyle w:val="Heading3"/>
      </w:pPr>
      <w:r>
        <w:t>Steps to reproduce</w:t>
      </w:r>
    </w:p>
    <w:p>
      <w:r>
        <w:rPr>
          <w:b/>
        </w:rPr>
        <w:t>Recommended demo person: c_personid=44872 (孫才, Sun Cai)</w:t>
      </w:r>
    </w:p>
    <w:p>
      <w:r>
        <w:t>Open person 44872 (孫才, Sun Cai). The EVENTS sub-datasheet shows 1 event row(s); 1 of them have an associated address. That's where the bound controls render blank on every row.</w:t>
      </w:r>
      <w:r>
        <w:rPr>
          <w:i/>
        </w:rPr>
        <w:t xml:space="preserve"> — picked by `reports/probe_demo_persons.py`; a SQL probe selected this person because their row counts genuinely satisfy the precondition the bug needs.</w:t>
      </w:r>
    </w:p>
    <w:p>
      <w:pPr>
        <w:pStyle w:val="ListNumber"/>
      </w:pPr>
      <w:r>
        <w:t>Verification path is **static + COM probe only** — there's no UI symptom to demonstrate.</w:t>
      </w:r>
    </w:p>
    <w:p>
      <w:pPr>
        <w:pStyle w:val="ListNumber"/>
      </w:pPr>
      <w:r>
        <w:t>Static evidence: `SELECT c_event_record_id FROM View_EventsData` against the user mdb raises `Too few parameters. Expected 1.`, confirming the column is not in the projection.</w:t>
      </w:r>
    </w:p>
    <w:p>
      <w:pPr>
        <w:pStyle w:val="ListNumber"/>
      </w:pPr>
      <w:r>
        <w:t>Visibility evidence: run `python analysis/probe_bug_10_11_12_visibility.py` and look at the entry for bug #11 in `analysis/dump/bug_10_11_12_visibility.json` — `control_summary.visible` is `False` and `width` is 240 twips.</w:t>
      </w:r>
    </w:p>
    <w:p>
      <w:pPr>
        <w:pStyle w:val="Heading3"/>
      </w:pPr>
      <w:r>
        <w:t>Suggested fix</w:t>
      </w:r>
    </w:p>
    <w:p>
      <w:r>
        <w:t>If the hidden control isn't needed, delete it.  If it's intentionally a hidden join-key holder, change its ControlSource to a real column (e.g. `c_event_code`) so it doesn't carry a stale binding.  Either way, the change is invisible to users; this is code-hygiene only.</w:t>
      </w:r>
    </w:p>
    <w:p>
      <w:pPr>
        <w:pStyle w:val="Heading2"/>
      </w:pPr>
      <w:r>
        <w:t>Issue #12 — POSTED_TO_OFFICE_DATA_2's c_appt_type_code control bound to a non-projected column — but the control is hidden AND the user-facing appointment-type controls work (LATENT)</w:t>
      </w:r>
    </w:p>
    <w:p>
      <w:pPr>
        <w:pStyle w:val="Heading3"/>
      </w:pPr>
      <w:r>
        <w:t>Affected sub</w:t>
      </w:r>
    </w:p>
    <w:p>
      <w:r>
        <w:t>POSTED_TO_OFFICE_DATA_2 Subform</w:t>
      </w:r>
    </w:p>
    <w:p>
      <w:pPr>
        <w:pStyle w:val="Heading3"/>
      </w:pPr>
      <w:r>
        <w:t>Severity</w:t>
      </w:r>
    </w:p>
    <w:p>
      <w:r>
        <w:t>P5 — Latent (would be P2 if the control were ever made Visible=True or widened past its current 180-twip width)</w:t>
      </w:r>
    </w:p>
    <w:p>
      <w:pPr>
        <w:pStyle w:val="Heading3"/>
      </w:pPr>
      <w:r>
        <w:t>Description</w:t>
      </w:r>
    </w:p>
    <w:p>
      <w:r>
        <w:t>**Static defect is real, runtime symptom is not user-visible.** The hidden internal control `c_appt_type_code` on POSTED_TO_OFFICE_DATA_2 has ControlSource `c_appt_type_code`, which `View_PostingOfficeData` doesn't project (SQL probe: raises `Too few parameters. Expected 1.`).</w:t>
      </w:r>
    </w:p>
    <w:p>
      <w:r>
        <w:t>**Why LATENT.**  Two reasons:</w:t>
      </w:r>
    </w:p>
    <w:p>
      <w:r>
        <w:t>1. The COM probe (`analysis/probe_bug_10_11_12_visibility.py`) reports the control as `Visible = False`, with width = 180 twips (~3mm) and height = 330 twips — a hidden internal control, almost certainly a join-key holder.</w:t>
        <w:br/>
        <w:t>2. The **user-facing** appointment-type controls on the same sub-form are `TxtApptType` (bound to `c_appt_desc`) and `TxtApptTypeChn` (bound to `c_appt_desc_chn`).  Both of those columns ARE in `View_PostingOfficeData`'s projection — SQL probe shows they return real values (e.g. `'Regular Appointment'` / `'正授'`).  So the appointment type IS displayed correctly on the Postings sub-tab; only the hidden `c_appt_type_code` control is broken.</w:t>
      </w:r>
    </w:p>
    <w:p>
      <w:r>
        <w:t>Reclassed from P2 to P5 on 2026-05-03 — the original P2 claim that 'the appointment-type column is blank on every row' was wrong; the user-facing appointment-type column works fine.</w:t>
      </w:r>
    </w:p>
    <w:p>
      <w:pPr>
        <w:pStyle w:val="Heading3"/>
      </w:pPr>
      <w:r>
        <w:t>Steps to reproduce</w:t>
      </w:r>
    </w:p>
    <w:p>
      <w:r>
        <w:rPr>
          <w:b/>
        </w:rPr>
        <w:t>Recommended demo person: c_personid=2 (安邡, An Fang)</w:t>
      </w:r>
    </w:p>
    <w:p>
      <w:r>
        <w:t>Open person 2 (安邡, An Fang). The POSTED-TO-OFFICE sub-datasheet shows 1 posting row(s) with non-null c_appt_code — yet the appointment-type column on every row is blank.</w:t>
      </w:r>
      <w:r>
        <w:rPr>
          <w:i/>
        </w:rPr>
        <w:t xml:space="preserve"> — picked by `reports/probe_demo_persons.py`; a SQL probe selected this person because their row counts genuinely satisfy the precondition the bug needs.</w:t>
      </w:r>
    </w:p>
    <w:p>
      <w:pPr>
        <w:pStyle w:val="ListNumber"/>
      </w:pPr>
      <w:r>
        <w:t>Verification path is **static + COM probe only** — there's no UI symptom to demonstrate.</w:t>
      </w:r>
    </w:p>
    <w:p>
      <w:pPr>
        <w:pStyle w:val="ListNumber"/>
      </w:pPr>
      <w:r>
        <w:t>Static evidence: `SELECT c_appt_type_code FROM View_PostingOfficeData` raises `Too few parameters. Expected 1.`, confirming the column is not projected.</w:t>
      </w:r>
    </w:p>
    <w:p>
      <w:pPr>
        <w:pStyle w:val="ListNumber"/>
      </w:pPr>
      <w:r>
        <w:t>Visibility evidence: run `python analysis/probe_bug_10_11_12_visibility.py` and look at the entry for bug #12 in `analysis/dump/bug_10_11_12_visibility.json` — `control_summary.visible` is `False` and width = 180 twips.</w:t>
      </w:r>
    </w:p>
    <w:p>
      <w:pPr>
        <w:pStyle w:val="ListNumber"/>
      </w:pPr>
      <w:r>
        <w:t>Counter-evidence (what users actually see works fine): `SELECT TOP 1 c_appt_desc, c_appt_desc_chn FROM View_PostingOfficeData` returns real values (e.g. `'Regular Appointment'` / `'正授'`), and those are what `TxtApptType` / `TxtApptTypeChn` (the visible controls) render.</w:t>
      </w:r>
    </w:p>
    <w:p>
      <w:pPr>
        <w:pStyle w:val="Heading3"/>
      </w:pPr>
      <w:r>
        <w:t>Suggested fix</w:t>
      </w:r>
    </w:p>
    <w:p>
      <w:r>
        <w:t>If the hidden control isn't needed, delete it.  If it's an intentional hidden join-key holder, change its ControlSource to a real column (e.g. `c_appt_code`).  Either way the change is invisible to users; this is code-hygiene only.</w:t>
      </w:r>
    </w:p>
    <w:p>
      <w:r>
        <w:br w:type="page"/>
      </w:r>
    </w:p>
    <w:p>
      <w:pPr>
        <w:pStyle w:val="Heading1"/>
      </w:pPr>
      <w:r>
        <w:t>Appendix — `c_index_year` / `c_index_addr_id` drift vs the cbdb-online-main-server snapshot (differences need per-row classification before being filed as bugs)</w:t>
      </w:r>
    </w:p>
    <w:p>
      <w:r>
        <w:t>When we compare BIOG_MAIN's `c_index_year` and `c_index_addr_id` between this User MDB and the weekly cbdb-online-main-server SQLite snapshot, a small fraction of persons disagree.</w:t>
      </w:r>
    </w:p>
    <w:p>
      <w:r>
        <w:t>**The two sides are independent implementations.** The SQLite snapshot's `c_index_year` is produced by cbdb-online-main-server's PHP `IndexYearRebuildService.php` and its `c_index_addr_id` by `IndexAddressRebuildService.php` (both at &lt;https://github.com/cbdb-project/cbdb-online-main-server&gt;); the User MDB-side: `c_index_addr_id` is rebuilt by VBA in `Form_frmIndexAddr` in the front-end mdb; `c_index_year` is rebuilt by **37 saved QueryDefs named `BM IY Rule …`** in the linked-tables backend `data/CBDB_&lt;YYYYMMDD&gt;_DATA.mdb`, driven by `frmBaseMaintenance`.  Both algorithms are now extracted and committed to the repo (`analysis/dump_data/querydefs_index/*.sql`); the form / module driver VBA still needs an interactive Access `SaveAsText` pass.  PHP is intended to mirror the VBA but they are separate code paths.  Per-row differences can come from at least four sources, and a diff alone doesn't tell us which: (1) source-data snapshot drift (the online system updates source rows continuously; the User MDB ships a point-in-time snapshot); (2) algorithm / porting divergence between PHP and VBA; (3) priority / tie-break differences when multiple candidate years apply; (4) null / default handling differences (e.g. how a missing birthyear collapses).</w:t>
      </w:r>
    </w:p>
    <w:p>
      <w:r>
        <w:t>**We have not classified the steady ~575 / 657 246 diffs we currently observe.**  The examples below are a small sample (currently 13 rows across 3 buckets, from `reports/index_drift_examples.json`) — illustrative of the *shapes* of disagreement, not statistically representative.  Please don't treat them as a verdict either way; they're a starting point for whoever does the per-row triage.</w:t>
      </w:r>
    </w:p>
    <w:p>
      <w:r>
        <w:t>Why we still keep this appendix: if the *shape* of disagreement changes between releases (e.g. addresses start diverging where only years used to, or per-rule type-code distributions shift sharply), that hints the algorithm, schema, or one of the implementations moved — a stronger signal than per-row counts alone.</w:t>
      </w:r>
    </w:p>
    <w:p>
      <w:pPr>
        <w:pStyle w:val="Heading2"/>
      </w:pPr>
      <w:r>
        <w:t>Classification summary</w:t>
      </w:r>
    </w:p>
    <w:p>
      <w:r>
        <w:t>Compared 657,245 personids common to both databases (User MDB total 657,784; SQLite total 657,478; User-only 539; SQLite-only 233).</w:t>
      </w:r>
    </w:p>
    <w:p>
      <w:r>
        <w:t xml:space="preserve">  • 656,682 (99.914%)  — exact match on all four compared fields</w:t>
      </w:r>
    </w:p>
    <w:p>
      <w:r>
        <w:t xml:space="preserve">  •       2 (0.000%)  — source drift but indices agreed (algorithms tolerated the drift)</w:t>
      </w:r>
    </w:p>
    <w:p>
      <w:r>
        <w:t xml:space="preserve">  •      14 (0.002%)  — source drift AND at least one index field differs (consistent with simple data-drift hypothesis)</w:t>
      </w:r>
    </w:p>
    <w:p>
      <w:r>
        <w:t xml:space="preserve">  •      59 (0.009%)  — c_birthyear+c_deathyear identical, only c_index_year differs — needs follow-up</w:t>
      </w:r>
    </w:p>
    <w:p>
      <w:r>
        <w:t xml:space="preserve">  •     478 (0.073%)  — c_birthyear+c_deathyear identical, only c_index_addr_id differs — needs follow-up</w:t>
      </w:r>
    </w:p>
    <w:p>
      <w:r>
        <w:t xml:space="preserve">  •      10 (0.002%)  — c_birthyear+c_deathyear identical, BOTH index fields differ — strongest signal of compound divergence, needs follow-up</w:t>
      </w:r>
    </w:p>
    <w:p>
      <w:r>
        <w:t>Net diffs: 563 of 657,245 (0.086%).  Of those, 16 are clearly attributable to source drift in birthyear/deathyear; 547 need per-row follow-up (could be PHP↔VBA divergence, or drift in evidence tables — BIOG_ADDR_DATA / ENTRY_DATA / NIAN_HAO etc. — that this classifier does not compare).  Full output: `reports/index_drift_classification.json`; algorithm pointers: `analysis/index_drift_algorithm_notes.md`.</w:t>
      </w:r>
    </w:p>
    <w:p>
      <w:pPr>
        <w:pStyle w:val="Heading2"/>
      </w:pPr>
      <w:r>
        <w:t>Year-only diffs — per-row rule classification</w:t>
      </w:r>
    </w:p>
    <w:p>
      <w:r>
        <w:t>Of the 69 year-only diffs, each row was tested against the rule-level divergences flagged in PR I (`analysis/index_year_rule_comparison.md`).  Conservative buckets (rows count once each):</w:t>
      </w:r>
    </w:p>
    <w:p>
      <w:r>
        <w:t xml:space="preserve">  •   1  php_returned_sentinel</w:t>
      </w:r>
    </w:p>
    <w:p>
      <w:r>
        <w:t xml:space="preserve">  •  19  php_did_not_compute</w:t>
      </w:r>
    </w:p>
    <w:p>
      <w:r>
        <w:t xml:space="preserve">  •   7  access_did_not_compute</w:t>
      </w:r>
    </w:p>
    <w:p>
      <w:r>
        <w:t xml:space="preserve">  •   5  iteration_order_diff</w:t>
      </w:r>
    </w:p>
    <w:p>
      <w:r>
        <w:t xml:space="preserve">  •  14  consistent_within_rule</w:t>
      </w:r>
    </w:p>
    <w:p>
      <w:r>
        <w:t xml:space="preserve">  •   5  candidate_algorithm_divergence</w:t>
      </w:r>
    </w:p>
    <w:p>
      <w:r>
        <w:t xml:space="preserve">  •  18  unclassified</w:t>
      </w:r>
    </w:p>
    <w:p>
      <w:r>
        <w:t>None of these are confirmed bugs.  Full per-row output (with the source-data evidence we used to bucket each one) is in `reports/index_year_drift_rule_classification.json`.</w:t>
      </w:r>
    </w:p>
    <w:p>
      <w:r>
        <w:t>Deeper triage (PR K2, `analysis/triage_index_year_drift_groups.py`) named the leftover buckets:</w:t>
      </w:r>
    </w:p>
    <w:p>
      <w:r>
        <w:t xml:space="preserve">  • 14 `consistent_within_rule` rows → 5 signature groups, all `candidate_same_rule_tie_break_or_aggregation_diff`.  Recurring diff=-20 across Rules 11/13/15/19 is the standout pattern.</w:t>
      </w:r>
    </w:p>
    <w:p>
      <w:r>
        <w:t xml:space="preserve">  • 18 `unclassified` rows → 18 named, 17 flagged `blocked_by_missing_frmBaseMaintenance_vba` (need Access execution-order to resolve).</w:t>
      </w:r>
    </w:p>
    <w:p>
      <w:r>
        <w:t xml:space="preserve">  • 19 `php_did_not_compute` rows → 6 groups by Access tcode; biggest is `access_tcode='05'` × 7 (`candidate_php_entry_code_mapping_gap` for jinshi).</w:t>
      </w:r>
    </w:p>
    <w:p>
      <w:r>
        <w:t>Full per-group output: `reports/index_year_drift_rule_groups.json`.</w:t>
      </w:r>
    </w:p>
    <w:p>
      <w:pPr>
        <w:pStyle w:val="Heading2"/>
      </w:pPr>
      <w:r>
        <w:t>Examples where only c_index_year disagrees</w:t>
      </w:r>
    </w:p>
    <w:p>
      <w:r>
        <w:t>Same person, same source data, but the two pipelines picked different priority rules. The User MDB's `c_index_year_type_code` and `c_index_year_source_id` differ from the snapshot's, which means each pipeline selected a different upstream evidence row when deciding 'which year is most representative for this person'.</w:t>
      </w:r>
    </w:p>
    <w:p>
      <w:pPr>
        <w:pStyle w:val="Heading3"/>
      </w:pPr>
      <w:r>
        <w:t>c_personid = 3501 — 李孝稱 (Li Xiaocheng)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1018</w:t>
            </w:r>
          </w:p>
        </w:tc>
        <w:tc>
          <w:tcPr>
            <w:tcW w:type="dxa" w:w="2880"/>
          </w:tcPr>
          <w:p>
            <w:r>
              <w:t>1028</w:t>
            </w:r>
          </w:p>
        </w:tc>
      </w:tr>
      <w:tr>
        <w:tc>
          <w:tcPr>
            <w:tcW w:type="dxa" w:w="2880"/>
          </w:tcPr>
          <w:p>
            <w:r>
              <w:t>c_index_addr_id</w:t>
            </w:r>
          </w:p>
        </w:tc>
        <w:tc>
          <w:tcPr>
            <w:tcW w:type="dxa" w:w="2880"/>
          </w:tcPr>
          <w:p>
            <w:r>
              <w:t>100658</w:t>
            </w:r>
          </w:p>
        </w:tc>
        <w:tc>
          <w:tcPr>
            <w:tcW w:type="dxa" w:w="2880"/>
          </w:tcPr>
          <w:p>
            <w:r>
              <w:t>100658</w:t>
            </w:r>
          </w:p>
        </w:tc>
      </w:tr>
      <w:tr>
        <w:tc>
          <w:tcPr>
            <w:tcW w:type="dxa" w:w="2880"/>
          </w:tcPr>
          <w:p>
            <w:r>
              <w:t>c_birthyear</w:t>
            </w:r>
          </w:p>
        </w:tc>
        <w:tc>
          <w:tcPr>
            <w:tcW w:type="dxa" w:w="2880"/>
          </w:tcPr>
          <w:p>
            <w:r>
              <w:t>0</w:t>
            </w:r>
          </w:p>
        </w:tc>
        <w:tc>
          <w:tcPr>
            <w:tcW w:type="dxa" w:w="2880"/>
          </w:tcPr>
          <w:p>
            <w:r>
              <w:t>0</w:t>
            </w:r>
          </w:p>
        </w:tc>
      </w:tr>
      <w:tr>
        <w:tc>
          <w:tcPr>
            <w:tcW w:type="dxa" w:w="2880"/>
          </w:tcPr>
          <w:p>
            <w:r>
              <w:t>c_deathyear</w:t>
            </w:r>
          </w:p>
        </w:tc>
        <w:tc>
          <w:tcPr>
            <w:tcW w:type="dxa" w:w="2880"/>
          </w:tcPr>
          <w:p>
            <w:r>
              <w:t>0</w:t>
            </w:r>
          </w:p>
        </w:tc>
        <w:tc>
          <w:tcPr>
            <w:tcW w:type="dxa" w:w="2880"/>
          </w:tcPr>
          <w:p>
            <w:r>
              <w:t>0</w:t>
            </w:r>
          </w:p>
        </w:tc>
      </w:tr>
      <w:tr>
        <w:tc>
          <w:tcPr>
            <w:tcW w:type="dxa" w:w="2880"/>
          </w:tcPr>
          <w:p>
            <w:r>
              <w:t>c_index_year_type_code</w:t>
            </w:r>
          </w:p>
        </w:tc>
        <w:tc>
          <w:tcPr>
            <w:tcW w:type="dxa" w:w="2880"/>
          </w:tcPr>
          <w:p>
            <w:r>
              <w:t>19</w:t>
            </w:r>
          </w:p>
        </w:tc>
        <w:tc>
          <w:tcPr>
            <w:tcW w:type="dxa" w:w="2880"/>
          </w:tcPr>
          <w:p>
            <w:r>
              <w:t>1912</w:t>
            </w:r>
          </w:p>
        </w:tc>
      </w:tr>
      <w:tr>
        <w:tc>
          <w:tcPr>
            <w:tcW w:type="dxa" w:w="2880"/>
          </w:tcPr>
          <w:p>
            <w:r>
              <w:t>c_index_year_source_id</w:t>
            </w:r>
          </w:p>
        </w:tc>
        <w:tc>
          <w:tcPr>
            <w:tcW w:type="dxa" w:w="2880"/>
          </w:tcPr>
          <w:p>
            <w:r>
              <w:t>19149</w:t>
            </w:r>
          </w:p>
        </w:tc>
        <w:tc>
          <w:tcPr>
            <w:tcW w:type="dxa" w:w="2880"/>
          </w:tcPr>
          <w:p>
            <w:r>
              <w:t>3479</w:t>
            </w:r>
          </w:p>
        </w:tc>
      </w:tr>
    </w:tbl>
    <w:p/>
    <w:p>
      <w:pPr>
        <w:pStyle w:val="Heading3"/>
      </w:pPr>
      <w:r>
        <w:t>c_personid = 16266 — 錢孟回 (Qian Menghui)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1004</w:t>
            </w:r>
          </w:p>
        </w:tc>
        <w:tc>
          <w:tcPr>
            <w:tcW w:type="dxa" w:w="2880"/>
          </w:tcPr>
          <w:p>
            <w:r>
              <w:t>992</w:t>
            </w:r>
          </w:p>
        </w:tc>
      </w:tr>
      <w:tr>
        <w:tc>
          <w:tcPr>
            <w:tcW w:type="dxa" w:w="2880"/>
          </w:tcPr>
          <w:p>
            <w:r>
              <w:t>c_index_addr_id</w:t>
            </w:r>
          </w:p>
        </w:tc>
        <w:tc>
          <w:tcPr>
            <w:tcW w:type="dxa" w:w="2880"/>
          </w:tcPr>
          <w:p>
            <w:r>
              <w:t>12723</w:t>
            </w:r>
          </w:p>
        </w:tc>
        <w:tc>
          <w:tcPr>
            <w:tcW w:type="dxa" w:w="2880"/>
          </w:tcPr>
          <w:p>
            <w:r>
              <w:t>12723</w:t>
            </w:r>
          </w:p>
        </w:tc>
      </w:tr>
      <w:tr>
        <w:tc>
          <w:tcPr>
            <w:tcW w:type="dxa" w:w="2880"/>
          </w:tcPr>
          <w:p>
            <w:r>
              <w:t>c_birthyear</w:t>
            </w:r>
          </w:p>
        </w:tc>
        <w:tc>
          <w:tcPr>
            <w:tcW w:type="dxa" w:w="2880"/>
          </w:tcPr>
          <w:p>
            <w:r>
              <w:t>0</w:t>
            </w:r>
          </w:p>
        </w:tc>
        <w:tc>
          <w:tcPr>
            <w:tcW w:type="dxa" w:w="2880"/>
          </w:tcPr>
          <w:p>
            <w:r>
              <w:t>0</w:t>
            </w:r>
          </w:p>
        </w:tc>
      </w:tr>
      <w:tr>
        <w:tc>
          <w:tcPr>
            <w:tcW w:type="dxa" w:w="2880"/>
          </w:tcPr>
          <w:p>
            <w:r>
              <w:t>c_deathyear</w:t>
            </w:r>
          </w:p>
        </w:tc>
        <w:tc>
          <w:tcPr>
            <w:tcW w:type="dxa" w:w="2880"/>
          </w:tcPr>
          <w:p>
            <w:r>
              <w:t>0</w:t>
            </w:r>
          </w:p>
        </w:tc>
        <w:tc>
          <w:tcPr>
            <w:tcW w:type="dxa" w:w="2880"/>
          </w:tcPr>
          <w:p>
            <w:r>
              <w:t>0</w:t>
            </w:r>
          </w:p>
        </w:tc>
      </w:tr>
      <w:tr>
        <w:tc>
          <w:tcPr>
            <w:tcW w:type="dxa" w:w="2880"/>
          </w:tcPr>
          <w:p>
            <w:r>
              <w:t>c_index_year_type_code</w:t>
            </w:r>
          </w:p>
        </w:tc>
        <w:tc>
          <w:tcPr>
            <w:tcW w:type="dxa" w:w="2880"/>
          </w:tcPr>
          <w:p>
            <w:r>
              <w:t>13</w:t>
            </w:r>
          </w:p>
        </w:tc>
        <w:tc>
          <w:tcPr>
            <w:tcW w:type="dxa" w:w="2880"/>
          </w:tcPr>
          <w:p>
            <w:r>
              <w:t>0512</w:t>
            </w:r>
          </w:p>
        </w:tc>
      </w:tr>
      <w:tr>
        <w:tc>
          <w:tcPr>
            <w:tcW w:type="dxa" w:w="2880"/>
          </w:tcPr>
          <w:p>
            <w:r>
              <w:t>c_index_year_source_id</w:t>
            </w:r>
          </w:p>
        </w:tc>
        <w:tc>
          <w:tcPr>
            <w:tcW w:type="dxa" w:w="2880"/>
          </w:tcPr>
          <w:p>
            <w:r>
              <w:t>700103</w:t>
            </w:r>
          </w:p>
        </w:tc>
        <w:tc>
          <w:tcPr>
            <w:tcW w:type="dxa" w:w="2880"/>
          </w:tcPr>
          <w:p>
            <w:r>
              <w:t>3035</w:t>
            </w:r>
          </w:p>
        </w:tc>
      </w:tr>
    </w:tbl>
    <w:p/>
    <w:p>
      <w:pPr>
        <w:pStyle w:val="Heading3"/>
      </w:pPr>
      <w:r>
        <w:t>c_personid = 16267 — 錢知雄 (Qian Zhixiong)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1034</w:t>
            </w:r>
          </w:p>
        </w:tc>
        <w:tc>
          <w:tcPr>
            <w:tcW w:type="dxa" w:w="2880"/>
          </w:tcPr>
          <w:p>
            <w:r>
              <w:t>1071</w:t>
            </w:r>
          </w:p>
        </w:tc>
      </w:tr>
      <w:tr>
        <w:tc>
          <w:tcPr>
            <w:tcW w:type="dxa" w:w="2880"/>
          </w:tcPr>
          <w:p>
            <w:r>
              <w:t>c_index_addr_id</w:t>
            </w:r>
          </w:p>
        </w:tc>
        <w:tc>
          <w:tcPr>
            <w:tcW w:type="dxa" w:w="2880"/>
          </w:tcPr>
          <w:p>
            <w:r>
              <w:t>12723</w:t>
            </w:r>
          </w:p>
        </w:tc>
        <w:tc>
          <w:tcPr>
            <w:tcW w:type="dxa" w:w="2880"/>
          </w:tcPr>
          <w:p>
            <w:r>
              <w:t>12723</w:t>
            </w:r>
          </w:p>
        </w:tc>
      </w:tr>
      <w:tr>
        <w:tc>
          <w:tcPr>
            <w:tcW w:type="dxa" w:w="2880"/>
          </w:tcPr>
          <w:p>
            <w:r>
              <w:t>c_birthyear</w:t>
            </w:r>
          </w:p>
        </w:tc>
        <w:tc>
          <w:tcPr>
            <w:tcW w:type="dxa" w:w="2880"/>
          </w:tcPr>
          <w:p>
            <w:r>
              <w:t>0</w:t>
            </w:r>
          </w:p>
        </w:tc>
        <w:tc>
          <w:tcPr>
            <w:tcW w:type="dxa" w:w="2880"/>
          </w:tcPr>
          <w:p>
            <w:r>
              <w:t>0</w:t>
            </w:r>
          </w:p>
        </w:tc>
      </w:tr>
      <w:tr>
        <w:tc>
          <w:tcPr>
            <w:tcW w:type="dxa" w:w="2880"/>
          </w:tcPr>
          <w:p>
            <w:r>
              <w:t>c_deathyear</w:t>
            </w:r>
          </w:p>
        </w:tc>
        <w:tc>
          <w:tcPr>
            <w:tcW w:type="dxa" w:w="2880"/>
          </w:tcPr>
          <w:p>
            <w:r>
              <w:t>0</w:t>
            </w:r>
          </w:p>
        </w:tc>
        <w:tc>
          <w:tcPr>
            <w:tcW w:type="dxa" w:w="2880"/>
          </w:tcPr>
          <w:p>
            <w:r>
              <w:t>0</w:t>
            </w:r>
          </w:p>
        </w:tc>
      </w:tr>
      <w:tr>
        <w:tc>
          <w:tcPr>
            <w:tcW w:type="dxa" w:w="2880"/>
          </w:tcPr>
          <w:p>
            <w:r>
              <w:t>c_index_year_type_code</w:t>
            </w:r>
          </w:p>
        </w:tc>
        <w:tc>
          <w:tcPr>
            <w:tcW w:type="dxa" w:w="2880"/>
          </w:tcPr>
          <w:p>
            <w:r>
              <w:t>1312</w:t>
            </w:r>
          </w:p>
        </w:tc>
        <w:tc>
          <w:tcPr>
            <w:tcW w:type="dxa" w:w="2880"/>
          </w:tcPr>
          <w:p>
            <w:r>
              <w:t>14</w:t>
            </w:r>
          </w:p>
        </w:tc>
      </w:tr>
      <w:tr>
        <w:tc>
          <w:tcPr>
            <w:tcW w:type="dxa" w:w="2880"/>
          </w:tcPr>
          <w:p>
            <w:r>
              <w:t>c_index_year_source_id</w:t>
            </w:r>
          </w:p>
        </w:tc>
        <w:tc>
          <w:tcPr>
            <w:tcW w:type="dxa" w:w="2880"/>
          </w:tcPr>
          <w:p>
            <w:r>
              <w:t>16266</w:t>
            </w:r>
          </w:p>
        </w:tc>
        <w:tc>
          <w:tcPr>
            <w:tcW w:type="dxa" w:w="2880"/>
          </w:tcPr>
          <w:p>
            <w:r>
              <w:t>16269</w:t>
            </w:r>
          </w:p>
        </w:tc>
      </w:tr>
    </w:tbl>
    <w:p/>
    <w:p>
      <w:pPr>
        <w:pStyle w:val="Heading2"/>
      </w:pPr>
      <w:r>
        <w:t>Examples where only c_index_addr_id disagrees</w:t>
      </w:r>
    </w:p>
    <w:p>
      <w:r>
        <w:t>Year agrees, address doesn't. Most commonly the User MDB still has an older `c_index_addr_id` choice while the snapshot has been re-classified to a finer-grained or higher-quality address (or to NULL when the evidence was downgraded). The two pipelines apply the same address-priority rules but to different snapshots of `BIOG_ADDR_DATA`.</w:t>
      </w:r>
    </w:p>
    <w:p>
      <w:pPr>
        <w:pStyle w:val="Heading3"/>
      </w:pPr>
      <w:r>
        <w:t>c_personid = 1 — 安惇 (An Dun)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1042</w:t>
            </w:r>
          </w:p>
        </w:tc>
        <w:tc>
          <w:tcPr>
            <w:tcW w:type="dxa" w:w="2880"/>
          </w:tcPr>
          <w:p>
            <w:r>
              <w:t>1042</w:t>
            </w:r>
          </w:p>
        </w:tc>
      </w:tr>
      <w:tr>
        <w:tc>
          <w:tcPr>
            <w:tcW w:type="dxa" w:w="2880"/>
          </w:tcPr>
          <w:p>
            <w:r>
              <w:t>c_index_addr_id</w:t>
            </w:r>
          </w:p>
        </w:tc>
        <w:tc>
          <w:tcPr>
            <w:tcW w:type="dxa" w:w="2880"/>
          </w:tcPr>
          <w:p>
            <w:r>
              <w:t>101117</w:t>
            </w:r>
          </w:p>
        </w:tc>
        <w:tc>
          <w:tcPr>
            <w:tcW w:type="dxa" w:w="2880"/>
          </w:tcPr>
          <w:p>
            <w:r/>
          </w:p>
        </w:tc>
      </w:tr>
      <w:tr>
        <w:tc>
          <w:tcPr>
            <w:tcW w:type="dxa" w:w="2880"/>
          </w:tcPr>
          <w:p>
            <w:r>
              <w:t>c_birthyear</w:t>
            </w:r>
          </w:p>
        </w:tc>
        <w:tc>
          <w:tcPr>
            <w:tcW w:type="dxa" w:w="2880"/>
          </w:tcPr>
          <w:p>
            <w:r>
              <w:t>1042</w:t>
            </w:r>
          </w:p>
        </w:tc>
        <w:tc>
          <w:tcPr>
            <w:tcW w:type="dxa" w:w="2880"/>
          </w:tcPr>
          <w:p>
            <w:r>
              <w:t>1042</w:t>
            </w:r>
          </w:p>
        </w:tc>
      </w:tr>
      <w:tr>
        <w:tc>
          <w:tcPr>
            <w:tcW w:type="dxa" w:w="2880"/>
          </w:tcPr>
          <w:p>
            <w:r>
              <w:t>c_deathyear</w:t>
            </w:r>
          </w:p>
        </w:tc>
        <w:tc>
          <w:tcPr>
            <w:tcW w:type="dxa" w:w="2880"/>
          </w:tcPr>
          <w:p>
            <w:r>
              <w:t>1104</w:t>
            </w:r>
          </w:p>
        </w:tc>
        <w:tc>
          <w:tcPr>
            <w:tcW w:type="dxa" w:w="2880"/>
          </w:tcPr>
          <w:p>
            <w:r>
              <w:t>1104</w:t>
            </w:r>
          </w:p>
        </w:tc>
      </w:tr>
      <w:tr>
        <w:tc>
          <w:tcPr>
            <w:tcW w:type="dxa" w:w="2880"/>
          </w:tcPr>
          <w:p>
            <w:r>
              <w:t>c_index_year_type_code</w:t>
            </w:r>
          </w:p>
        </w:tc>
        <w:tc>
          <w:tcPr>
            <w:tcW w:type="dxa" w:w="2880"/>
          </w:tcPr>
          <w:p>
            <w:r>
              <w:t>01</w:t>
            </w:r>
          </w:p>
        </w:tc>
        <w:tc>
          <w:tcPr>
            <w:tcW w:type="dxa" w:w="2880"/>
          </w:tcPr>
          <w:p>
            <w:r>
              <w:t>01</w:t>
            </w:r>
          </w:p>
        </w:tc>
      </w:tr>
      <w:tr>
        <w:tc>
          <w:tcPr>
            <w:tcW w:type="dxa" w:w="2880"/>
          </w:tcPr>
          <w:p>
            <w:r>
              <w:t>c_index_year_source_id</w:t>
            </w:r>
          </w:p>
        </w:tc>
        <w:tc>
          <w:tcPr>
            <w:tcW w:type="dxa" w:w="2880"/>
          </w:tcPr>
          <w:p>
            <w:r/>
          </w:p>
        </w:tc>
        <w:tc>
          <w:tcPr>
            <w:tcW w:type="dxa" w:w="2880"/>
          </w:tcPr>
          <w:p>
            <w:r/>
          </w:p>
        </w:tc>
      </w:tr>
    </w:tbl>
    <w:p/>
    <w:p>
      <w:pPr>
        <w:pStyle w:val="Heading3"/>
      </w:pPr>
      <w:r>
        <w:t>c_personid = 470 — 金君卿 (Jin Junqing)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1012</w:t>
            </w:r>
          </w:p>
        </w:tc>
        <w:tc>
          <w:tcPr>
            <w:tcW w:type="dxa" w:w="2880"/>
          </w:tcPr>
          <w:p>
            <w:r>
              <w:t>1012</w:t>
            </w:r>
          </w:p>
        </w:tc>
      </w:tr>
      <w:tr>
        <w:tc>
          <w:tcPr>
            <w:tcW w:type="dxa" w:w="2880"/>
          </w:tcPr>
          <w:p>
            <w:r>
              <w:t>c_index_addr_id</w:t>
            </w:r>
          </w:p>
        </w:tc>
        <w:tc>
          <w:tcPr>
            <w:tcW w:type="dxa" w:w="2880"/>
          </w:tcPr>
          <w:p>
            <w:r>
              <w:t>12879</w:t>
            </w:r>
          </w:p>
        </w:tc>
        <w:tc>
          <w:tcPr>
            <w:tcW w:type="dxa" w:w="2880"/>
          </w:tcPr>
          <w:p>
            <w:r>
              <w:t>12785</w:t>
            </w:r>
          </w:p>
        </w:tc>
      </w:tr>
      <w:tr>
        <w:tc>
          <w:tcPr>
            <w:tcW w:type="dxa" w:w="2880"/>
          </w:tcPr>
          <w:p>
            <w:r>
              <w:t>c_birthyear</w:t>
            </w:r>
          </w:p>
        </w:tc>
        <w:tc>
          <w:tcPr>
            <w:tcW w:type="dxa" w:w="2880"/>
          </w:tcPr>
          <w:p>
            <w:r>
              <w:t>0</w:t>
            </w:r>
          </w:p>
        </w:tc>
        <w:tc>
          <w:tcPr>
            <w:tcW w:type="dxa" w:w="2880"/>
          </w:tcPr>
          <w:p>
            <w:r>
              <w:t>0</w:t>
            </w:r>
          </w:p>
        </w:tc>
      </w:tr>
      <w:tr>
        <w:tc>
          <w:tcPr>
            <w:tcW w:type="dxa" w:w="2880"/>
          </w:tcPr>
          <w:p>
            <w:r>
              <w:t>c_deathyear</w:t>
            </w:r>
          </w:p>
        </w:tc>
        <w:tc>
          <w:tcPr>
            <w:tcW w:type="dxa" w:w="2880"/>
          </w:tcPr>
          <w:p>
            <w:r>
              <w:t>0</w:t>
            </w:r>
          </w:p>
        </w:tc>
        <w:tc>
          <w:tcPr>
            <w:tcW w:type="dxa" w:w="2880"/>
          </w:tcPr>
          <w:p>
            <w:r>
              <w:t>0</w:t>
            </w:r>
          </w:p>
        </w:tc>
      </w:tr>
      <w:tr>
        <w:tc>
          <w:tcPr>
            <w:tcW w:type="dxa" w:w="2880"/>
          </w:tcPr>
          <w:p>
            <w:r>
              <w:t>c_index_year_type_code</w:t>
            </w:r>
          </w:p>
        </w:tc>
        <w:tc>
          <w:tcPr>
            <w:tcW w:type="dxa" w:w="2880"/>
          </w:tcPr>
          <w:p>
            <w:r>
              <w:t>05</w:t>
            </w:r>
          </w:p>
        </w:tc>
        <w:tc>
          <w:tcPr>
            <w:tcW w:type="dxa" w:w="2880"/>
          </w:tcPr>
          <w:p>
            <w:r>
              <w:t>05</w:t>
            </w:r>
          </w:p>
        </w:tc>
      </w:tr>
      <w:tr>
        <w:tc>
          <w:tcPr>
            <w:tcW w:type="dxa" w:w="2880"/>
          </w:tcPr>
          <w:p>
            <w:r>
              <w:t>c_index_year_source_id</w:t>
            </w:r>
          </w:p>
        </w:tc>
        <w:tc>
          <w:tcPr>
            <w:tcW w:type="dxa" w:w="2880"/>
          </w:tcPr>
          <w:p>
            <w:r/>
          </w:p>
        </w:tc>
        <w:tc>
          <w:tcPr>
            <w:tcW w:type="dxa" w:w="2880"/>
          </w:tcPr>
          <w:p>
            <w:r/>
          </w:p>
        </w:tc>
      </w:tr>
    </w:tbl>
    <w:p/>
    <w:p>
      <w:pPr>
        <w:pStyle w:val="Heading3"/>
      </w:pPr>
      <w:r>
        <w:t>c_personid = 481 — 周秩 (Zhou Zhi)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1043</w:t>
            </w:r>
          </w:p>
        </w:tc>
        <w:tc>
          <w:tcPr>
            <w:tcW w:type="dxa" w:w="2880"/>
          </w:tcPr>
          <w:p>
            <w:r>
              <w:t>1043</w:t>
            </w:r>
          </w:p>
        </w:tc>
      </w:tr>
      <w:tr>
        <w:tc>
          <w:tcPr>
            <w:tcW w:type="dxa" w:w="2880"/>
          </w:tcPr>
          <w:p>
            <w:r>
              <w:t>c_index_addr_id</w:t>
            </w:r>
          </w:p>
        </w:tc>
        <w:tc>
          <w:tcPr>
            <w:tcW w:type="dxa" w:w="2880"/>
          </w:tcPr>
          <w:p>
            <w:r>
              <w:t>100416</w:t>
            </w:r>
          </w:p>
        </w:tc>
        <w:tc>
          <w:tcPr>
            <w:tcW w:type="dxa" w:w="2880"/>
          </w:tcPr>
          <w:p>
            <w:r>
              <w:t>12785</w:t>
            </w:r>
          </w:p>
        </w:tc>
      </w:tr>
      <w:tr>
        <w:tc>
          <w:tcPr>
            <w:tcW w:type="dxa" w:w="2880"/>
          </w:tcPr>
          <w:p>
            <w:r>
              <w:t>c_birthyear</w:t>
            </w:r>
          </w:p>
        </w:tc>
        <w:tc>
          <w:tcPr>
            <w:tcW w:type="dxa" w:w="2880"/>
          </w:tcPr>
          <w:p>
            <w:r>
              <w:t>0</w:t>
            </w:r>
          </w:p>
        </w:tc>
        <w:tc>
          <w:tcPr>
            <w:tcW w:type="dxa" w:w="2880"/>
          </w:tcPr>
          <w:p>
            <w:r>
              <w:t>0</w:t>
            </w:r>
          </w:p>
        </w:tc>
      </w:tr>
      <w:tr>
        <w:tc>
          <w:tcPr>
            <w:tcW w:type="dxa" w:w="2880"/>
          </w:tcPr>
          <w:p>
            <w:r>
              <w:t>c_deathyear</w:t>
            </w:r>
          </w:p>
        </w:tc>
        <w:tc>
          <w:tcPr>
            <w:tcW w:type="dxa" w:w="2880"/>
          </w:tcPr>
          <w:p>
            <w:r>
              <w:t>0</w:t>
            </w:r>
          </w:p>
        </w:tc>
        <w:tc>
          <w:tcPr>
            <w:tcW w:type="dxa" w:w="2880"/>
          </w:tcPr>
          <w:p>
            <w:r>
              <w:t>0</w:t>
            </w:r>
          </w:p>
        </w:tc>
      </w:tr>
      <w:tr>
        <w:tc>
          <w:tcPr>
            <w:tcW w:type="dxa" w:w="2880"/>
          </w:tcPr>
          <w:p>
            <w:r>
              <w:t>c_index_year_type_code</w:t>
            </w:r>
          </w:p>
        </w:tc>
        <w:tc>
          <w:tcPr>
            <w:tcW w:type="dxa" w:w="2880"/>
          </w:tcPr>
          <w:p>
            <w:r>
              <w:t>05</w:t>
            </w:r>
          </w:p>
        </w:tc>
        <w:tc>
          <w:tcPr>
            <w:tcW w:type="dxa" w:w="2880"/>
          </w:tcPr>
          <w:p>
            <w:r>
              <w:t>05</w:t>
            </w:r>
          </w:p>
        </w:tc>
      </w:tr>
      <w:tr>
        <w:tc>
          <w:tcPr>
            <w:tcW w:type="dxa" w:w="2880"/>
          </w:tcPr>
          <w:p>
            <w:r>
              <w:t>c_index_year_source_id</w:t>
            </w:r>
          </w:p>
        </w:tc>
        <w:tc>
          <w:tcPr>
            <w:tcW w:type="dxa" w:w="2880"/>
          </w:tcPr>
          <w:p>
            <w:r/>
          </w:p>
        </w:tc>
        <w:tc>
          <w:tcPr>
            <w:tcW w:type="dxa" w:w="2880"/>
          </w:tcPr>
          <w:p>
            <w:r/>
          </w:p>
        </w:tc>
      </w:tr>
    </w:tbl>
    <w:p/>
    <w:p>
      <w:pPr>
        <w:pStyle w:val="Heading3"/>
      </w:pPr>
      <w:r>
        <w:t>c_personid = 485 — 周穜 (Zhou Tong)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1046</w:t>
            </w:r>
          </w:p>
        </w:tc>
        <w:tc>
          <w:tcPr>
            <w:tcW w:type="dxa" w:w="2880"/>
          </w:tcPr>
          <w:p>
            <w:r>
              <w:t>1046</w:t>
            </w:r>
          </w:p>
        </w:tc>
      </w:tr>
      <w:tr>
        <w:tc>
          <w:tcPr>
            <w:tcW w:type="dxa" w:w="2880"/>
          </w:tcPr>
          <w:p>
            <w:r>
              <w:t>c_index_addr_id</w:t>
            </w:r>
          </w:p>
        </w:tc>
        <w:tc>
          <w:tcPr>
            <w:tcW w:type="dxa" w:w="2880"/>
          </w:tcPr>
          <w:p>
            <w:r>
              <w:t>100416</w:t>
            </w:r>
          </w:p>
        </w:tc>
        <w:tc>
          <w:tcPr>
            <w:tcW w:type="dxa" w:w="2880"/>
          </w:tcPr>
          <w:p>
            <w:r>
              <w:t>12785</w:t>
            </w:r>
          </w:p>
        </w:tc>
      </w:tr>
      <w:tr>
        <w:tc>
          <w:tcPr>
            <w:tcW w:type="dxa" w:w="2880"/>
          </w:tcPr>
          <w:p>
            <w:r>
              <w:t>c_birthyear</w:t>
            </w:r>
          </w:p>
        </w:tc>
        <w:tc>
          <w:tcPr>
            <w:tcW w:type="dxa" w:w="2880"/>
          </w:tcPr>
          <w:p>
            <w:r>
              <w:t>0</w:t>
            </w:r>
          </w:p>
        </w:tc>
        <w:tc>
          <w:tcPr>
            <w:tcW w:type="dxa" w:w="2880"/>
          </w:tcPr>
          <w:p>
            <w:r>
              <w:t>0</w:t>
            </w:r>
          </w:p>
        </w:tc>
      </w:tr>
      <w:tr>
        <w:tc>
          <w:tcPr>
            <w:tcW w:type="dxa" w:w="2880"/>
          </w:tcPr>
          <w:p>
            <w:r>
              <w:t>c_deathyear</w:t>
            </w:r>
          </w:p>
        </w:tc>
        <w:tc>
          <w:tcPr>
            <w:tcW w:type="dxa" w:w="2880"/>
          </w:tcPr>
          <w:p>
            <w:r>
              <w:t>0</w:t>
            </w:r>
          </w:p>
        </w:tc>
        <w:tc>
          <w:tcPr>
            <w:tcW w:type="dxa" w:w="2880"/>
          </w:tcPr>
          <w:p>
            <w:r>
              <w:t>0</w:t>
            </w:r>
          </w:p>
        </w:tc>
      </w:tr>
      <w:tr>
        <w:tc>
          <w:tcPr>
            <w:tcW w:type="dxa" w:w="2880"/>
          </w:tcPr>
          <w:p>
            <w:r>
              <w:t>c_index_year_type_code</w:t>
            </w:r>
          </w:p>
        </w:tc>
        <w:tc>
          <w:tcPr>
            <w:tcW w:type="dxa" w:w="2880"/>
          </w:tcPr>
          <w:p>
            <w:r>
              <w:t>05</w:t>
            </w:r>
          </w:p>
        </w:tc>
        <w:tc>
          <w:tcPr>
            <w:tcW w:type="dxa" w:w="2880"/>
          </w:tcPr>
          <w:p>
            <w:r>
              <w:t>05</w:t>
            </w:r>
          </w:p>
        </w:tc>
      </w:tr>
      <w:tr>
        <w:tc>
          <w:tcPr>
            <w:tcW w:type="dxa" w:w="2880"/>
          </w:tcPr>
          <w:p>
            <w:r>
              <w:t>c_index_year_source_id</w:t>
            </w:r>
          </w:p>
        </w:tc>
        <w:tc>
          <w:tcPr>
            <w:tcW w:type="dxa" w:w="2880"/>
          </w:tcPr>
          <w:p>
            <w:r/>
          </w:p>
        </w:tc>
        <w:tc>
          <w:tcPr>
            <w:tcW w:type="dxa" w:w="2880"/>
          </w:tcPr>
          <w:p>
            <w:r/>
          </w:p>
        </w:tc>
      </w:tr>
    </w:tbl>
    <w:p/>
    <w:p>
      <w:pPr>
        <w:pStyle w:val="Heading3"/>
      </w:pPr>
      <w:r>
        <w:t>c_personid = 562 — 范沖 (Fan Chong)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1067</w:t>
            </w:r>
          </w:p>
        </w:tc>
        <w:tc>
          <w:tcPr>
            <w:tcW w:type="dxa" w:w="2880"/>
          </w:tcPr>
          <w:p>
            <w:r>
              <w:t>1067</w:t>
            </w:r>
          </w:p>
        </w:tc>
      </w:tr>
      <w:tr>
        <w:tc>
          <w:tcPr>
            <w:tcW w:type="dxa" w:w="2880"/>
          </w:tcPr>
          <w:p>
            <w:r>
              <w:t>c_index_addr_id</w:t>
            </w:r>
          </w:p>
        </w:tc>
        <w:tc>
          <w:tcPr>
            <w:tcW w:type="dxa" w:w="2880"/>
          </w:tcPr>
          <w:p>
            <w:r>
              <w:t>100658</w:t>
            </w:r>
          </w:p>
        </w:tc>
        <w:tc>
          <w:tcPr>
            <w:tcW w:type="dxa" w:w="2880"/>
          </w:tcPr>
          <w:p>
            <w:r>
              <w:t>13292</w:t>
            </w:r>
          </w:p>
        </w:tc>
      </w:tr>
      <w:tr>
        <w:tc>
          <w:tcPr>
            <w:tcW w:type="dxa" w:w="2880"/>
          </w:tcPr>
          <w:p>
            <w:r>
              <w:t>c_birthyear</w:t>
            </w:r>
          </w:p>
        </w:tc>
        <w:tc>
          <w:tcPr>
            <w:tcW w:type="dxa" w:w="2880"/>
          </w:tcPr>
          <w:p>
            <w:r>
              <w:t>1067</w:t>
            </w:r>
          </w:p>
        </w:tc>
        <w:tc>
          <w:tcPr>
            <w:tcW w:type="dxa" w:w="2880"/>
          </w:tcPr>
          <w:p>
            <w:r>
              <w:t>1067</w:t>
            </w:r>
          </w:p>
        </w:tc>
      </w:tr>
      <w:tr>
        <w:tc>
          <w:tcPr>
            <w:tcW w:type="dxa" w:w="2880"/>
          </w:tcPr>
          <w:p>
            <w:r>
              <w:t>c_deathyear</w:t>
            </w:r>
          </w:p>
        </w:tc>
        <w:tc>
          <w:tcPr>
            <w:tcW w:type="dxa" w:w="2880"/>
          </w:tcPr>
          <w:p>
            <w:r>
              <w:t>1141</w:t>
            </w:r>
          </w:p>
        </w:tc>
        <w:tc>
          <w:tcPr>
            <w:tcW w:type="dxa" w:w="2880"/>
          </w:tcPr>
          <w:p>
            <w:r>
              <w:t>1141</w:t>
            </w:r>
          </w:p>
        </w:tc>
      </w:tr>
      <w:tr>
        <w:tc>
          <w:tcPr>
            <w:tcW w:type="dxa" w:w="2880"/>
          </w:tcPr>
          <w:p>
            <w:r>
              <w:t>c_index_year_type_code</w:t>
            </w:r>
          </w:p>
        </w:tc>
        <w:tc>
          <w:tcPr>
            <w:tcW w:type="dxa" w:w="2880"/>
          </w:tcPr>
          <w:p>
            <w:r>
              <w:t>01</w:t>
            </w:r>
          </w:p>
        </w:tc>
        <w:tc>
          <w:tcPr>
            <w:tcW w:type="dxa" w:w="2880"/>
          </w:tcPr>
          <w:p>
            <w:r>
              <w:t>01</w:t>
            </w:r>
          </w:p>
        </w:tc>
      </w:tr>
      <w:tr>
        <w:tc>
          <w:tcPr>
            <w:tcW w:type="dxa" w:w="2880"/>
          </w:tcPr>
          <w:p>
            <w:r>
              <w:t>c_index_year_source_id</w:t>
            </w:r>
          </w:p>
        </w:tc>
        <w:tc>
          <w:tcPr>
            <w:tcW w:type="dxa" w:w="2880"/>
          </w:tcPr>
          <w:p>
            <w:r/>
          </w:p>
        </w:tc>
        <w:tc>
          <w:tcPr>
            <w:tcW w:type="dxa" w:w="2880"/>
          </w:tcPr>
          <w:p>
            <w:r/>
          </w:p>
        </w:tc>
      </w:tr>
    </w:tbl>
    <w:p/>
    <w:p>
      <w:pPr>
        <w:pStyle w:val="Heading2"/>
      </w:pPr>
      <w:r>
        <w:t>Examples where the SOURCE data itself differs (birthyear / deathyear)</w:t>
      </w:r>
    </w:p>
    <w:p>
      <w:r>
        <w:t>Here the SQLite snapshot has different `c_birthyear` / `c_deathyear` from the User MDB. This is the clearest case of pure data drift: someone updated the source row in the cbdb-online-main-server pipeline after the User MDB was last exported. There's no algorithmic disagreement here — just two different snapshots in time.</w:t>
      </w:r>
    </w:p>
    <w:p>
      <w:pPr>
        <w:pStyle w:val="Heading3"/>
      </w:pPr>
      <w:r>
        <w:t>c_personid = 1455 — 沈邈 (Shen Miao)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1001</w:t>
            </w:r>
          </w:p>
        </w:tc>
        <w:tc>
          <w:tcPr>
            <w:tcW w:type="dxa" w:w="2880"/>
          </w:tcPr>
          <w:p>
            <w:r>
              <w:t>1008</w:t>
            </w:r>
          </w:p>
        </w:tc>
      </w:tr>
      <w:tr>
        <w:tc>
          <w:tcPr>
            <w:tcW w:type="dxa" w:w="2880"/>
          </w:tcPr>
          <w:p>
            <w:r>
              <w:t>c_index_addr_id</w:t>
            </w:r>
          </w:p>
        </w:tc>
        <w:tc>
          <w:tcPr>
            <w:tcW w:type="dxa" w:w="2880"/>
          </w:tcPr>
          <w:p>
            <w:r>
              <w:t>12887</w:t>
            </w:r>
          </w:p>
        </w:tc>
        <w:tc>
          <w:tcPr>
            <w:tcW w:type="dxa" w:w="2880"/>
          </w:tcPr>
          <w:p>
            <w:r>
              <w:t>12887</w:t>
            </w:r>
          </w:p>
        </w:tc>
      </w:tr>
      <w:tr>
        <w:tc>
          <w:tcPr>
            <w:tcW w:type="dxa" w:w="2880"/>
          </w:tcPr>
          <w:p>
            <w:r>
              <w:t>c_birthyear</w:t>
            </w:r>
          </w:p>
        </w:tc>
        <w:tc>
          <w:tcPr>
            <w:tcW w:type="dxa" w:w="2880"/>
          </w:tcPr>
          <w:p>
            <w:r>
              <w:t>1001</w:t>
            </w:r>
          </w:p>
        </w:tc>
        <w:tc>
          <w:tcPr>
            <w:tcW w:type="dxa" w:w="2880"/>
          </w:tcPr>
          <w:p>
            <w:r>
              <w:t>0</w:t>
            </w:r>
          </w:p>
        </w:tc>
      </w:tr>
      <w:tr>
        <w:tc>
          <w:tcPr>
            <w:tcW w:type="dxa" w:w="2880"/>
          </w:tcPr>
          <w:p>
            <w:r>
              <w:t>c_deathyear</w:t>
            </w:r>
          </w:p>
        </w:tc>
        <w:tc>
          <w:tcPr>
            <w:tcW w:type="dxa" w:w="2880"/>
          </w:tcPr>
          <w:p>
            <w:r>
              <w:t>1047</w:t>
            </w:r>
          </w:p>
        </w:tc>
        <w:tc>
          <w:tcPr>
            <w:tcW w:type="dxa" w:w="2880"/>
          </w:tcPr>
          <w:p>
            <w:r>
              <w:t>0</w:t>
            </w:r>
          </w:p>
        </w:tc>
      </w:tr>
      <w:tr>
        <w:tc>
          <w:tcPr>
            <w:tcW w:type="dxa" w:w="2880"/>
          </w:tcPr>
          <w:p>
            <w:r>
              <w:t>c_index_year_type_code</w:t>
            </w:r>
          </w:p>
        </w:tc>
        <w:tc>
          <w:tcPr>
            <w:tcW w:type="dxa" w:w="2880"/>
          </w:tcPr>
          <w:p>
            <w:r>
              <w:t>01</w:t>
            </w:r>
          </w:p>
        </w:tc>
        <w:tc>
          <w:tcPr>
            <w:tcW w:type="dxa" w:w="2880"/>
          </w:tcPr>
          <w:p>
            <w:r>
              <w:t>05</w:t>
            </w:r>
          </w:p>
        </w:tc>
      </w:tr>
      <w:tr>
        <w:tc>
          <w:tcPr>
            <w:tcW w:type="dxa" w:w="2880"/>
          </w:tcPr>
          <w:p>
            <w:r>
              <w:t>c_index_year_source_id</w:t>
            </w:r>
          </w:p>
        </w:tc>
        <w:tc>
          <w:tcPr>
            <w:tcW w:type="dxa" w:w="2880"/>
          </w:tcPr>
          <w:p>
            <w:r/>
          </w:p>
        </w:tc>
        <w:tc>
          <w:tcPr>
            <w:tcW w:type="dxa" w:w="2880"/>
          </w:tcPr>
          <w:p>
            <w:r/>
          </w:p>
        </w:tc>
      </w:tr>
    </w:tbl>
    <w:p/>
    <w:p>
      <w:pPr>
        <w:pStyle w:val="Heading3"/>
      </w:pPr>
      <w:r>
        <w:t>c_personid = 19149 — 李孝基 (Li Xiaoji)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User MDB</w:t>
            </w:r>
          </w:p>
        </w:tc>
        <w:tc>
          <w:tcPr>
            <w:tcW w:type="dxa" w:w="2880"/>
          </w:tcPr>
          <w:p>
            <w:r>
              <w:t>cbdb-online-main-server snapshot</w:t>
            </w:r>
          </w:p>
        </w:tc>
      </w:tr>
      <w:tr>
        <w:tc>
          <w:tcPr>
            <w:tcW w:type="dxa" w:w="2880"/>
          </w:tcPr>
          <w:p>
            <w:r>
              <w:t>c_index_year</w:t>
            </w:r>
          </w:p>
        </w:tc>
        <w:tc>
          <w:tcPr>
            <w:tcW w:type="dxa" w:w="2880"/>
          </w:tcPr>
          <w:p>
            <w:r>
              <w:t>1016</w:t>
            </w:r>
          </w:p>
        </w:tc>
        <w:tc>
          <w:tcPr>
            <w:tcW w:type="dxa" w:w="2880"/>
          </w:tcPr>
          <w:p>
            <w:r>
              <w:t>1026</w:t>
            </w:r>
          </w:p>
        </w:tc>
      </w:tr>
      <w:tr>
        <w:tc>
          <w:tcPr>
            <w:tcW w:type="dxa" w:w="2880"/>
          </w:tcPr>
          <w:p>
            <w:r>
              <w:t>c_index_addr_id</w:t>
            </w:r>
          </w:p>
        </w:tc>
        <w:tc>
          <w:tcPr>
            <w:tcW w:type="dxa" w:w="2880"/>
          </w:tcPr>
          <w:p>
            <w:r>
              <w:t>100658</w:t>
            </w:r>
          </w:p>
        </w:tc>
        <w:tc>
          <w:tcPr>
            <w:tcW w:type="dxa" w:w="2880"/>
          </w:tcPr>
          <w:p>
            <w:r>
              <w:t>100658</w:t>
            </w:r>
          </w:p>
        </w:tc>
      </w:tr>
      <w:tr>
        <w:tc>
          <w:tcPr>
            <w:tcW w:type="dxa" w:w="2880"/>
          </w:tcPr>
          <w:p>
            <w:r>
              <w:t>c_birthyear</w:t>
            </w:r>
          </w:p>
        </w:tc>
        <w:tc>
          <w:tcPr>
            <w:tcW w:type="dxa" w:w="2880"/>
          </w:tcPr>
          <w:p>
            <w:r>
              <w:t>1016</w:t>
            </w:r>
          </w:p>
        </w:tc>
        <w:tc>
          <w:tcPr>
            <w:tcW w:type="dxa" w:w="2880"/>
          </w:tcPr>
          <w:p>
            <w:r>
              <w:t>0</w:t>
            </w:r>
          </w:p>
        </w:tc>
      </w:tr>
      <w:tr>
        <w:tc>
          <w:tcPr>
            <w:tcW w:type="dxa" w:w="2880"/>
          </w:tcPr>
          <w:p>
            <w:r>
              <w:t>c_deathyear</w:t>
            </w:r>
          </w:p>
        </w:tc>
        <w:tc>
          <w:tcPr>
            <w:tcW w:type="dxa" w:w="2880"/>
          </w:tcPr>
          <w:p>
            <w:r>
              <w:t>1076</w:t>
            </w:r>
          </w:p>
        </w:tc>
        <w:tc>
          <w:tcPr>
            <w:tcW w:type="dxa" w:w="2880"/>
          </w:tcPr>
          <w:p>
            <w:r>
              <w:t>0</w:t>
            </w:r>
          </w:p>
        </w:tc>
      </w:tr>
      <w:tr>
        <w:tc>
          <w:tcPr>
            <w:tcW w:type="dxa" w:w="2880"/>
          </w:tcPr>
          <w:p>
            <w:r>
              <w:t>c_index_year_type_code</w:t>
            </w:r>
          </w:p>
        </w:tc>
        <w:tc>
          <w:tcPr>
            <w:tcW w:type="dxa" w:w="2880"/>
          </w:tcPr>
          <w:p>
            <w:r>
              <w:t>01</w:t>
            </w:r>
          </w:p>
        </w:tc>
        <w:tc>
          <w:tcPr>
            <w:tcW w:type="dxa" w:w="2880"/>
          </w:tcPr>
          <w:p>
            <w:r>
              <w:t>11</w:t>
            </w:r>
          </w:p>
        </w:tc>
      </w:tr>
      <w:tr>
        <w:tc>
          <w:tcPr>
            <w:tcW w:type="dxa" w:w="2880"/>
          </w:tcPr>
          <w:p>
            <w:r>
              <w:t>c_index_year_source_id</w:t>
            </w:r>
          </w:p>
        </w:tc>
        <w:tc>
          <w:tcPr>
            <w:tcW w:type="dxa" w:w="2880"/>
          </w:tcPr>
          <w:p>
            <w:r/>
          </w:p>
        </w:tc>
        <w:tc>
          <w:tcPr>
            <w:tcW w:type="dxa" w:w="2880"/>
          </w:tcPr>
          <w:p>
            <w:r>
              <w:t>41030</w:t>
            </w:r>
          </w:p>
        </w:tc>
      </w:tr>
    </w:tbl>
    <w:p/>
    <w:p>
      <w:r>
        <w:t>These examples were collected by `reports/collect_index_year_diffs.py` from the first 20 000 person ids common to both databases. The full automated cross-check (`tests/test_index_year_xcheck.py`, ~657 246 persons) reports roughly the same shape: very small fractions disagree, with addresses being the most common drift type.</w:t>
      </w:r>
    </w:p>
    <w:p>
      <w:r>
        <w:br w:type="page"/>
      </w:r>
    </w:p>
    <w:p>
      <w:pPr>
        <w:pStyle w:val="Heading1"/>
      </w:pPr>
      <w:r>
        <w:t>Closing note</w:t>
      </w:r>
    </w:p>
    <w:p>
      <w:r>
        <w:t>Thank you for taking the time to read this report. None of the items above is urgent; we hope having them all in one place makes it easy to address them at your own pace.</w:t>
      </w:r>
    </w:p>
    <w:p>
      <w:r>
        <w:t>If any of the descriptions or suggested fixes are unclear, we would be glad to discuss further. The corresponding regression tests in this repository will automatically flip from PASS to FAIL the moment any regression marker stops reproducing in the source dump — that is a signal to investigate, not an automatic confirmation that the bug is fixed (the marker could fail because of an upstream fix, a fixture / driver change on our side, or a misclassification we made earlier).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