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 same two fields are produced by the Access `frmBaseMaintenance` VBA maintenance buttons.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Classification summary</w:t>
      </w:r>
    </w:p>
    <w:p>
      <w:r>
        <w:t>Compared 657,245 personids common to both databases (User MDB total 657,784; SQLite total 657,478; User-only 539; SQLite-only 233).</w:t>
      </w:r>
    </w:p>
    <w:p>
      <w:r>
        <w:t xml:space="preserve">  • 656,682 (99.914%)  — exact match on all four compared fields</w:t>
      </w:r>
    </w:p>
    <w:p>
      <w:r>
        <w:t xml:space="preserve">  •       2 (0.000%)  — source drift but indices agreed (algorithms tolerated the drift)</w:t>
      </w:r>
    </w:p>
    <w:p>
      <w:r>
        <w:t xml:space="preserve">  •      14 (0.002%)  — source drift AND at least one index field differs (consistent with simple data-drift hypothesis)</w:t>
      </w:r>
    </w:p>
    <w:p>
      <w:r>
        <w:t xml:space="preserve">  •      59 (0.009%)  — c_birthyear+c_deathyear identical, only c_index_year differs — needs follow-up</w:t>
      </w:r>
    </w:p>
    <w:p>
      <w:r>
        <w:t xml:space="preserve">  •     478 (0.073%)  — c_birthyear+c_deathyear identical, only c_index_addr_id differs — needs follow-up</w:t>
      </w:r>
    </w:p>
    <w:p>
      <w:r>
        <w:t xml:space="preserve">  •      10 (0.002%)  — c_birthyear+c_deathyear identical, BOTH index fields differ — strongest signal of compound divergence, needs follow-up</w:t>
      </w:r>
    </w:p>
    <w:p>
      <w:r>
        <w:t>Net diffs: 563 of 657,245 (0.086%).  Of those, 16 are clearly attributable to source drift in birthyear/deathyear; 547 need per-row follow-up (could be PHP↔VBA divergence, or drift in evidence tables — BIOG_ADDR_DATA / ENTRY_DATA / NIAN_HAO etc. — that this classifier does not compare).  Full output: `reports/index_drift_classification.json`; algorithm pointers: `analysis/index_drift_algorithm_notes.md`.</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