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Accessibility and User Experience: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Accessibility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Color Blindness</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We create an extensive research into the coloring of all our products, graphs, maps, etc. to make them as readable to both those who are not color blind and all types of those who are.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Visual Impairment</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We created our graphs using a black background to provide a high level of contrast which has been shown to improve readability of visuals for those who are visually impaired.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Blindness</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We created detailed audio recordings describing each of our graphs that will be eventually implemented into our website to correspond with the graph/map shown. This feature is only available through a folder of the collection however due to our limited knowledge on linking the audios to their corresponding graphs/maps.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Reading Impairment</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We used only Arial as all of our fonts with the high contrast of white text on a black background as this aides with reading for those who might have a reading impairment such as dyslexia.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