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65.png" ContentType="image/png"/>
  <Override PartName="/word/media/rId59.png" ContentType="image/png"/>
  <Override PartName="/word/media/rId52.png" ContentType="image/png"/>
  <Override PartName="/word/media/rId55.png" ContentType="image/png"/>
  <Override PartName="/word/media/rId38.png" ContentType="image/png"/>
  <Override PartName="/word/media/rId48.png" ContentType="image/png"/>
  <Override PartName="/word/media/rId41.png" ContentType="image/png"/>
  <Override PartName="/word/media/rId71.png" ContentType="image/png"/>
  <Override PartName="/word/media/rId45.png" ContentType="image/png"/>
  <Override PartName="/word/media/rId68.png" ContentType="image/png"/>
  <Override PartName="/word/media/image3.jpeg" ContentType="image/jpeg"/>
  <Override PartName="/word/media/image1.jpeg" ContentType="image/jpeg"/>
  <Override PartName="/word/media/image2.jpeg" ContentType="image/jpeg"/>
  <Override PartName="/word/media/image4.png" ContentType="image/png"/>
  <Override PartName="/word/media/image5.png" ContentType="image/png"/>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Creel</w:t>
      </w:r>
      <w:r>
        <w:t xml:space="preserve"> </w:t>
      </w:r>
      <w:r>
        <w:t xml:space="preserve">survey</w:t>
      </w:r>
      <w:r>
        <w:t xml:space="preserve"> </w:t>
      </w:r>
      <w:r>
        <w:t xml:space="preserve">sampling</w:t>
      </w:r>
      <w:r>
        <w:t xml:space="preserve"> </w:t>
      </w:r>
      <w:r>
        <w:t xml:space="preserve">evaluation</w:t>
      </w:r>
    </w:p>
    <w:p>
      <w:pPr>
        <w:pStyle w:val="Author"/>
      </w:pPr>
      <w:r>
        <w:t xml:space="preserve">Evan</w:t>
      </w:r>
      <w:r>
        <w:t xml:space="preserve"> </w:t>
      </w:r>
      <w:r>
        <w:t xml:space="preserve">Booher</w:t>
      </w:r>
    </w:p>
    <w:p>
      <w:pPr>
        <w:pStyle w:val="Date"/>
      </w:pPr>
      <w:r>
        <w:t xml:space="preserve">2025-07-09</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p>
      <w:pPr>
        <w:pStyle w:val="TableCaption"/>
      </w:pPr>
      <w:r>
        <w:t xml:space="preserve">Table _. Links to creel survey data available through the state of Washington’s open data portal, https://data.wa.gov.</w:t>
      </w:r>
    </w:p>
    <w:tbl>
      <w:tblPr>
        <w:tblStyle w:val="Table"/>
        <w:tblW w:type="pct" w:w="5000"/>
        <w:tblLayout w:type="fixed"/>
        <w:tblLook w:firstRow="1" w:lastRow="0" w:firstColumn="0" w:lastColumn="0" w:noHBand="0" w:noVBand="0" w:val="0020"/>
        <w:tblCaption w:val="Table _. Links to creel survey data available through the state of Washington’s open data portal, https://data.wa.gov."/>
      </w:tblPr>
      <w:tblGrid>
        <w:gridCol w:w="2640"/>
        <w:gridCol w:w="2640"/>
        <w:gridCol w:w="2640"/>
      </w:tblGrid>
      <w:tr>
        <w:trPr>
          <w:tblHeader w:val="on"/>
        </w:trPr>
        <w:tc>
          <w:tcPr/>
          <w:p>
            <w:pPr>
              <w:pStyle w:val="Compact"/>
              <w:jc w:val="left"/>
            </w:pPr>
            <w:r>
              <w:t xml:space="preserve">Nisqually salmon 2021</w:t>
            </w:r>
          </w:p>
        </w:tc>
        <w:tc>
          <w:tcPr/>
          <w:p>
            <w:pPr>
              <w:pStyle w:val="Compact"/>
              <w:jc w:val="left"/>
            </w:pPr>
            <w:r>
              <w:t xml:space="preserve">Nisqually salmon 2022</w:t>
            </w:r>
          </w:p>
        </w:tc>
        <w:tc>
          <w:tcPr/>
          <w:p>
            <w:pPr>
              <w:pStyle w:val="Compact"/>
              <w:jc w:val="left"/>
            </w:pPr>
            <w:r>
              <w:t xml:space="preserve">Nisqually salmon 2023</w:t>
            </w:r>
          </w:p>
        </w:tc>
      </w:tr>
      <w:tr>
        <w:tc>
          <w:tcPr/>
          <w:p>
            <w:pPr>
              <w:pStyle w:val="Compact"/>
              <w:jc w:val="left"/>
            </w:pPr>
            <w:hyperlink r:id="rId20">
              <w:r>
                <w:rPr>
                  <w:rStyle w:val="Hyperlink"/>
                </w:rPr>
                <w:t xml:space="preserve">effort</w:t>
              </w:r>
            </w:hyperlink>
          </w:p>
        </w:tc>
        <w:tc>
          <w:tcPr/>
          <w:p>
            <w:pPr>
              <w:pStyle w:val="Compact"/>
              <w:jc w:val="left"/>
            </w:pPr>
            <w:hyperlink r:id="rId21">
              <w:r>
                <w:rPr>
                  <w:rStyle w:val="Hyperlink"/>
                </w:rPr>
                <w:t xml:space="preserve">effort</w:t>
              </w:r>
            </w:hyperlink>
          </w:p>
        </w:tc>
        <w:tc>
          <w:tcPr/>
          <w:p>
            <w:pPr>
              <w:pStyle w:val="Compact"/>
              <w:jc w:val="left"/>
            </w:pPr>
            <w:hyperlink r:id="rId22">
              <w:r>
                <w:rPr>
                  <w:rStyle w:val="Hyperlink"/>
                </w:rPr>
                <w:t xml:space="preserve">effort</w:t>
              </w:r>
            </w:hyperlink>
          </w:p>
        </w:tc>
      </w:tr>
      <w:tr>
        <w:tc>
          <w:tcPr/>
          <w:p>
            <w:pPr>
              <w:pStyle w:val="Compact"/>
              <w:jc w:val="left"/>
            </w:pPr>
            <w:hyperlink r:id="rId23">
              <w:r>
                <w:rPr>
                  <w:rStyle w:val="Hyperlink"/>
                </w:rPr>
                <w:t xml:space="preserve">interview</w:t>
              </w:r>
            </w:hyperlink>
          </w:p>
        </w:tc>
        <w:tc>
          <w:tcPr/>
          <w:p>
            <w:pPr>
              <w:pStyle w:val="Compact"/>
              <w:jc w:val="left"/>
            </w:pPr>
            <w:hyperlink r:id="rId24">
              <w:r>
                <w:rPr>
                  <w:rStyle w:val="Hyperlink"/>
                </w:rPr>
                <w:t xml:space="preserve">interview</w:t>
              </w:r>
            </w:hyperlink>
          </w:p>
        </w:tc>
        <w:tc>
          <w:tcPr/>
          <w:p>
            <w:pPr>
              <w:pStyle w:val="Compact"/>
              <w:jc w:val="left"/>
            </w:pPr>
            <w:hyperlink r:id="rId25">
              <w:r>
                <w:rPr>
                  <w:rStyle w:val="Hyperlink"/>
                </w:rPr>
                <w:t xml:space="preserve">interview</w:t>
              </w:r>
            </w:hyperlink>
          </w:p>
        </w:tc>
      </w:tr>
      <w:tr>
        <w:tc>
          <w:tcPr/>
          <w:p>
            <w:pPr>
              <w:pStyle w:val="Compact"/>
              <w:jc w:val="left"/>
            </w:pPr>
            <w:hyperlink r:id="rId26">
              <w:r>
                <w:rPr>
                  <w:rStyle w:val="Hyperlink"/>
                </w:rPr>
                <w:t xml:space="preserve">catch</w:t>
              </w:r>
            </w:hyperlink>
          </w:p>
        </w:tc>
        <w:tc>
          <w:tcPr/>
          <w:p>
            <w:pPr>
              <w:pStyle w:val="Compact"/>
              <w:jc w:val="left"/>
            </w:pPr>
            <w:hyperlink r:id="rId27">
              <w:r>
                <w:rPr>
                  <w:rStyle w:val="Hyperlink"/>
                </w:rPr>
                <w:t xml:space="preserve">catch</w:t>
              </w:r>
            </w:hyperlink>
          </w:p>
        </w:tc>
        <w:tc>
          <w:tcPr/>
          <w:p>
            <w:pPr>
              <w:pStyle w:val="Compact"/>
              <w:jc w:val="left"/>
            </w:pPr>
            <w:hyperlink r:id="rId28">
              <w:r>
                <w:rPr>
                  <w:rStyle w:val="Hyperlink"/>
                </w:rPr>
                <w:t xml:space="preserve">catch</w:t>
              </w:r>
            </w:hyperlink>
          </w:p>
        </w:tc>
      </w:tr>
      <w:tr>
        <w:tc>
          <w:tcPr/>
          <w:p>
            <w:pPr>
              <w:pStyle w:val="Compact"/>
              <w:jc w:val="left"/>
            </w:pPr>
            <w:hyperlink r:id="rId29">
              <w:r>
                <w:rPr>
                  <w:rStyle w:val="Hyperlink"/>
                </w:rPr>
                <w:t xml:space="preserve">water_bodies</w:t>
              </w:r>
            </w:hyperlink>
          </w:p>
        </w:tc>
        <w:tc>
          <w:tcPr/>
          <w:p>
            <w:pPr>
              <w:pStyle w:val="Compact"/>
              <w:jc w:val="left"/>
            </w:pPr>
            <w:hyperlink r:id="rId30">
              <w:r>
                <w:rPr>
                  <w:rStyle w:val="Hyperlink"/>
                </w:rPr>
                <w:t xml:space="preserve">water_bodies</w:t>
              </w:r>
            </w:hyperlink>
          </w:p>
        </w:tc>
        <w:tc>
          <w:tcPr/>
          <w:p>
            <w:pPr>
              <w:pStyle w:val="Compact"/>
              <w:jc w:val="left"/>
            </w:pPr>
            <w:hyperlink r:id="rId31">
              <w:r>
                <w:rPr>
                  <w:rStyle w:val="Hyperlink"/>
                </w:rPr>
                <w:t xml:space="preserve">water_bodies</w:t>
              </w:r>
            </w:hyperlink>
          </w:p>
        </w:tc>
      </w:tr>
      <w:tr>
        <w:tc>
          <w:tcPr/>
          <w:p>
            <w:pPr>
              <w:pStyle w:val="Compact"/>
              <w:jc w:val="left"/>
            </w:pPr>
            <w:hyperlink r:id="rId32">
              <w:r>
                <w:rPr>
                  <w:rStyle w:val="Hyperlink"/>
                </w:rPr>
                <w:t xml:space="preserve">closures</w:t>
              </w:r>
            </w:hyperlink>
          </w:p>
        </w:tc>
        <w:tc>
          <w:tcPr/>
          <w:p>
            <w:pPr>
              <w:pStyle w:val="Compact"/>
              <w:jc w:val="left"/>
            </w:pPr>
            <w:hyperlink r:id="rId33">
              <w:r>
                <w:rPr>
                  <w:rStyle w:val="Hyperlink"/>
                </w:rPr>
                <w:t xml:space="preserve">closures</w:t>
              </w:r>
            </w:hyperlink>
          </w:p>
        </w:tc>
        <w:tc>
          <w:tcPr/>
          <w:p>
            <w:pPr>
              <w:pStyle w:val="Compact"/>
              <w:jc w:val="left"/>
            </w:pPr>
            <w:hyperlink r:id="rId34">
              <w:r>
                <w:rPr>
                  <w:rStyle w:val="Hyperlink"/>
                </w:rPr>
                <w:t xml:space="preserve">closures</w:t>
              </w:r>
            </w:hyperlink>
          </w:p>
        </w:tc>
      </w:tr>
      <w:tr>
        <w:tc>
          <w:tcPr/>
          <w:p>
            <w:pPr>
              <w:pStyle w:val="Compact"/>
              <w:jc w:val="left"/>
            </w:pPr>
            <w:hyperlink r:id="rId35">
              <w:r>
                <w:rPr>
                  <w:rStyle w:val="Hyperlink"/>
                </w:rPr>
                <w:t xml:space="preserve">fishery_manager</w:t>
              </w:r>
            </w:hyperlink>
          </w:p>
        </w:tc>
        <w:tc>
          <w:tcPr/>
          <w:p>
            <w:pPr>
              <w:pStyle w:val="Compact"/>
              <w:jc w:val="left"/>
            </w:pPr>
            <w:hyperlink r:id="rId36">
              <w:r>
                <w:rPr>
                  <w:rStyle w:val="Hyperlink"/>
                </w:rPr>
                <w:t xml:space="preserve">fishery_manager</w:t>
              </w:r>
            </w:hyperlink>
          </w:p>
        </w:tc>
        <w:tc>
          <w:tcPr/>
          <w:p>
            <w:pPr>
              <w:pStyle w:val="Compact"/>
              <w:jc w:val="left"/>
            </w:pPr>
            <w:hyperlink r:id="rId37">
              <w:r>
                <w:rPr>
                  <w:rStyle w:val="Hyperlink"/>
                </w:rPr>
                <w:t xml:space="preserve">fishery_manager</w:t>
              </w:r>
            </w:hyperlink>
          </w:p>
        </w:tc>
      </w:tr>
    </w:tbl>
    <w:bookmarkStart w:id="77" w:name="results"/>
    <w:p>
      <w:pPr>
        <w:pStyle w:val="Heading1"/>
      </w:pPr>
      <w:r>
        <w:t xml:space="preserve">Results</w:t>
      </w:r>
    </w:p>
    <w:bookmarkStart w:id="76" w:name="creel-survey-sampling-evaluation"/>
    <w:p>
      <w:pPr>
        <w:pStyle w:val="Heading2"/>
      </w:pPr>
      <w:r>
        <w:t xml:space="preserve">Creel survey sampling evaluation</w:t>
      </w:r>
    </w:p>
    <w:bookmarkStart w:id="44" w:name="survey-days-and-closures"/>
    <w:p>
      <w:pPr>
        <w:pStyle w:val="Heading3"/>
      </w:pPr>
      <w:r>
        <w:t xml:space="preserve">Survey days and closures</w:t>
      </w:r>
    </w:p>
    <w:p>
      <w:pPr>
        <w:pStyle w:val="FirstParagraph"/>
      </w:pPr>
      <w:r>
        <w:t xml:space="preserve">During the monitoring period from 2021 to 2023, a roving creel survey was conducted on the Nisqually River on 210 out of the 414 (64%) days that the fishery was open.</w:t>
      </w:r>
    </w:p>
    <w:p>
      <w:pPr>
        <w:pStyle w:val="CaptionedFigure"/>
      </w:pPr>
      <w:r>
        <w:drawing>
          <wp:inline>
            <wp:extent cx="5943600" cy="2971800"/>
            <wp:effectExtent b="0" l="0" r="0" t="0"/>
            <wp:docPr descr="Figure _. The number of open fishing days, survey days, and closure days per month during the Nisqually River salmon fishery from 2021 to 2023." title="" id="39" name="Picture"/>
            <a:graphic>
              <a:graphicData uri="http://schemas.openxmlformats.org/drawingml/2006/picture">
                <pic:pic>
                  <pic:nvPicPr>
                    <pic:cNvPr descr="results_1_creel_sampling_evaluation_files/figure-docx/fishing%20days%20plot-1.png" id="40" name="Picture"/>
                    <pic:cNvPicPr>
                      <a:picLocks noChangeArrowheads="1" noChangeAspect="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_. The number of open fishing days, survey days, and closure days per month during the Nisqually River salmon fishery from 2021 to 2023.</w:t>
      </w:r>
    </w:p>
    <w:p>
      <w:pPr>
        <w:pStyle w:val="CaptionedFigure"/>
      </w:pPr>
      <w:r>
        <w:drawing>
          <wp:inline>
            <wp:extent cx="4579632" cy="3663706"/>
            <wp:effectExtent b="0" l="0" r="0" t="0"/>
            <wp:docPr descr="Figure _. The proportion of days open to fishing per month that a roving creel survey was conducted during the Nisqually River salmon fishery from 2021 to 2023." title="" id="42" name="Picture"/>
            <a:graphic>
              <a:graphicData uri="http://schemas.openxmlformats.org/drawingml/2006/picture">
                <pic:pic>
                  <pic:nvPicPr>
                    <pic:cNvPr descr="results_1_creel_sampling_evaluation_files/figure-docx/proportion%20fishing%20days%20plot-1.png" id="43" name="Picture"/>
                    <pic:cNvPicPr>
                      <a:picLocks noChangeArrowheads="1" noChangeAspect="1"/>
                    </pic:cNvPicPr>
                  </pic:nvPicPr>
                  <pic:blipFill>
                    <a:blip r:embed="rId41"/>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proportion of days open to fishing per month that a roving creel survey was conducted during the Nisqually River salmon fishery from 2021 to 2023.</w:t>
      </w:r>
    </w:p>
    <w:bookmarkEnd w:id="44"/>
    <w:bookmarkStart w:id="51" w:name="angler-interviews"/>
    <w:p>
      <w:pPr>
        <w:pStyle w:val="Heading3"/>
      </w:pPr>
      <w:r>
        <w:t xml:space="preserve">Angler interviews</w:t>
      </w:r>
    </w:p>
    <w:p>
      <w:pPr>
        <w:pStyle w:val="FirstParagraph"/>
      </w:pPr>
      <w:r>
        <w:t xml:space="preserve">In 2021, sampling for interviews only occurred in section 2, where we obtained a total of 3258 interviews, representing 3210 bank angler groups and 48 boat angler groups. In 2022, a total of 2342 interviews were obtained, representing 2282 bank angler group interviews and 60 boat angler group interviews. In 2023, a total of 2123 interviews were obtained, representing 2067 bank angler group interviews and 56 boat angler group interviews. Across all years the vast majority of interviews were obtained in section 2. Relatively few interviews were obtained in the lower river represented by section 1 (</w:t>
      </w:r>
      <w:r>
        <w:rPr>
          <w:i/>
          <w:iCs/>
        </w:rPr>
        <w:t xml:space="preserve">n</w:t>
      </w:r>
      <w:r>
        <w:t xml:space="preserve"> </w:t>
      </w:r>
      <w:r>
        <w:t xml:space="preserve">= 4) and the upper river, represented by section 3 (</w:t>
      </w:r>
      <w:r>
        <w:rPr>
          <w:i/>
          <w:iCs/>
        </w:rPr>
        <w:t xml:space="preserve">n</w:t>
      </w:r>
      <w:r>
        <w:t xml:space="preserve"> </w:t>
      </w:r>
      <w:r>
        <w:t xml:space="preserve">= 23), and section 4 (</w:t>
      </w:r>
      <w:r>
        <w:rPr>
          <w:i/>
          <w:iCs/>
        </w:rPr>
        <w:t xml:space="preserve">n</w:t>
      </w:r>
      <w:r>
        <w:t xml:space="preserve"> </w:t>
      </w:r>
      <w:r>
        <w:t xml:space="preserve">= 6). Sample sizes in these areas were likely limited by accessibility and logistical constraints for sampling staff. See Table _ for a breakout of the number of interviews obtained by year, section, and angler type.</w:t>
      </w:r>
    </w:p>
    <w:p>
      <w:pPr>
        <w:pStyle w:val="CaptionedFigure"/>
      </w:pPr>
      <w:r>
        <w:drawing>
          <wp:inline>
            <wp:extent cx="4579632" cy="3663706"/>
            <wp:effectExtent b="0" l="0" r="0" t="0"/>
            <wp:docPr descr="Figure _. The number of interviews obtained, categorized by bank (blue) and boat (orange) angling groups, per month during the Nisqually River salmon fishery from 2021 to 2023." title="" id="46" name="Picture"/>
            <a:graphic>
              <a:graphicData uri="http://schemas.openxmlformats.org/drawingml/2006/picture">
                <pic:pic>
                  <pic:nvPicPr>
                    <pic:cNvPr descr="results_1_creel_sampling_evaluation_files/figure-docx/unnamed-chunk-2-1.png" id="47" name="Picture"/>
                    <pic:cNvPicPr>
                      <a:picLocks noChangeArrowheads="1" noChangeAspect="1"/>
                    </pic:cNvPicPr>
                  </pic:nvPicPr>
                  <pic:blipFill>
                    <a:blip r:embed="rId45"/>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number of interviews obtained, categorized by bank (blue) and boat (orange) angling groups, per month during the Nisqually River salmon fishery from 2021 to 2023.</w:t>
      </w:r>
    </w:p>
    <w:p>
      <w:pPr>
        <w:pStyle w:val="CaptionedFigure"/>
      </w:pPr>
      <w:r>
        <w:drawing>
          <wp:inline>
            <wp:extent cx="4579632" cy="3663706"/>
            <wp:effectExtent b="0" l="0" r="0" t="0"/>
            <wp:docPr descr="Figure _. Mean monthly trip time (± SD) of bank (blue) and boat (orange) angling groups surveyed on during the Nisqually River salmon fishery from 2021 to 2023." title="" id="49" name="Picture"/>
            <a:graphic>
              <a:graphicData uri="http://schemas.openxmlformats.org/drawingml/2006/picture">
                <pic:pic>
                  <pic:nvPicPr>
                    <pic:cNvPr descr="results_1_creel_sampling_evaluation_files/figure-docx/mean%20trip%20length%20plot-1.png" id="50" name="Picture"/>
                    <pic:cNvPicPr>
                      <a:picLocks noChangeArrowheads="1" noChangeAspect="1"/>
                    </pic:cNvPicPr>
                  </pic:nvPicPr>
                  <pic:blipFill>
                    <a:blip r:embed="rId48"/>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Mean monthly trip time (± SD) of bank (blue) and boat (orange) angling groups surveyed on during the Nisqually River salmon fishery from 2021 to 2023.</w:t>
      </w:r>
    </w:p>
    <w:bookmarkEnd w:id="51"/>
    <w:bookmarkStart w:id="63" w:name="effort-surveys"/>
    <w:p>
      <w:pPr>
        <w:pStyle w:val="Heading3"/>
      </w:pPr>
      <w:r>
        <w:t xml:space="preserve">Effort surveys</w:t>
      </w:r>
    </w:p>
    <w:bookmarkStart w:id="58" w:name="index-effort-counts"/>
    <w:p>
      <w:pPr>
        <w:pStyle w:val="Heading4"/>
      </w:pPr>
      <w:r>
        <w:t xml:space="preserve">Index effort counts</w:t>
      </w:r>
    </w:p>
    <w:p>
      <w:pPr>
        <w:pStyle w:val="FirstParagraph"/>
      </w:pPr>
      <w:r>
        <w:t xml:space="preserve">Annual patterns in counts of vehicles and trailers exhibited some variability among years during the monitoring period. In 2021, across all months the mean daily index effort count of boat trailers was 1.11 (SD = 1.26,</w:t>
      </w:r>
      <w:r>
        <w:t xml:space="preserve"> </w:t>
      </w:r>
      <w:r>
        <w:rPr>
          <w:i/>
          <w:iCs/>
        </w:rPr>
        <w:t xml:space="preserve">n</w:t>
      </w:r>
      <w:r>
        <w:t xml:space="preserve"> </w:t>
      </w:r>
      <w:r>
        <w:t xml:space="preserve">= 57) and the mean daily index effort count of vehicles was 61.37 (SD = 52.75,</w:t>
      </w:r>
      <w:r>
        <w:t xml:space="preserve"> </w:t>
      </w:r>
      <w:r>
        <w:rPr>
          <w:i/>
          <w:iCs/>
        </w:rPr>
        <w:t xml:space="preserve">n</w:t>
      </w:r>
      <w:r>
        <w:t xml:space="preserve"> </w:t>
      </w:r>
      <w:r>
        <w:t xml:space="preserve">= 57). In 2022, across all months the mean daily index effort count of boat trailers was 0.9 (SD = 1.25,</w:t>
      </w:r>
      <w:r>
        <w:t xml:space="preserve"> </w:t>
      </w:r>
      <w:r>
        <w:rPr>
          <w:i/>
          <w:iCs/>
        </w:rPr>
        <w:t xml:space="preserve">n</w:t>
      </w:r>
      <w:r>
        <w:t xml:space="preserve"> </w:t>
      </w:r>
      <w:r>
        <w:t xml:space="preserve">= 156) and the mean daily index effort count of vehicles was 22.26 (SD = 37.38,</w:t>
      </w:r>
      <w:r>
        <w:t xml:space="preserve"> </w:t>
      </w:r>
      <w:r>
        <w:rPr>
          <w:i/>
          <w:iCs/>
        </w:rPr>
        <w:t xml:space="preserve">n</w:t>
      </w:r>
      <w:r>
        <w:t xml:space="preserve"> </w:t>
      </w:r>
      <w:r>
        <w:t xml:space="preserve">= 156). In 2023, across all months the mean daily index effort count of boat trailers was 0.71 (SD = 0.98,</w:t>
      </w:r>
      <w:r>
        <w:t xml:space="preserve"> </w:t>
      </w:r>
      <w:r>
        <w:rPr>
          <w:i/>
          <w:iCs/>
        </w:rPr>
        <w:t xml:space="preserve">n</w:t>
      </w:r>
      <w:r>
        <w:t xml:space="preserve"> </w:t>
      </w:r>
      <w:r>
        <w:t xml:space="preserve">= 150) and the mean daily index effort count of vehicles was 20.39 (SD = 34.53,</w:t>
      </w:r>
      <w:r>
        <w:t xml:space="preserve"> </w:t>
      </w:r>
      <w:r>
        <w:rPr>
          <w:i/>
          <w:iCs/>
        </w:rPr>
        <w:t xml:space="preserve">n</w:t>
      </w:r>
      <w:r>
        <w:t xml:space="preserve"> </w:t>
      </w:r>
      <w:r>
        <w:t xml:space="preserve">= 150).</w:t>
      </w:r>
    </w:p>
    <w:p>
      <w:pPr>
        <w:pStyle w:val="BodyText"/>
      </w:pPr>
      <w:r>
        <w:t xml:space="preserve">Monthly vehicle and trailer count data exhibited similar seasonal patterns in across the three years, with some differences in variability related to time period and count type. Mean daily index effort counts in August and September of 2021 were higher than in corresponding months in 2022 and 2023. Importantly, we did not conduct census effort counts in 2021, which limits inferences that could be made regarding true difference in angling effort across years. In each month, the standard deviation of mean daily vehicle counts was larger than that observed for trailer counts, indicating more variability in index effort counts of vehicles than boat trailers.</w:t>
      </w:r>
    </w:p>
    <w:p>
      <w:pPr>
        <w:pStyle w:val="CaptionedFigure"/>
      </w:pPr>
      <w:r>
        <w:drawing>
          <wp:inline>
            <wp:extent cx="5943600" cy="2971800"/>
            <wp:effectExtent b="0" l="0" r="0" t="0"/>
            <wp:docPr descr="Figure _. Box and whisker plot of mean daily index effort counts, categorized by vehicle (green) and boat trailer (red) count types, per month on the Nisqually River from 2021 to 2023. The lower and upper hinges correspond to the first and third quartiles (the 25th and 75th percentiles). The upper whisker extends from the hinge to the largest value no further than 1.5 * IQR from the hinge (where IQR is the inter-quartile range, or distance between the first and third quartiles). The lower whisker extends from the hinge to the smallest value at most 1.5 * IQR of the hinge. Data beyond the end of the whiskers are plotted individually." title="" id="53" name="Picture"/>
            <a:graphic>
              <a:graphicData uri="http://schemas.openxmlformats.org/drawingml/2006/picture">
                <pic:pic>
                  <pic:nvPicPr>
                    <pic:cNvPr descr="results_1_creel_sampling_evaluation_files/figure-docx/effort_index_box_whisker_plot-1.png" id="54" name="Picture"/>
                    <pic:cNvPicPr>
                      <a:picLocks noChangeArrowheads="1" noChangeAspect="1"/>
                    </pic:cNvPicPr>
                  </pic:nvPicPr>
                  <pic:blipFill>
                    <a:blip r:embed="rId52"/>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_. Box and whisker plot of mean daily index effort counts, categorized by vehicle (green) and boat trailer (red) count types, per month on the Nisqually River from 2021 to 2023. The lower and upper hinges correspond to the first and third quartiles (the 25th and 75th percentiles). The upper whisker extends from the hinge to the largest value no further than 1.5 * IQR from the hinge (where IQR is the inter-quartile range, or distance between the first and third quartiles). The lower whisker extends from the hinge to the smallest value at most 1.5 * IQR of the hinge. Data beyond the end of the whiskers are plotted individually.</w:t>
      </w:r>
    </w:p>
    <w:p>
      <w:pPr>
        <w:pStyle w:val="CaptionedFigure"/>
      </w:pPr>
      <w:r>
        <w:drawing>
          <wp:inline>
            <wp:extent cx="5943600" cy="2971800"/>
            <wp:effectExtent b="0" l="0" r="0" t="0"/>
            <wp:docPr descr="Figure _. Mean daily index effort counts of vehicles and trailers from 2021 through 2023 in the Nisqually River. July counts are not shown for 2022 and 2023 for consist" title="" id="56" name="Picture"/>
            <a:graphic>
              <a:graphicData uri="http://schemas.openxmlformats.org/drawingml/2006/picture">
                <pic:pic>
                  <pic:nvPicPr>
                    <pic:cNvPr descr="results_1_creel_sampling_evaluation_files/figure-docx/effort_index_line_plot-1.png" id="57" name="Picture"/>
                    <pic:cNvPicPr>
                      <a:picLocks noChangeArrowheads="1" noChangeAspect="1"/>
                    </pic:cNvPicPr>
                  </pic:nvPicPr>
                  <pic:blipFill>
                    <a:blip r:embed="rId55"/>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_. Mean daily index effort counts of vehicles and trailers from 2021 through 2023 in the Nisqually River. July counts are not shown for 2022 and 2023 for consist</w:t>
      </w:r>
    </w:p>
    <w:bookmarkEnd w:id="58"/>
    <w:bookmarkStart w:id="62" w:name="census-effort-counts"/>
    <w:p>
      <w:pPr>
        <w:pStyle w:val="Heading4"/>
      </w:pPr>
      <w:r>
        <w:t xml:space="preserve">Census effort counts</w:t>
      </w:r>
    </w:p>
    <w:p>
      <w:pPr>
        <w:pStyle w:val="FirstParagraph"/>
      </w:pPr>
      <w:r>
        <w:t xml:space="preserve">In 2022 we conducted 15 census effort counts of anglers. In 2023 we conducted 9 census effort counts of anglers. Proportions of observed angler types were similar across years. Cumulative census counts of two angler types, 1) bank anglers without a vessel, and 2) boat anglers using a motorized boat, drift boat, or raft made up 89% and 7% of observed anglers in 2022, respectively, and 89% and 8% of observed anglers in 2023 (Figure ).</w:t>
      </w:r>
    </w:p>
    <w:p>
      <w:pPr>
        <w:pStyle w:val="CaptionedFigure"/>
      </w:pPr>
      <w:r>
        <w:drawing>
          <wp:inline>
            <wp:extent cx="4579632" cy="3663706"/>
            <wp:effectExtent b="0" l="0" r="0" t="0"/>
            <wp:docPr descr="Figure _. Stacked barplots with cumulative counts of anglers observed during census effort count surveys in the Nisqually River in 2022 and 2023. The table contains cumulative counts, with each row grouped by angler type and columns grouping data by year." title="" id="60" name="Picture"/>
            <a:graphic>
              <a:graphicData uri="http://schemas.openxmlformats.org/drawingml/2006/picture">
                <pic:pic>
                  <pic:nvPicPr>
                    <pic:cNvPr descr="results_1_creel_sampling_evaluation_files/figure-docx/census_count_totals_barplot-1.png" id="61" name="Picture"/>
                    <pic:cNvPicPr>
                      <a:picLocks noChangeArrowheads="1" noChangeAspect="1"/>
                    </pic:cNvPicPr>
                  </pic:nvPicPr>
                  <pic:blipFill>
                    <a:blip r:embed="rId59"/>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Stacked barplots with cumulative counts of anglers observed during census effort count surveys in the Nisqually River in 2022 and 2023. The table contains cumulative counts, with each row grouped by angler type and columns grouping data by year.</w:t>
      </w:r>
    </w:p>
    <w:bookmarkEnd w:id="62"/>
    <w:bookmarkEnd w:id="63"/>
    <w:bookmarkStart w:id="75" w:name="angler-trips-and-sampling-rate"/>
    <w:p>
      <w:pPr>
        <w:pStyle w:val="Heading3"/>
      </w:pPr>
      <w:r>
        <w:t xml:space="preserve">Angler trips and sampling rate</w:t>
      </w:r>
    </w:p>
    <w:bookmarkStart w:id="64" w:name="estimated-number-of-angler-trips"/>
    <w:p>
      <w:pPr>
        <w:pStyle w:val="Heading4"/>
      </w:pPr>
      <w:r>
        <w:t xml:space="preserve">Estimated number of angler trips</w:t>
      </w:r>
    </w:p>
    <w:p>
      <w:pPr>
        <w:pStyle w:val="FirstParagraph"/>
      </w:pPr>
      <w:r>
        <w:t xml:space="preserve">Across all months and years, the mean trip length of banks anglers was 3.36 hours (SD = 1.97, CV = 0.59), and the mean trip length of boat anglers was 7.08 hours (SD = 2.91, CV = 0.41). Bank anglers on average fished for less time than boat anglers and exhibited more variability in trip length time. Within each angler type, estimates of mean trip length exhibited little variability across months and lacked discernible temporal trends (Figure 9).</w:t>
      </w:r>
    </w:p>
    <w:bookmarkEnd w:id="64"/>
    <w:bookmarkStart w:id="74" w:name="angler-sampling-rate"/>
    <w:p>
      <w:pPr>
        <w:pStyle w:val="Heading4"/>
      </w:pPr>
      <w:r>
        <w:t xml:space="preserve">Angler Sampling rate</w:t>
      </w:r>
    </w:p>
    <w:p>
      <w:pPr>
        <w:pStyle w:val="FirstParagraph"/>
      </w:pPr>
      <w:r>
        <w:t xml:space="preserve">Using the monthly mean trip time and estimated seasonal total angling effort (angler-hours), we estimated the number of bank and boat angler trips. In 2022, an estimated 17311 angling trips occurred</w:t>
      </w:r>
      <w:r>
        <w:t xml:space="preserve"> </w:t>
      </w:r>
      <w:r>
        <w:rPr>
          <w:i/>
          <w:iCs/>
        </w:rPr>
        <w:t xml:space="preserve">(n</w:t>
      </w:r>
      <w:r>
        <w:rPr>
          <w:vertAlign w:val="subscript"/>
        </w:rPr>
        <w:t xml:space="preserve">bank</w:t>
      </w:r>
      <w:r>
        <w:t xml:space="preserve"> </w:t>
      </w:r>
      <w:r>
        <w:t xml:space="preserve">= 16202,</w:t>
      </w:r>
      <w:r>
        <w:t xml:space="preserve"> </w:t>
      </w:r>
      <w:r>
        <w:rPr>
          <w:i/>
          <w:iCs/>
        </w:rPr>
        <w:t xml:space="preserve">n</w:t>
      </w:r>
      <w:r>
        <w:rPr>
          <w:vertAlign w:val="subscript"/>
        </w:rPr>
        <w:t xml:space="preserve">boat</w:t>
      </w:r>
      <w:r>
        <w:t xml:space="preserve"> </w:t>
      </w:r>
      <w:r>
        <w:t xml:space="preserve">= 1109. In 2023, an estimated 18376 angling trips occurred (</w:t>
      </w:r>
      <w:r>
        <w:rPr>
          <w:i/>
          <w:iCs/>
        </w:rPr>
        <w:t xml:space="preserve">n</w:t>
      </w:r>
      <w:r>
        <w:rPr>
          <w:vertAlign w:val="subscript"/>
        </w:rPr>
        <w:t xml:space="preserve">bank</w:t>
      </w:r>
      <w:r>
        <w:t xml:space="preserve"> </w:t>
      </w:r>
      <w:r>
        <w:t xml:space="preserve">= 17149,</w:t>
      </w:r>
      <w:r>
        <w:t xml:space="preserve"> </w:t>
      </w:r>
      <w:r>
        <w:rPr>
          <w:i/>
          <w:iCs/>
        </w:rPr>
        <w:t xml:space="preserve">n</w:t>
      </w:r>
      <w:r>
        <w:rPr>
          <w:vertAlign w:val="subscript"/>
        </w:rPr>
        <w:t xml:space="preserve">boat</w:t>
      </w:r>
      <w:r>
        <w:t xml:space="preserve"> </w:t>
      </w:r>
      <w:r>
        <w:t xml:space="preserve">= 1227. Given relative consistency in monthly mean trip length estimates (Figure 9), the estimated number of angler-trips per month (Figure 10) followed a similar pattern to the estimated seasonal total angler effort.</w:t>
      </w:r>
    </w:p>
    <w:p>
      <w:r>
        <w:br w:type="page"/>
      </w:r>
    </w:p>
    <w:p>
      <w:pPr>
        <w:pStyle w:val="CaptionedFigure"/>
      </w:pPr>
      <w:r>
        <w:drawing>
          <wp:inline>
            <wp:extent cx="4579632" cy="3663706"/>
            <wp:effectExtent b="0" l="0" r="0" t="0"/>
            <wp:docPr descr="Figure _. The estimated number of individual angler trips, categorized by bank (blue) and boat (orange) angler types, per month on the Humptulips River from September 1, 2022 to November 29, 2023. The fishery was closed through emergency regulations from October 8, 2022 to October 28, 2022 due to drought conditions. The fishery was not open in December 2023." title="" id="66" name="Picture"/>
            <a:graphic>
              <a:graphicData uri="http://schemas.openxmlformats.org/drawingml/2006/picture">
                <pic:pic>
                  <pic:nvPicPr>
                    <pic:cNvPr descr="results_1_creel_sampling_evaluation_files/figure-docx/angler_trip_barplots-1.png" id="67" name="Picture"/>
                    <pic:cNvPicPr>
                      <a:picLocks noChangeArrowheads="1" noChangeAspect="1"/>
                    </pic:cNvPicPr>
                  </pic:nvPicPr>
                  <pic:blipFill>
                    <a:blip r:embed="rId65"/>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estimated number of individual angler trips, categorized by bank (blue) and boat (orange) angler types, per month on the Humptulips River from September 1, 2022 to November 29, 2023. The fishery was closed through emergency regulations from October 8, 2022 to October 28, 2022 due to drought conditions. The fishery was not open in December 2023.</w:t>
      </w:r>
    </w:p>
    <w:p>
      <w:pPr>
        <w:pStyle w:val="BodyText"/>
      </w:pPr>
      <w:r>
        <w:drawing>
          <wp:inline>
            <wp:extent cx="4579632" cy="3663706"/>
            <wp:effectExtent b="0" l="0" r="0" t="0"/>
            <wp:docPr descr="" title="" id="69" name="Picture"/>
            <a:graphic>
              <a:graphicData uri="http://schemas.openxmlformats.org/drawingml/2006/picture">
                <pic:pic>
                  <pic:nvPicPr>
                    <pic:cNvPr descr="results_1_creel_sampling_evaluation_files/figure-docx/unnamed-chunk-6-1.png" id="70" name="Picture"/>
                    <pic:cNvPicPr>
                      <a:picLocks noChangeArrowheads="1" noChangeAspect="1"/>
                    </pic:cNvPicPr>
                  </pic:nvPicPr>
                  <pic:blipFill>
                    <a:blip r:embed="rId68"/>
                    <a:stretch>
                      <a:fillRect/>
                    </a:stretch>
                  </pic:blipFill>
                  <pic:spPr bwMode="auto">
                    <a:xfrm>
                      <a:off x="0" y="0"/>
                      <a:ext cx="4579632" cy="3663706"/>
                    </a:xfrm>
                    <a:prstGeom prst="rect">
                      <a:avLst/>
                    </a:prstGeom>
                    <a:noFill/>
                    <a:ln w="9525">
                      <a:noFill/>
                      <a:headEnd/>
                      <a:tailEnd/>
                    </a:ln>
                  </pic:spPr>
                </pic:pic>
              </a:graphicData>
            </a:graphic>
          </wp:inline>
        </w:drawing>
      </w:r>
    </w:p>
    <w:p>
      <w:pPr>
        <w:pStyle w:val="CaptionedFigure"/>
      </w:pPr>
      <w:r>
        <w:drawing>
          <wp:inline>
            <wp:extent cx="4579632" cy="3663706"/>
            <wp:effectExtent b="0" l="0" r="0" t="0"/>
            <wp:docPr descr="Figure _. The estimated sampling rate of anglers, calculated as a ratio of angler hours directly sampled in interviews to estimated total angling effort, as a function of the total number of individuals within anglers groups interviewed per month, categorized by bank (blue) and boat (orange) angling groups." title="" id="72" name="Picture"/>
            <a:graphic>
              <a:graphicData uri="http://schemas.openxmlformats.org/drawingml/2006/picture">
                <pic:pic>
                  <pic:nvPicPr>
                    <pic:cNvPr descr="results_1_creel_sampling_evaluation_files/figure-docx/sample_rate_vs_estimated_effort_plot-1.png" id="73" name="Picture"/>
                    <pic:cNvPicPr>
                      <a:picLocks noChangeArrowheads="1" noChangeAspect="1"/>
                    </pic:cNvPicPr>
                  </pic:nvPicPr>
                  <pic:blipFill>
                    <a:blip r:embed="rId71"/>
                    <a:stretch>
                      <a:fillRect/>
                    </a:stretch>
                  </pic:blipFill>
                  <pic:spPr bwMode="auto">
                    <a:xfrm>
                      <a:off x="0" y="0"/>
                      <a:ext cx="4579632" cy="3663706"/>
                    </a:xfrm>
                    <a:prstGeom prst="rect">
                      <a:avLst/>
                    </a:prstGeom>
                    <a:noFill/>
                    <a:ln w="9525">
                      <a:noFill/>
                      <a:headEnd/>
                      <a:tailEnd/>
                    </a:ln>
                  </pic:spPr>
                </pic:pic>
              </a:graphicData>
            </a:graphic>
          </wp:inline>
        </w:drawing>
      </w:r>
    </w:p>
    <w:p>
      <w:pPr>
        <w:pStyle w:val="ImageCaption"/>
      </w:pPr>
      <w:r>
        <w:t xml:space="preserve">Figure _. The estimated sampling rate of anglers, calculated as a ratio of angler hours directly sampled in interviews to estimated total angling effort, as a function of the total number of individuals within anglers groups interviewed per month, categorized by bank (blue) and boat (orange) angling groups.</w:t>
      </w:r>
    </w:p>
    <w:bookmarkEnd w:id="74"/>
    <w:bookmarkEnd w:id="75"/>
    <w:bookmarkEnd w:id="76"/>
    <w:bookmarkEnd w:id="77"/>
    <w:sectPr w:rsidR="009D56B0" w:rsidRPr="002D2FBD" w:rsidSect="007B5CFA">
      <w:footerReference r:id="rId10" w:type="default"/>
      <w:footerReference r:id="rId9" w:type="first"/>
      <w:pgSz w:code="1" w:h="15840" w:w="12240"/>
      <w:pgMar w:bottom="1440" w:footer="720" w:gutter="0" w:header="720" w:left="1440" w:right="144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BCF7" w14:textId="7C825BFC" w:rsidR="00AF23D4" w:rsidRPr="000A1A65" w:rsidRDefault="00C239BA" w:rsidP="007274BF">
    <w:pPr>
      <w:pStyle w:val="Footer"/>
      <w:pBdr>
        <w:top w:val="single" w:sz="4" w:space="1" w:color="auto"/>
      </w:pBd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3361" w14:textId="4740E150" w:rsidR="00C84A2A" w:rsidRDefault="00C84A2A" w:rsidP="002608A1">
    <w:pPr>
      <w:pStyle w:val="Publicationdate"/>
    </w:pPr>
    <w:r>
      <w:rPr>
        <w:noProof/>
      </w:rPr>
      <w:drawing>
        <wp:inline distT="0" distB="0" distL="0" distR="0" wp14:anchorId="1F108212" wp14:editId="575AB55E">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1F516484" w14:textId="3802A9CD" w:rsidR="003F5115" w:rsidRDefault="002608A1" w:rsidP="002608A1">
    <w:pPr>
      <w:pStyle w:val="Publicationdate"/>
    </w:pPr>
    <w:r w:rsidRPr="00605ABA">
      <w:t>Month Day, Year</w:t>
    </w:r>
    <w:r w:rsidR="00725B4C">
      <w:t xml:space="preserve"> </w:t>
    </w:r>
    <w:r w:rsidR="003A2E38" w:rsidRPr="00FE2AB2">
      <w:rPr>
        <w:highlight w:val="yellow"/>
      </w:rPr>
      <w:t>(</w:t>
    </w:r>
    <w:r w:rsidR="00725B4C" w:rsidRPr="00FE2AB2">
      <w:rPr>
        <w:highlight w:val="yellow"/>
      </w:rPr>
      <w:t xml:space="preserve">Double click </w:t>
    </w:r>
    <w:r w:rsidR="003A2E38" w:rsidRPr="00FE2AB2">
      <w:rPr>
        <w:highlight w:val="yellow"/>
      </w:rPr>
      <w:t xml:space="preserve">footer </w:t>
    </w:r>
    <w:r w:rsidR="00725B4C" w:rsidRPr="00FE2AB2">
      <w:rPr>
        <w:highlight w:val="yellow"/>
      </w:rPr>
      <w:t xml:space="preserve">to </w:t>
    </w:r>
    <w:r w:rsidR="003A2E38" w:rsidRPr="00FE2AB2">
      <w:rPr>
        <w:highlight w:val="yellow"/>
      </w:rPr>
      <w:t>add date)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EA398A"/>
    <w:multiLevelType w:val="hybridMultilevel"/>
    <w:tmpl w:val="3EC0E0C8"/>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
    <w:nsid w:val="0CCC3068"/>
    <w:multiLevelType w:val="hybridMultilevel"/>
    <w:tmpl w:val="8D9AF2A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E2E2425"/>
    <w:multiLevelType w:val="multilevel"/>
    <w:tmpl w:val="58587EEA"/>
    <w:numStyleLink w:val="XXXXXXXX"/>
  </w:abstractNum>
  <w:abstractNum w15:restartNumberingAfterBreak="0" w:abstractNumId="3">
    <w:nsid w:val="102D5174"/>
    <w:multiLevelType w:val="hybridMultilevel"/>
    <w:tmpl w:val="80E0B4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F13514E"/>
    <w:multiLevelType w:val="hybridMultilevel"/>
    <w:tmpl w:val="D870FA76"/>
    <w:lvl w:ilvl="0" w:tplc="070E0B04">
      <w:start w:val="1"/>
      <w:numFmt w:val="bullet"/>
      <w:lvlText w:val=""/>
      <w:lvlJc w:val="left"/>
      <w:pPr>
        <w:tabs>
          <w:tab w:pos="720" w:val="num"/>
        </w:tabs>
        <w:ind w:hanging="360" w:left="720"/>
      </w:pPr>
      <w:rPr>
        <w:rFonts w:ascii="Symbol" w:hAnsi="Symbol" w:hint="default"/>
      </w:rPr>
    </w:lvl>
    <w:lvl w:ilvl="1" w:tentative="1" w:tplc="FB8E3CE4">
      <w:start w:val="1"/>
      <w:numFmt w:val="bullet"/>
      <w:lvlText w:val=""/>
      <w:lvlJc w:val="left"/>
      <w:pPr>
        <w:tabs>
          <w:tab w:pos="1440" w:val="num"/>
        </w:tabs>
        <w:ind w:hanging="360" w:left="1440"/>
      </w:pPr>
      <w:rPr>
        <w:rFonts w:ascii="Symbol" w:hAnsi="Symbol" w:hint="default"/>
      </w:rPr>
    </w:lvl>
    <w:lvl w:ilvl="2" w:tentative="1" w:tplc="7A7A1914">
      <w:start w:val="1"/>
      <w:numFmt w:val="bullet"/>
      <w:lvlText w:val=""/>
      <w:lvlJc w:val="left"/>
      <w:pPr>
        <w:tabs>
          <w:tab w:pos="2160" w:val="num"/>
        </w:tabs>
        <w:ind w:hanging="360" w:left="2160"/>
      </w:pPr>
      <w:rPr>
        <w:rFonts w:ascii="Symbol" w:hAnsi="Symbol" w:hint="default"/>
      </w:rPr>
    </w:lvl>
    <w:lvl w:ilvl="3" w:tentative="1" w:tplc="83D053E2">
      <w:start w:val="1"/>
      <w:numFmt w:val="bullet"/>
      <w:lvlText w:val=""/>
      <w:lvlJc w:val="left"/>
      <w:pPr>
        <w:tabs>
          <w:tab w:pos="2880" w:val="num"/>
        </w:tabs>
        <w:ind w:hanging="360" w:left="2880"/>
      </w:pPr>
      <w:rPr>
        <w:rFonts w:ascii="Symbol" w:hAnsi="Symbol" w:hint="default"/>
      </w:rPr>
    </w:lvl>
    <w:lvl w:ilvl="4" w:tentative="1" w:tplc="8D128EF2">
      <w:start w:val="1"/>
      <w:numFmt w:val="bullet"/>
      <w:lvlText w:val=""/>
      <w:lvlJc w:val="left"/>
      <w:pPr>
        <w:tabs>
          <w:tab w:pos="3600" w:val="num"/>
        </w:tabs>
        <w:ind w:hanging="360" w:left="3600"/>
      </w:pPr>
      <w:rPr>
        <w:rFonts w:ascii="Symbol" w:hAnsi="Symbol" w:hint="default"/>
      </w:rPr>
    </w:lvl>
    <w:lvl w:ilvl="5" w:tentative="1" w:tplc="58D2DC0E">
      <w:start w:val="1"/>
      <w:numFmt w:val="bullet"/>
      <w:lvlText w:val=""/>
      <w:lvlJc w:val="left"/>
      <w:pPr>
        <w:tabs>
          <w:tab w:pos="4320" w:val="num"/>
        </w:tabs>
        <w:ind w:hanging="360" w:left="4320"/>
      </w:pPr>
      <w:rPr>
        <w:rFonts w:ascii="Symbol" w:hAnsi="Symbol" w:hint="default"/>
      </w:rPr>
    </w:lvl>
    <w:lvl w:ilvl="6" w:tentative="1" w:tplc="8FFAD70C">
      <w:start w:val="1"/>
      <w:numFmt w:val="bullet"/>
      <w:lvlText w:val=""/>
      <w:lvlJc w:val="left"/>
      <w:pPr>
        <w:tabs>
          <w:tab w:pos="5040" w:val="num"/>
        </w:tabs>
        <w:ind w:hanging="360" w:left="5040"/>
      </w:pPr>
      <w:rPr>
        <w:rFonts w:ascii="Symbol" w:hAnsi="Symbol" w:hint="default"/>
      </w:rPr>
    </w:lvl>
    <w:lvl w:ilvl="7" w:tentative="1" w:tplc="755EF48C">
      <w:start w:val="1"/>
      <w:numFmt w:val="bullet"/>
      <w:lvlText w:val=""/>
      <w:lvlJc w:val="left"/>
      <w:pPr>
        <w:tabs>
          <w:tab w:pos="5760" w:val="num"/>
        </w:tabs>
        <w:ind w:hanging="360" w:left="5760"/>
      </w:pPr>
      <w:rPr>
        <w:rFonts w:ascii="Symbol" w:hAnsi="Symbol" w:hint="default"/>
      </w:rPr>
    </w:lvl>
    <w:lvl w:ilvl="8" w:tentative="1" w:tplc="6AF22106">
      <w:start w:val="1"/>
      <w:numFmt w:val="bullet"/>
      <w:lvlText w:val=""/>
      <w:lvlJc w:val="left"/>
      <w:pPr>
        <w:tabs>
          <w:tab w:pos="6480" w:val="num"/>
        </w:tabs>
        <w:ind w:hanging="360" w:left="6480"/>
      </w:pPr>
      <w:rPr>
        <w:rFonts w:ascii="Symbol" w:hAnsi="Symbol" w:hint="default"/>
      </w:rPr>
    </w:lvl>
  </w:abstractNum>
  <w:abstractNum w15:restartNumberingAfterBreak="0" w:abstractNumId="5">
    <w:nsid w:val="3F5E342E"/>
    <w:multiLevelType w:val="hybridMultilevel"/>
    <w:tmpl w:val="1D243E2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4406588F"/>
    <w:multiLevelType w:val="hybridMultilevel"/>
    <w:tmpl w:val="398E72D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7">
    <w:nsid w:val="487046C4"/>
    <w:multiLevelType w:val="hybridMultilevel"/>
    <w:tmpl w:val="46BC052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4A625CB0"/>
    <w:multiLevelType w:val="hybridMultilevel"/>
    <w:tmpl w:val="30184F68"/>
    <w:lvl w:ilvl="0" w:tplc="04090009">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9">
    <w:nsid w:val="4AFF5A41"/>
    <w:multiLevelType w:val="multilevel"/>
    <w:tmpl w:val="58587EEA"/>
    <w:styleLink w:val="XXXXXXXX"/>
    <w:lvl w:ilvl="0">
      <w:start w:val="1"/>
      <w:numFmt w:val="bullet"/>
      <w:pStyle w:val="Bullet1"/>
      <w:lvlText w:val=""/>
      <w:lvlJc w:val="left"/>
      <w:pPr>
        <w:tabs>
          <w:tab w:pos="360" w:val="num"/>
        </w:tabs>
        <w:ind w:hanging="216" w:left="576"/>
      </w:pPr>
      <w:rPr>
        <w:rFonts w:ascii="Symbol" w:hAnsi="Symbol" w:hint="default"/>
        <w:color w:val="auto"/>
        <w:position w:val="3"/>
      </w:rPr>
    </w:lvl>
    <w:lvl w:ilvl="1">
      <w:start w:val="1"/>
      <w:numFmt w:val="bullet"/>
      <w:lvlText w:val=""/>
      <w:lvlJc w:val="left"/>
      <w:pPr>
        <w:ind w:hanging="216" w:left="792"/>
      </w:pPr>
      <w:rPr>
        <w:rFonts w:ascii="Symbol" w:hAnsi="Symbol" w:hint="default"/>
        <w:color w:val="auto"/>
      </w:rPr>
    </w:lvl>
    <w:lvl w:ilvl="2">
      <w:start w:val="1"/>
      <w:numFmt w:val="bullet"/>
      <w:lvlText w:val=""/>
      <w:lvlJc w:val="left"/>
      <w:pPr>
        <w:ind w:hanging="216" w:left="1008"/>
      </w:pPr>
      <w:rPr>
        <w:rFonts w:ascii="Symbol" w:hAnsi="Symbol" w:hint="default"/>
        <w:color w:val="auto"/>
        <w:position w:val="3"/>
      </w:rPr>
    </w:lvl>
    <w:lvl w:ilvl="3">
      <w:start w:val="1"/>
      <w:numFmt w:val="decimal"/>
      <w:lvlText w:val="(%4)"/>
      <w:lvlJc w:val="left"/>
      <w:pPr>
        <w:ind w:hanging="360" w:left="-1800"/>
      </w:pPr>
      <w:rPr>
        <w:rFonts w:hint="default"/>
      </w:rPr>
    </w:lvl>
    <w:lvl w:ilvl="4">
      <w:start w:val="1"/>
      <w:numFmt w:val="lowerLetter"/>
      <w:lvlText w:val="(%5)"/>
      <w:lvlJc w:val="left"/>
      <w:pPr>
        <w:ind w:hanging="360" w:left="-1440"/>
      </w:pPr>
      <w:rPr>
        <w:rFonts w:hint="default"/>
      </w:rPr>
    </w:lvl>
    <w:lvl w:ilvl="5">
      <w:start w:val="1"/>
      <w:numFmt w:val="lowerRoman"/>
      <w:lvlText w:val="(%6)"/>
      <w:lvlJc w:val="left"/>
      <w:pPr>
        <w:ind w:hanging="360" w:left="-1080"/>
      </w:pPr>
      <w:rPr>
        <w:rFonts w:hint="default"/>
      </w:rPr>
    </w:lvl>
    <w:lvl w:ilvl="6">
      <w:start w:val="1"/>
      <w:numFmt w:val="decimal"/>
      <w:lvlText w:val="%7."/>
      <w:lvlJc w:val="left"/>
      <w:pPr>
        <w:ind w:hanging="360" w:left="-720"/>
      </w:pPr>
      <w:rPr>
        <w:rFonts w:hint="default"/>
      </w:rPr>
    </w:lvl>
    <w:lvl w:ilvl="7">
      <w:start w:val="1"/>
      <w:numFmt w:val="lowerLetter"/>
      <w:lvlText w:val="%8."/>
      <w:lvlJc w:val="left"/>
      <w:pPr>
        <w:ind w:hanging="360" w:left="-360"/>
      </w:pPr>
      <w:rPr>
        <w:rFonts w:hint="default"/>
      </w:rPr>
    </w:lvl>
    <w:lvl w:ilvl="8">
      <w:start w:val="1"/>
      <w:numFmt w:val="lowerRoman"/>
      <w:lvlText w:val="%9."/>
      <w:lvlJc w:val="left"/>
      <w:pPr>
        <w:ind w:hanging="360" w:left="0"/>
      </w:pPr>
      <w:rPr>
        <w:rFonts w:hint="default"/>
      </w:rPr>
    </w:lvl>
  </w:abstractNum>
  <w:abstractNum w15:restartNumberingAfterBreak="0" w:abstractNumId="10">
    <w:nsid w:val="4E9A1F6E"/>
    <w:multiLevelType w:val="hybridMultilevel"/>
    <w:tmpl w:val="0204AA02"/>
    <w:lvl w:ilvl="0" w:tplc="80047F42">
      <w:start w:val="1"/>
      <w:numFmt w:val="bullet"/>
      <w:lvlText w:val="•"/>
      <w:lvlJc w:val="left"/>
      <w:pPr>
        <w:tabs>
          <w:tab w:pos="720" w:val="num"/>
        </w:tabs>
        <w:ind w:hanging="360" w:left="720"/>
      </w:pPr>
      <w:rPr>
        <w:rFonts w:ascii="Arial" w:hAnsi="Arial" w:hint="default"/>
      </w:rPr>
    </w:lvl>
    <w:lvl w:ilvl="1" w:tentative="1" w:tplc="7250FC1E">
      <w:start w:val="1"/>
      <w:numFmt w:val="bullet"/>
      <w:lvlText w:val="•"/>
      <w:lvlJc w:val="left"/>
      <w:pPr>
        <w:tabs>
          <w:tab w:pos="1440" w:val="num"/>
        </w:tabs>
        <w:ind w:hanging="360" w:left="1440"/>
      </w:pPr>
      <w:rPr>
        <w:rFonts w:ascii="Arial" w:hAnsi="Arial" w:hint="default"/>
      </w:rPr>
    </w:lvl>
    <w:lvl w:ilvl="2" w:tentative="1" w:tplc="D444BB94">
      <w:start w:val="1"/>
      <w:numFmt w:val="bullet"/>
      <w:lvlText w:val="•"/>
      <w:lvlJc w:val="left"/>
      <w:pPr>
        <w:tabs>
          <w:tab w:pos="2160" w:val="num"/>
        </w:tabs>
        <w:ind w:hanging="360" w:left="2160"/>
      </w:pPr>
      <w:rPr>
        <w:rFonts w:ascii="Arial" w:hAnsi="Arial" w:hint="default"/>
      </w:rPr>
    </w:lvl>
    <w:lvl w:ilvl="3" w:tentative="1" w:tplc="98A69964">
      <w:start w:val="1"/>
      <w:numFmt w:val="bullet"/>
      <w:lvlText w:val="•"/>
      <w:lvlJc w:val="left"/>
      <w:pPr>
        <w:tabs>
          <w:tab w:pos="2880" w:val="num"/>
        </w:tabs>
        <w:ind w:hanging="360" w:left="2880"/>
      </w:pPr>
      <w:rPr>
        <w:rFonts w:ascii="Arial" w:hAnsi="Arial" w:hint="default"/>
      </w:rPr>
    </w:lvl>
    <w:lvl w:ilvl="4" w:tentative="1" w:tplc="1124F654">
      <w:start w:val="1"/>
      <w:numFmt w:val="bullet"/>
      <w:lvlText w:val="•"/>
      <w:lvlJc w:val="left"/>
      <w:pPr>
        <w:tabs>
          <w:tab w:pos="3600" w:val="num"/>
        </w:tabs>
        <w:ind w:hanging="360" w:left="3600"/>
      </w:pPr>
      <w:rPr>
        <w:rFonts w:ascii="Arial" w:hAnsi="Arial" w:hint="default"/>
      </w:rPr>
    </w:lvl>
    <w:lvl w:ilvl="5" w:tentative="1" w:tplc="85707F00">
      <w:start w:val="1"/>
      <w:numFmt w:val="bullet"/>
      <w:lvlText w:val="•"/>
      <w:lvlJc w:val="left"/>
      <w:pPr>
        <w:tabs>
          <w:tab w:pos="4320" w:val="num"/>
        </w:tabs>
        <w:ind w:hanging="360" w:left="4320"/>
      </w:pPr>
      <w:rPr>
        <w:rFonts w:ascii="Arial" w:hAnsi="Arial" w:hint="default"/>
      </w:rPr>
    </w:lvl>
    <w:lvl w:ilvl="6" w:tentative="1" w:tplc="A458321C">
      <w:start w:val="1"/>
      <w:numFmt w:val="bullet"/>
      <w:lvlText w:val="•"/>
      <w:lvlJc w:val="left"/>
      <w:pPr>
        <w:tabs>
          <w:tab w:pos="5040" w:val="num"/>
        </w:tabs>
        <w:ind w:hanging="360" w:left="5040"/>
      </w:pPr>
      <w:rPr>
        <w:rFonts w:ascii="Arial" w:hAnsi="Arial" w:hint="default"/>
      </w:rPr>
    </w:lvl>
    <w:lvl w:ilvl="7" w:tentative="1" w:tplc="D8909FCA">
      <w:start w:val="1"/>
      <w:numFmt w:val="bullet"/>
      <w:lvlText w:val="•"/>
      <w:lvlJc w:val="left"/>
      <w:pPr>
        <w:tabs>
          <w:tab w:pos="5760" w:val="num"/>
        </w:tabs>
        <w:ind w:hanging="360" w:left="5760"/>
      </w:pPr>
      <w:rPr>
        <w:rFonts w:ascii="Arial" w:hAnsi="Arial" w:hint="default"/>
      </w:rPr>
    </w:lvl>
    <w:lvl w:ilvl="8" w:tentative="1" w:tplc="9370BAA2">
      <w:start w:val="1"/>
      <w:numFmt w:val="bullet"/>
      <w:lvlText w:val="•"/>
      <w:lvlJc w:val="left"/>
      <w:pPr>
        <w:tabs>
          <w:tab w:pos="6480" w:val="num"/>
        </w:tabs>
        <w:ind w:hanging="360" w:left="6480"/>
      </w:pPr>
      <w:rPr>
        <w:rFonts w:ascii="Arial" w:hAnsi="Arial" w:hint="default"/>
      </w:rPr>
    </w:lvl>
  </w:abstractNum>
  <w:abstractNum w15:restartNumberingAfterBreak="0" w:abstractNumId="11">
    <w:nsid w:val="624079A9"/>
    <w:multiLevelType w:val="hybridMultilevel"/>
    <w:tmpl w:val="13843244"/>
    <w:lvl w:ilvl="0" w:tplc="04090009">
      <w:start w:val="1"/>
      <w:numFmt w:val="bullet"/>
      <w:lvlText w:val=""/>
      <w:lvlJc w:val="left"/>
      <w:pPr>
        <w:ind w:hanging="360" w:left="1440"/>
      </w:pPr>
      <w:rPr>
        <w:rFonts w:ascii="Wingdings" w:hAnsi="Wingdings"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74326ECA"/>
    <w:multiLevelType w:val="hybridMultilevel"/>
    <w:tmpl w:val="7B8628D8"/>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7CAA6774"/>
    <w:multiLevelType w:val="hybridMultilevel"/>
    <w:tmpl w:val="4BB26F2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92554836" w:numId="1">
    <w:abstractNumId w:val="4"/>
  </w:num>
  <w:num w16cid:durableId="1028287976" w:numId="2">
    <w:abstractNumId w:val="10"/>
  </w:num>
  <w:num w16cid:durableId="142702262" w:numId="3">
    <w:abstractNumId w:val="12"/>
  </w:num>
  <w:num w16cid:durableId="935022662" w:numId="4">
    <w:abstractNumId w:val="9"/>
  </w:num>
  <w:num w16cid:durableId="178472235" w:numId="5">
    <w:abstractNumId w:val="2"/>
  </w:num>
  <w:num w16cid:durableId="152988880" w:numId="6">
    <w:abstractNumId w:val="7"/>
  </w:num>
  <w:num w16cid:durableId="846823087" w:numId="7">
    <w:abstractNumId w:val="11"/>
  </w:num>
  <w:num w16cid:durableId="2137403619" w:numId="8">
    <w:abstractNumId w:val="8"/>
  </w:num>
  <w:num w16cid:durableId="1262420144" w:numId="9">
    <w:abstractNumId w:val="13"/>
  </w:num>
  <w:num w16cid:durableId="1974558175" w:numId="10">
    <w:abstractNumId w:val="0"/>
  </w:num>
  <w:num w16cid:durableId="1193955660" w:numId="11">
    <w:abstractNumId w:val="3"/>
  </w:num>
  <w:num w16cid:durableId="1983926751" w:numId="12">
    <w:abstractNumId w:val="1"/>
  </w:num>
  <w:num w16cid:durableId="803155498" w:numId="13">
    <w:abstractNumId w:val="5"/>
  </w:num>
  <w:num w16cid:durableId="230967772" w:numId="14">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hideSpellingErrors/>
  <w:hideGrammaticalErrors/>
  <w:proofState w:grammar="clean" w:spelling="clean"/>
  <w:attachedTemplate r:id="rId1"/>
  <w:stylePaneFormatFilter w:allStyles="0" w:alternateStyleNames="1" w:clearFormatting="1" w:customStyles="0" w:directFormattingOnNumbering="0" w:directFormattingOnParagraphs="0" w:directFormattingOnRuns="0" w:directFormattingOnTables="0" w:headingStyles="1" w:latentStyles="1" w:numberingStyles="0" w:stylesInUse="0" w:tableStyles="0" w:top3HeadingStyles="0" w:val="D024" w:visibleStyles="1"/>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3B4"/>
    <w:rsid w:val="00003507"/>
    <w:rsid w:val="000041AB"/>
    <w:rsid w:val="00007946"/>
    <w:rsid w:val="00014EB2"/>
    <w:rsid w:val="000162EB"/>
    <w:rsid w:val="00020B58"/>
    <w:rsid w:val="00020FDA"/>
    <w:rsid w:val="00027ED9"/>
    <w:rsid w:val="00032F8C"/>
    <w:rsid w:val="000340D9"/>
    <w:rsid w:val="0004125A"/>
    <w:rsid w:val="00044035"/>
    <w:rsid w:val="00054BF0"/>
    <w:rsid w:val="000910D5"/>
    <w:rsid w:val="00097383"/>
    <w:rsid w:val="000A1A65"/>
    <w:rsid w:val="000A572A"/>
    <w:rsid w:val="000B158B"/>
    <w:rsid w:val="000B202F"/>
    <w:rsid w:val="000B25B7"/>
    <w:rsid w:val="000C08EC"/>
    <w:rsid w:val="000C0BCE"/>
    <w:rsid w:val="000C274A"/>
    <w:rsid w:val="000C3CF2"/>
    <w:rsid w:val="000C577C"/>
    <w:rsid w:val="000D0AE2"/>
    <w:rsid w:val="000D1472"/>
    <w:rsid w:val="000D3D49"/>
    <w:rsid w:val="000D6382"/>
    <w:rsid w:val="000E1247"/>
    <w:rsid w:val="000E7AAB"/>
    <w:rsid w:val="000F2E91"/>
    <w:rsid w:val="000F534B"/>
    <w:rsid w:val="000F5940"/>
    <w:rsid w:val="001027B3"/>
    <w:rsid w:val="0010399A"/>
    <w:rsid w:val="0010592F"/>
    <w:rsid w:val="00107392"/>
    <w:rsid w:val="0010742F"/>
    <w:rsid w:val="00107F9C"/>
    <w:rsid w:val="00112E02"/>
    <w:rsid w:val="001146A2"/>
    <w:rsid w:val="00115CBA"/>
    <w:rsid w:val="00117A0F"/>
    <w:rsid w:val="00120E75"/>
    <w:rsid w:val="001269D6"/>
    <w:rsid w:val="0012793A"/>
    <w:rsid w:val="001346DA"/>
    <w:rsid w:val="00135FCE"/>
    <w:rsid w:val="00141743"/>
    <w:rsid w:val="0014219C"/>
    <w:rsid w:val="00145145"/>
    <w:rsid w:val="001576A0"/>
    <w:rsid w:val="00157DB6"/>
    <w:rsid w:val="00162276"/>
    <w:rsid w:val="00167258"/>
    <w:rsid w:val="00170DB5"/>
    <w:rsid w:val="00170EF7"/>
    <w:rsid w:val="001743C3"/>
    <w:rsid w:val="00175B86"/>
    <w:rsid w:val="00176CF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DD3"/>
    <w:rsid w:val="001F3F25"/>
    <w:rsid w:val="002039F0"/>
    <w:rsid w:val="00204C5E"/>
    <w:rsid w:val="0020609B"/>
    <w:rsid w:val="00214B52"/>
    <w:rsid w:val="00223710"/>
    <w:rsid w:val="00224680"/>
    <w:rsid w:val="00234AE2"/>
    <w:rsid w:val="00243047"/>
    <w:rsid w:val="00251A39"/>
    <w:rsid w:val="00251D95"/>
    <w:rsid w:val="0025362B"/>
    <w:rsid w:val="002608A1"/>
    <w:rsid w:val="002629BC"/>
    <w:rsid w:val="00270BFB"/>
    <w:rsid w:val="002736A4"/>
    <w:rsid w:val="0027490F"/>
    <w:rsid w:val="002809D8"/>
    <w:rsid w:val="00283D6A"/>
    <w:rsid w:val="00285B96"/>
    <w:rsid w:val="002917AF"/>
    <w:rsid w:val="00291D80"/>
    <w:rsid w:val="0029532D"/>
    <w:rsid w:val="002A1BC1"/>
    <w:rsid w:val="002B1CA6"/>
    <w:rsid w:val="002D0B9A"/>
    <w:rsid w:val="002D2432"/>
    <w:rsid w:val="002D2FBD"/>
    <w:rsid w:val="002D3982"/>
    <w:rsid w:val="002D448C"/>
    <w:rsid w:val="002D4672"/>
    <w:rsid w:val="002D7628"/>
    <w:rsid w:val="002E0CD5"/>
    <w:rsid w:val="002E67FD"/>
    <w:rsid w:val="002F2A02"/>
    <w:rsid w:val="002F76A3"/>
    <w:rsid w:val="0030166C"/>
    <w:rsid w:val="0030550F"/>
    <w:rsid w:val="003104A9"/>
    <w:rsid w:val="00313719"/>
    <w:rsid w:val="00315D2E"/>
    <w:rsid w:val="00320645"/>
    <w:rsid w:val="00326958"/>
    <w:rsid w:val="00332580"/>
    <w:rsid w:val="003461CF"/>
    <w:rsid w:val="00347E2B"/>
    <w:rsid w:val="003516AB"/>
    <w:rsid w:val="00357D6A"/>
    <w:rsid w:val="00360D99"/>
    <w:rsid w:val="00361B13"/>
    <w:rsid w:val="00364817"/>
    <w:rsid w:val="00365985"/>
    <w:rsid w:val="0037027A"/>
    <w:rsid w:val="00371909"/>
    <w:rsid w:val="00380994"/>
    <w:rsid w:val="00381FFA"/>
    <w:rsid w:val="003820AF"/>
    <w:rsid w:val="00382410"/>
    <w:rsid w:val="00382AFF"/>
    <w:rsid w:val="003835FA"/>
    <w:rsid w:val="00385D74"/>
    <w:rsid w:val="0038782A"/>
    <w:rsid w:val="00390B1C"/>
    <w:rsid w:val="00392D20"/>
    <w:rsid w:val="003948E7"/>
    <w:rsid w:val="003964A3"/>
    <w:rsid w:val="003A2E38"/>
    <w:rsid w:val="003A564C"/>
    <w:rsid w:val="003A5DE3"/>
    <w:rsid w:val="003B47D0"/>
    <w:rsid w:val="003B541E"/>
    <w:rsid w:val="003B6883"/>
    <w:rsid w:val="003C3134"/>
    <w:rsid w:val="003C473B"/>
    <w:rsid w:val="003C5EB6"/>
    <w:rsid w:val="003D2B11"/>
    <w:rsid w:val="003D51B7"/>
    <w:rsid w:val="003F069F"/>
    <w:rsid w:val="003F42A7"/>
    <w:rsid w:val="003F5115"/>
    <w:rsid w:val="003F6545"/>
    <w:rsid w:val="00401418"/>
    <w:rsid w:val="00402B31"/>
    <w:rsid w:val="004067F9"/>
    <w:rsid w:val="00407F53"/>
    <w:rsid w:val="00413397"/>
    <w:rsid w:val="0041365C"/>
    <w:rsid w:val="004139EC"/>
    <w:rsid w:val="00414F32"/>
    <w:rsid w:val="004254A7"/>
    <w:rsid w:val="00426C5D"/>
    <w:rsid w:val="004276CB"/>
    <w:rsid w:val="004310E4"/>
    <w:rsid w:val="004411B0"/>
    <w:rsid w:val="00445E7F"/>
    <w:rsid w:val="004513E5"/>
    <w:rsid w:val="00454B82"/>
    <w:rsid w:val="004574EA"/>
    <w:rsid w:val="00470061"/>
    <w:rsid w:val="004716A2"/>
    <w:rsid w:val="00471E35"/>
    <w:rsid w:val="00474082"/>
    <w:rsid w:val="00474871"/>
    <w:rsid w:val="00476245"/>
    <w:rsid w:val="00480A5C"/>
    <w:rsid w:val="00483705"/>
    <w:rsid w:val="004852EC"/>
    <w:rsid w:val="00485BAD"/>
    <w:rsid w:val="00485EE3"/>
    <w:rsid w:val="0049156E"/>
    <w:rsid w:val="00492C85"/>
    <w:rsid w:val="004941D2"/>
    <w:rsid w:val="004B675A"/>
    <w:rsid w:val="004B7322"/>
    <w:rsid w:val="004B7C11"/>
    <w:rsid w:val="004C1206"/>
    <w:rsid w:val="004C1E50"/>
    <w:rsid w:val="004C267E"/>
    <w:rsid w:val="004C55B6"/>
    <w:rsid w:val="004D2A4C"/>
    <w:rsid w:val="004D509D"/>
    <w:rsid w:val="004D54BE"/>
    <w:rsid w:val="004D611D"/>
    <w:rsid w:val="004E1643"/>
    <w:rsid w:val="004E1DED"/>
    <w:rsid w:val="004E2CEC"/>
    <w:rsid w:val="004E319A"/>
    <w:rsid w:val="004E7B90"/>
    <w:rsid w:val="004F0312"/>
    <w:rsid w:val="004F30CB"/>
    <w:rsid w:val="005032EA"/>
    <w:rsid w:val="0050444D"/>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460E"/>
    <w:rsid w:val="0056459A"/>
    <w:rsid w:val="005649B9"/>
    <w:rsid w:val="00595249"/>
    <w:rsid w:val="00596405"/>
    <w:rsid w:val="005A01EB"/>
    <w:rsid w:val="005A6540"/>
    <w:rsid w:val="005B3A41"/>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2B09"/>
    <w:rsid w:val="00637E28"/>
    <w:rsid w:val="006473A1"/>
    <w:rsid w:val="0065295E"/>
    <w:rsid w:val="00653001"/>
    <w:rsid w:val="006538EA"/>
    <w:rsid w:val="00655B24"/>
    <w:rsid w:val="00660743"/>
    <w:rsid w:val="0066119D"/>
    <w:rsid w:val="00662F2A"/>
    <w:rsid w:val="00664DC0"/>
    <w:rsid w:val="00665F06"/>
    <w:rsid w:val="0067651D"/>
    <w:rsid w:val="0068416D"/>
    <w:rsid w:val="006A0487"/>
    <w:rsid w:val="006A1A31"/>
    <w:rsid w:val="006A41A0"/>
    <w:rsid w:val="006B101A"/>
    <w:rsid w:val="006B1D4B"/>
    <w:rsid w:val="006B6D38"/>
    <w:rsid w:val="006B6F0D"/>
    <w:rsid w:val="006B770F"/>
    <w:rsid w:val="006B7C4C"/>
    <w:rsid w:val="006C23AC"/>
    <w:rsid w:val="006D3CD2"/>
    <w:rsid w:val="006D4030"/>
    <w:rsid w:val="006D6E9C"/>
    <w:rsid w:val="006E0630"/>
    <w:rsid w:val="006E0A0C"/>
    <w:rsid w:val="006E19ED"/>
    <w:rsid w:val="006E2F1B"/>
    <w:rsid w:val="006F36AD"/>
    <w:rsid w:val="006F7298"/>
    <w:rsid w:val="006F7A10"/>
    <w:rsid w:val="007016B4"/>
    <w:rsid w:val="00705175"/>
    <w:rsid w:val="00707F07"/>
    <w:rsid w:val="00725B4C"/>
    <w:rsid w:val="00726AE2"/>
    <w:rsid w:val="007274BF"/>
    <w:rsid w:val="00731A4D"/>
    <w:rsid w:val="007324C2"/>
    <w:rsid w:val="00734711"/>
    <w:rsid w:val="00735460"/>
    <w:rsid w:val="00745BBE"/>
    <w:rsid w:val="007465BF"/>
    <w:rsid w:val="00746C49"/>
    <w:rsid w:val="007539E5"/>
    <w:rsid w:val="007720AD"/>
    <w:rsid w:val="00773FEA"/>
    <w:rsid w:val="00777311"/>
    <w:rsid w:val="00780527"/>
    <w:rsid w:val="007866B9"/>
    <w:rsid w:val="007965E8"/>
    <w:rsid w:val="00796D85"/>
    <w:rsid w:val="007B5CFA"/>
    <w:rsid w:val="007C04DD"/>
    <w:rsid w:val="007C6CC8"/>
    <w:rsid w:val="007D0FA7"/>
    <w:rsid w:val="007D333D"/>
    <w:rsid w:val="007D4BD5"/>
    <w:rsid w:val="007D740A"/>
    <w:rsid w:val="007E456B"/>
    <w:rsid w:val="007F4F8A"/>
    <w:rsid w:val="007F50E2"/>
    <w:rsid w:val="007F521C"/>
    <w:rsid w:val="00803DD2"/>
    <w:rsid w:val="00812183"/>
    <w:rsid w:val="00813078"/>
    <w:rsid w:val="00815423"/>
    <w:rsid w:val="00815C0B"/>
    <w:rsid w:val="00817C2C"/>
    <w:rsid w:val="0082290B"/>
    <w:rsid w:val="008261CB"/>
    <w:rsid w:val="008262BA"/>
    <w:rsid w:val="0082662A"/>
    <w:rsid w:val="00827677"/>
    <w:rsid w:val="008325C9"/>
    <w:rsid w:val="00834E69"/>
    <w:rsid w:val="00835A2B"/>
    <w:rsid w:val="00840BE2"/>
    <w:rsid w:val="00840E9D"/>
    <w:rsid w:val="00844A17"/>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8F4891"/>
    <w:rsid w:val="00904FB5"/>
    <w:rsid w:val="009058CA"/>
    <w:rsid w:val="00905A99"/>
    <w:rsid w:val="009060EE"/>
    <w:rsid w:val="00907437"/>
    <w:rsid w:val="009230C3"/>
    <w:rsid w:val="0092414E"/>
    <w:rsid w:val="009266BC"/>
    <w:rsid w:val="009378A4"/>
    <w:rsid w:val="00947D12"/>
    <w:rsid w:val="009579B3"/>
    <w:rsid w:val="009620E7"/>
    <w:rsid w:val="0096332A"/>
    <w:rsid w:val="00964345"/>
    <w:rsid w:val="0097057F"/>
    <w:rsid w:val="00970D97"/>
    <w:rsid w:val="009758E1"/>
    <w:rsid w:val="00981E2C"/>
    <w:rsid w:val="00982291"/>
    <w:rsid w:val="00984500"/>
    <w:rsid w:val="00985ED0"/>
    <w:rsid w:val="009877A5"/>
    <w:rsid w:val="0098780A"/>
    <w:rsid w:val="0099342D"/>
    <w:rsid w:val="00995004"/>
    <w:rsid w:val="00995F70"/>
    <w:rsid w:val="009B0D77"/>
    <w:rsid w:val="009B2FB5"/>
    <w:rsid w:val="009C209C"/>
    <w:rsid w:val="009D13D6"/>
    <w:rsid w:val="009D2C44"/>
    <w:rsid w:val="009D3096"/>
    <w:rsid w:val="009D3A0B"/>
    <w:rsid w:val="009D4A03"/>
    <w:rsid w:val="009D4AC8"/>
    <w:rsid w:val="009D56B0"/>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41413"/>
    <w:rsid w:val="00A43E75"/>
    <w:rsid w:val="00A45D3A"/>
    <w:rsid w:val="00A51518"/>
    <w:rsid w:val="00A56EBD"/>
    <w:rsid w:val="00A57B18"/>
    <w:rsid w:val="00A65778"/>
    <w:rsid w:val="00A81184"/>
    <w:rsid w:val="00A838F3"/>
    <w:rsid w:val="00A83D2C"/>
    <w:rsid w:val="00AA0529"/>
    <w:rsid w:val="00AA0789"/>
    <w:rsid w:val="00AA286E"/>
    <w:rsid w:val="00AA2ECE"/>
    <w:rsid w:val="00AA51F3"/>
    <w:rsid w:val="00AB27CA"/>
    <w:rsid w:val="00AC5616"/>
    <w:rsid w:val="00AD489E"/>
    <w:rsid w:val="00AD69D8"/>
    <w:rsid w:val="00AE09C0"/>
    <w:rsid w:val="00AE1197"/>
    <w:rsid w:val="00AE3B00"/>
    <w:rsid w:val="00AF1C8D"/>
    <w:rsid w:val="00AF23D4"/>
    <w:rsid w:val="00AF4D5C"/>
    <w:rsid w:val="00AF7B7A"/>
    <w:rsid w:val="00B0211C"/>
    <w:rsid w:val="00B0351F"/>
    <w:rsid w:val="00B0381C"/>
    <w:rsid w:val="00B03AF2"/>
    <w:rsid w:val="00B07E9E"/>
    <w:rsid w:val="00B203A9"/>
    <w:rsid w:val="00B25365"/>
    <w:rsid w:val="00B26045"/>
    <w:rsid w:val="00B3440D"/>
    <w:rsid w:val="00B3692A"/>
    <w:rsid w:val="00B36C6C"/>
    <w:rsid w:val="00B5064B"/>
    <w:rsid w:val="00B506DC"/>
    <w:rsid w:val="00B63823"/>
    <w:rsid w:val="00B64035"/>
    <w:rsid w:val="00B65E96"/>
    <w:rsid w:val="00B670F3"/>
    <w:rsid w:val="00B710FF"/>
    <w:rsid w:val="00B7443B"/>
    <w:rsid w:val="00B82C1B"/>
    <w:rsid w:val="00B83A12"/>
    <w:rsid w:val="00B92877"/>
    <w:rsid w:val="00B936BD"/>
    <w:rsid w:val="00B96A7E"/>
    <w:rsid w:val="00BA258E"/>
    <w:rsid w:val="00BC19F4"/>
    <w:rsid w:val="00BC4001"/>
    <w:rsid w:val="00BD04CE"/>
    <w:rsid w:val="00BD12B3"/>
    <w:rsid w:val="00BD19D6"/>
    <w:rsid w:val="00BD35A7"/>
    <w:rsid w:val="00BE0138"/>
    <w:rsid w:val="00BE1A94"/>
    <w:rsid w:val="00BE1F01"/>
    <w:rsid w:val="00BE3880"/>
    <w:rsid w:val="00BE4B02"/>
    <w:rsid w:val="00BE771B"/>
    <w:rsid w:val="00BF0F29"/>
    <w:rsid w:val="00C00B98"/>
    <w:rsid w:val="00C072B1"/>
    <w:rsid w:val="00C11A11"/>
    <w:rsid w:val="00C11B9A"/>
    <w:rsid w:val="00C150A9"/>
    <w:rsid w:val="00C22F20"/>
    <w:rsid w:val="00C239BA"/>
    <w:rsid w:val="00C23B45"/>
    <w:rsid w:val="00C3251F"/>
    <w:rsid w:val="00C32A19"/>
    <w:rsid w:val="00C40D2C"/>
    <w:rsid w:val="00C41846"/>
    <w:rsid w:val="00C41852"/>
    <w:rsid w:val="00C42D1D"/>
    <w:rsid w:val="00C42DE2"/>
    <w:rsid w:val="00C462F4"/>
    <w:rsid w:val="00C50AB5"/>
    <w:rsid w:val="00C51552"/>
    <w:rsid w:val="00C5357F"/>
    <w:rsid w:val="00C55DCC"/>
    <w:rsid w:val="00C56B91"/>
    <w:rsid w:val="00C6175A"/>
    <w:rsid w:val="00C632AC"/>
    <w:rsid w:val="00C70A92"/>
    <w:rsid w:val="00C70F50"/>
    <w:rsid w:val="00C742EB"/>
    <w:rsid w:val="00C76F54"/>
    <w:rsid w:val="00C77839"/>
    <w:rsid w:val="00C80B44"/>
    <w:rsid w:val="00C84A2A"/>
    <w:rsid w:val="00C8788D"/>
    <w:rsid w:val="00CB2953"/>
    <w:rsid w:val="00CB2DDE"/>
    <w:rsid w:val="00CB646F"/>
    <w:rsid w:val="00CB6C61"/>
    <w:rsid w:val="00CC4D6B"/>
    <w:rsid w:val="00CC5D0C"/>
    <w:rsid w:val="00CC5D83"/>
    <w:rsid w:val="00CC633A"/>
    <w:rsid w:val="00CD4D2B"/>
    <w:rsid w:val="00CD526B"/>
    <w:rsid w:val="00CD681C"/>
    <w:rsid w:val="00CE0D15"/>
    <w:rsid w:val="00CF060D"/>
    <w:rsid w:val="00CF2D50"/>
    <w:rsid w:val="00CF4F88"/>
    <w:rsid w:val="00CF5DAD"/>
    <w:rsid w:val="00CF6AFD"/>
    <w:rsid w:val="00CF7401"/>
    <w:rsid w:val="00D01F1B"/>
    <w:rsid w:val="00D04240"/>
    <w:rsid w:val="00D06AD7"/>
    <w:rsid w:val="00D13716"/>
    <w:rsid w:val="00D15E17"/>
    <w:rsid w:val="00D166C0"/>
    <w:rsid w:val="00D23BD4"/>
    <w:rsid w:val="00D24ABB"/>
    <w:rsid w:val="00D33729"/>
    <w:rsid w:val="00D33B1C"/>
    <w:rsid w:val="00D33F10"/>
    <w:rsid w:val="00D3547F"/>
    <w:rsid w:val="00D37C16"/>
    <w:rsid w:val="00D42AD1"/>
    <w:rsid w:val="00D47AE1"/>
    <w:rsid w:val="00D60A78"/>
    <w:rsid w:val="00D61F33"/>
    <w:rsid w:val="00D6273E"/>
    <w:rsid w:val="00D65899"/>
    <w:rsid w:val="00D72AB3"/>
    <w:rsid w:val="00D7332F"/>
    <w:rsid w:val="00D73FF7"/>
    <w:rsid w:val="00D80ECB"/>
    <w:rsid w:val="00D944CF"/>
    <w:rsid w:val="00D97F32"/>
    <w:rsid w:val="00DA2F01"/>
    <w:rsid w:val="00DA2F2F"/>
    <w:rsid w:val="00DB1198"/>
    <w:rsid w:val="00DB1CFE"/>
    <w:rsid w:val="00DB493D"/>
    <w:rsid w:val="00DB4CD1"/>
    <w:rsid w:val="00DB5553"/>
    <w:rsid w:val="00DB5B46"/>
    <w:rsid w:val="00DB5B55"/>
    <w:rsid w:val="00DC71D7"/>
    <w:rsid w:val="00DC7377"/>
    <w:rsid w:val="00DD3505"/>
    <w:rsid w:val="00DE3176"/>
    <w:rsid w:val="00DE529C"/>
    <w:rsid w:val="00DE5586"/>
    <w:rsid w:val="00DE690F"/>
    <w:rsid w:val="00DF5A4C"/>
    <w:rsid w:val="00E06791"/>
    <w:rsid w:val="00E0715A"/>
    <w:rsid w:val="00E14FEF"/>
    <w:rsid w:val="00E22121"/>
    <w:rsid w:val="00E31072"/>
    <w:rsid w:val="00E32F55"/>
    <w:rsid w:val="00E375F4"/>
    <w:rsid w:val="00E413F4"/>
    <w:rsid w:val="00E41904"/>
    <w:rsid w:val="00E44686"/>
    <w:rsid w:val="00E45579"/>
    <w:rsid w:val="00E50C79"/>
    <w:rsid w:val="00E516A2"/>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4BBD"/>
    <w:rsid w:val="00EA6836"/>
    <w:rsid w:val="00EA7C9A"/>
    <w:rsid w:val="00EB0025"/>
    <w:rsid w:val="00EB0F72"/>
    <w:rsid w:val="00EB1B17"/>
    <w:rsid w:val="00EB501D"/>
    <w:rsid w:val="00EC2A14"/>
    <w:rsid w:val="00EC34BD"/>
    <w:rsid w:val="00EC36B4"/>
    <w:rsid w:val="00EC6218"/>
    <w:rsid w:val="00ED114E"/>
    <w:rsid w:val="00ED1B1E"/>
    <w:rsid w:val="00ED7758"/>
    <w:rsid w:val="00EE0101"/>
    <w:rsid w:val="00EE0971"/>
    <w:rsid w:val="00EE0A7B"/>
    <w:rsid w:val="00EE0AC4"/>
    <w:rsid w:val="00EE3B4A"/>
    <w:rsid w:val="00EE4E68"/>
    <w:rsid w:val="00EF25E9"/>
    <w:rsid w:val="00EF31A0"/>
    <w:rsid w:val="00EF458D"/>
    <w:rsid w:val="00EF5507"/>
    <w:rsid w:val="00F00834"/>
    <w:rsid w:val="00F00AAA"/>
    <w:rsid w:val="00F047C1"/>
    <w:rsid w:val="00F11710"/>
    <w:rsid w:val="00F120FF"/>
    <w:rsid w:val="00F1218F"/>
    <w:rsid w:val="00F21E76"/>
    <w:rsid w:val="00F22819"/>
    <w:rsid w:val="00F22C02"/>
    <w:rsid w:val="00F22F2C"/>
    <w:rsid w:val="00F2321D"/>
    <w:rsid w:val="00F25072"/>
    <w:rsid w:val="00F25468"/>
    <w:rsid w:val="00F306C1"/>
    <w:rsid w:val="00F3318A"/>
    <w:rsid w:val="00F45252"/>
    <w:rsid w:val="00F454C6"/>
    <w:rsid w:val="00F46E28"/>
    <w:rsid w:val="00F60E63"/>
    <w:rsid w:val="00F60F94"/>
    <w:rsid w:val="00F7056E"/>
    <w:rsid w:val="00F74CA4"/>
    <w:rsid w:val="00F923F1"/>
    <w:rsid w:val="00F929A5"/>
    <w:rsid w:val="00FA0C76"/>
    <w:rsid w:val="00FA39FE"/>
    <w:rsid w:val="00FA42F9"/>
    <w:rsid w:val="00FA5EC6"/>
    <w:rsid w:val="00FB1441"/>
    <w:rsid w:val="00FB42A5"/>
    <w:rsid w:val="00FB52D4"/>
    <w:rsid w:val="00FB7D79"/>
    <w:rsid w:val="00FC08F5"/>
    <w:rsid w:val="00FC0EE9"/>
    <w:rsid w:val="00FD543C"/>
    <w:rsid w:val="00FE140C"/>
    <w:rsid w:val="00FE1663"/>
    <w:rsid w:val="00FE2AB2"/>
    <w:rsid w:val="00FE6531"/>
    <w:rsid w:val="00FF12B8"/>
    <w:rsid w:val="00FF2938"/>
    <w:rsid w:val="00FF3AFD"/>
    <w:rsid w:val="00FF467C"/>
    <w:rsid w:val="00FF55A9"/>
    <w:rsid w:val="00FF55C1"/>
    <w:rsid w:val="00FF668F"/>
    <w:rsid w:val="0709E726"/>
    <w:rsid w:val="394025AB"/>
    <w:rsid w:val="46A032C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semiHidden="1" w:uiPriority="22"/>
    <w:lsdException w:name="Emphasis" w:qFormat="1"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uiPriority="21"/>
    <w:lsdException w:name="Subtle Reference" w:semiHidden="1" w:uiPriority="31"/>
    <w:lsdException w:name="Intense Reference" w:semiHidden="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ody text"/>
    <w:uiPriority w:val="4"/>
    <w:qFormat/>
    <w:rsid w:val="00044035"/>
    <w:rPr>
      <w:rFonts w:cstheme="minorHAnsi"/>
    </w:rPr>
  </w:style>
  <w:style w:styleId="Heading1" w:type="paragraph">
    <w:name w:val="heading 1"/>
    <w:basedOn w:val="Heading2"/>
    <w:next w:val="Normal"/>
    <w:link w:val="Heading1Char"/>
    <w:uiPriority w:val="5"/>
    <w:qFormat/>
    <w:rsid w:val="00985ED0"/>
    <w:pPr>
      <w:spacing w:after="240" w:before="360"/>
      <w:outlineLvl w:val="0"/>
    </w:pPr>
    <w:rPr>
      <w:rFonts w:ascii="Segoe UI" w:cs="Segoe UI" w:hAnsi="Segoe UI"/>
      <w:bCs w:val="0"/>
      <w:color w:val="0779AA"/>
      <w:sz w:val="40"/>
      <w:szCs w:val="40"/>
    </w:rPr>
  </w:style>
  <w:style w:styleId="Heading2" w:type="paragraph">
    <w:name w:val="heading 2"/>
    <w:basedOn w:val="Normal"/>
    <w:next w:val="Normal"/>
    <w:link w:val="Heading2Char"/>
    <w:uiPriority w:val="6"/>
    <w:qFormat/>
    <w:rsid w:val="00985ED0"/>
    <w:pPr>
      <w:spacing w:after="120" w:before="240"/>
      <w:outlineLvl w:val="1"/>
    </w:pPr>
    <w:rPr>
      <w:b/>
      <w:bCs/>
      <w:sz w:val="32"/>
      <w:szCs w:val="28"/>
    </w:rPr>
  </w:style>
  <w:style w:styleId="Heading3" w:type="paragraph">
    <w:name w:val="heading 3"/>
    <w:basedOn w:val="Normal"/>
    <w:next w:val="Normal"/>
    <w:link w:val="Heading3Char"/>
    <w:uiPriority w:val="7"/>
    <w:qFormat/>
    <w:rsid w:val="00C51552"/>
    <w:pPr>
      <w:spacing w:after="120"/>
      <w:outlineLvl w:val="2"/>
    </w:pPr>
    <w:rPr>
      <w:b/>
      <w:bCs/>
      <w:sz w:val="28"/>
      <w:szCs w:val="24"/>
    </w:rPr>
  </w:style>
  <w:style w:styleId="Heading4" w:type="paragraph">
    <w:name w:val="heading 4"/>
    <w:basedOn w:val="Normal"/>
    <w:next w:val="Normal"/>
    <w:link w:val="Heading4Char"/>
    <w:uiPriority w:val="8"/>
    <w:qFormat/>
    <w:rsid w:val="00C51552"/>
    <w:pPr>
      <w:spacing w:after="120"/>
      <w:outlineLvl w:val="3"/>
    </w:pPr>
    <w:rPr>
      <w:b/>
      <w:bCs/>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5"/>
    <w:rsid w:val="00985ED0"/>
    <w:rPr>
      <w:rFonts w:ascii="Segoe UI" w:cs="Segoe UI" w:hAnsi="Segoe UI"/>
      <w:b/>
      <w:color w:val="0779AA"/>
      <w:sz w:val="40"/>
      <w:szCs w:val="40"/>
    </w:rPr>
  </w:style>
  <w:style w:styleId="Subtitle" w:type="paragraph">
    <w:name w:val="Subtitle"/>
    <w:basedOn w:val="Normal"/>
    <w:next w:val="Normal"/>
    <w:link w:val="SubtitleChar"/>
    <w:uiPriority w:val="1"/>
    <w:qFormat/>
    <w:rsid w:val="006109C5"/>
    <w:pPr>
      <w:numPr>
        <w:ilvl w:val="1"/>
      </w:numPr>
      <w:pBdr>
        <w:bottom w:color="FFD12E" w:space="6" w:sz="48" w:val="single"/>
      </w:pBdr>
    </w:pPr>
    <w:rPr>
      <w:rFonts w:eastAsiaTheme="minorEastAsia"/>
      <w:b/>
      <w:color w:val="0779AA"/>
      <w:spacing w:val="15"/>
      <w:sz w:val="40"/>
      <w:szCs w:val="40"/>
    </w:rPr>
  </w:style>
  <w:style w:customStyle="1" w:styleId="SubtitleChar" w:type="character">
    <w:name w:val="Subtitle Char"/>
    <w:basedOn w:val="DefaultParagraphFont"/>
    <w:link w:val="Subtitle"/>
    <w:uiPriority w:val="1"/>
    <w:rsid w:val="00E67E20"/>
    <w:rPr>
      <w:rFonts w:cstheme="minorHAnsi" w:eastAsiaTheme="minorEastAsia"/>
      <w:b/>
      <w:color w:val="0779AA"/>
      <w:spacing w:val="15"/>
      <w:sz w:val="40"/>
      <w:szCs w:val="40"/>
    </w:rPr>
  </w:style>
  <w:style w:styleId="Title" w:type="paragraph">
    <w:name w:val="Title"/>
    <w:basedOn w:val="Normal"/>
    <w:next w:val="Normal"/>
    <w:link w:val="TitleChar"/>
    <w:qFormat/>
    <w:rsid w:val="006109C5"/>
    <w:pPr>
      <w:spacing w:after="0" w:line="240" w:lineRule="auto"/>
      <w:contextualSpacing/>
    </w:pPr>
    <w:rPr>
      <w:rFonts w:ascii="Segoe UI" w:cs="Segoe UI" w:eastAsiaTheme="majorEastAsia" w:hAnsi="Segoe UI"/>
      <w:b/>
      <w:color w:val="0F426B"/>
      <w:spacing w:val="-10"/>
      <w:kern w:val="28"/>
      <w:sz w:val="56"/>
      <w:szCs w:val="56"/>
    </w:rPr>
  </w:style>
  <w:style w:customStyle="1" w:styleId="TitleChar" w:type="character">
    <w:name w:val="Title Char"/>
    <w:basedOn w:val="DefaultParagraphFont"/>
    <w:link w:val="Title"/>
    <w:rsid w:val="00E67E20"/>
    <w:rPr>
      <w:rFonts w:ascii="Segoe UI" w:cs="Segoe UI" w:eastAsiaTheme="majorEastAsia" w:hAnsi="Segoe UI"/>
      <w:b/>
      <w:color w:val="0F426B"/>
      <w:spacing w:val="-10"/>
      <w:kern w:val="28"/>
      <w:sz w:val="56"/>
      <w:szCs w:val="56"/>
    </w:rPr>
  </w:style>
  <w:style w:styleId="BalloonText" w:type="paragraph">
    <w:name w:val="Balloon Text"/>
    <w:basedOn w:val="Normal"/>
    <w:link w:val="BalloonTextChar"/>
    <w:uiPriority w:val="99"/>
    <w:semiHidden/>
    <w:unhideWhenUsed/>
    <w:rsid w:val="001146A2"/>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1146A2"/>
    <w:rPr>
      <w:rFonts w:ascii="Segoe UI" w:cs="Segoe UI" w:hAnsi="Segoe UI"/>
      <w:sz w:val="18"/>
      <w:szCs w:val="18"/>
    </w:rPr>
  </w:style>
  <w:style w:customStyle="1" w:styleId="Heading2Char" w:type="character">
    <w:name w:val="Heading 2 Char"/>
    <w:basedOn w:val="DefaultParagraphFont"/>
    <w:link w:val="Heading2"/>
    <w:uiPriority w:val="6"/>
    <w:rsid w:val="00985ED0"/>
    <w:rPr>
      <w:rFonts w:cstheme="minorHAnsi"/>
      <w:b/>
      <w:bCs/>
      <w:sz w:val="32"/>
      <w:szCs w:val="28"/>
    </w:rPr>
  </w:style>
  <w:style w:styleId="TOCHeading" w:type="paragraph">
    <w:name w:val="TOC Heading"/>
    <w:basedOn w:val="Normal"/>
    <w:next w:val="Normal"/>
    <w:uiPriority w:val="38"/>
    <w:qFormat/>
    <w:rsid w:val="00984500"/>
    <w:rPr>
      <w:rFonts w:ascii="Segoe UI" w:cs="Segoe UI" w:hAnsi="Segoe UI"/>
      <w:b/>
      <w:bCs/>
      <w:color w:val="0779AA"/>
      <w:sz w:val="40"/>
      <w:szCs w:val="40"/>
    </w:rPr>
  </w:style>
  <w:style w:styleId="TOC2" w:type="paragraph">
    <w:name w:val="toc 2"/>
    <w:basedOn w:val="Normal"/>
    <w:next w:val="Normal"/>
    <w:autoRedefine/>
    <w:uiPriority w:val="39"/>
    <w:rsid w:val="00B64035"/>
    <w:pPr>
      <w:spacing w:after="60" w:line="259" w:lineRule="auto"/>
      <w:ind w:left="216"/>
    </w:pPr>
    <w:rPr>
      <w:rFonts w:cs="Times New Roman" w:eastAsiaTheme="minorEastAsia"/>
    </w:rPr>
  </w:style>
  <w:style w:styleId="TOC1" w:type="paragraph">
    <w:name w:val="toc 1"/>
    <w:basedOn w:val="Normal"/>
    <w:next w:val="Normal"/>
    <w:autoRedefine/>
    <w:uiPriority w:val="39"/>
    <w:rsid w:val="000F2E91"/>
    <w:pPr>
      <w:spacing w:after="60" w:line="259" w:lineRule="auto"/>
    </w:pPr>
    <w:rPr>
      <w:rFonts w:eastAsiaTheme="minorEastAsia"/>
      <w:b/>
    </w:rPr>
  </w:style>
  <w:style w:styleId="TOC3" w:type="paragraph">
    <w:name w:val="toc 3"/>
    <w:basedOn w:val="Normal"/>
    <w:next w:val="Normal"/>
    <w:autoRedefine/>
    <w:uiPriority w:val="39"/>
    <w:rsid w:val="00B64035"/>
    <w:pPr>
      <w:spacing w:after="60" w:line="259" w:lineRule="auto"/>
      <w:ind w:left="446"/>
    </w:pPr>
    <w:rPr>
      <w:rFonts w:cs="Times New Roman" w:eastAsiaTheme="minorEastAsia"/>
    </w:rPr>
  </w:style>
  <w:style w:customStyle="1" w:styleId="Heading3Char" w:type="character">
    <w:name w:val="Heading 3 Char"/>
    <w:basedOn w:val="DefaultParagraphFont"/>
    <w:link w:val="Heading3"/>
    <w:uiPriority w:val="7"/>
    <w:rsid w:val="00470061"/>
    <w:rPr>
      <w:rFonts w:cstheme="minorHAnsi"/>
      <w:b/>
      <w:bCs/>
      <w:sz w:val="28"/>
      <w:szCs w:val="24"/>
    </w:rPr>
  </w:style>
  <w:style w:styleId="Hyperlink" w:type="character">
    <w:name w:val="Hyperlink"/>
    <w:basedOn w:val="DefaultParagraphFont"/>
    <w:uiPriority w:val="99"/>
    <w:rsid w:val="00DC71D7"/>
    <w:rPr>
      <w:color w:themeColor="hyperlink" w:val="0563C1"/>
      <w:u w:val="single"/>
    </w:rPr>
  </w:style>
  <w:style w:styleId="FollowedHyperlink" w:type="character">
    <w:name w:val="FollowedHyperlink"/>
    <w:basedOn w:val="DefaultParagraphFont"/>
    <w:uiPriority w:val="99"/>
    <w:semiHidden/>
    <w:unhideWhenUsed/>
    <w:rsid w:val="0099342D"/>
    <w:rPr>
      <w:color w:themeColor="followedHyperlink" w:val="954F72"/>
      <w:u w:val="single"/>
    </w:rPr>
  </w:style>
  <w:style w:styleId="Header" w:type="paragraph">
    <w:name w:val="header"/>
    <w:basedOn w:val="Normal"/>
    <w:link w:val="HeaderChar"/>
    <w:uiPriority w:val="99"/>
    <w:semiHidden/>
    <w:rsid w:val="0056459A"/>
    <w:pPr>
      <w:tabs>
        <w:tab w:pos="4680" w:val="center"/>
        <w:tab w:pos="9360" w:val="right"/>
      </w:tabs>
      <w:spacing w:after="0" w:line="240" w:lineRule="auto"/>
    </w:pPr>
  </w:style>
  <w:style w:customStyle="1" w:styleId="HeaderChar" w:type="character">
    <w:name w:val="Header Char"/>
    <w:basedOn w:val="DefaultParagraphFont"/>
    <w:link w:val="Header"/>
    <w:uiPriority w:val="99"/>
    <w:semiHidden/>
    <w:rsid w:val="008473BC"/>
    <w:rPr>
      <w:rFonts w:cstheme="minorHAnsi"/>
    </w:rPr>
  </w:style>
  <w:style w:styleId="Footer" w:type="paragraph">
    <w:name w:val="footer"/>
    <w:basedOn w:val="Normal"/>
    <w:link w:val="FooterChar"/>
    <w:uiPriority w:val="30"/>
    <w:rsid w:val="000A1A65"/>
    <w:pPr>
      <w:tabs>
        <w:tab w:pos="4680" w:val="center"/>
        <w:tab w:pos="9360" w:val="right"/>
      </w:tabs>
      <w:spacing w:after="0" w:line="240" w:lineRule="auto"/>
    </w:pPr>
    <w:rPr>
      <w:noProof/>
      <w:sz w:val="20"/>
      <w:szCs w:val="20"/>
    </w:rPr>
  </w:style>
  <w:style w:customStyle="1" w:styleId="FooterChar" w:type="character">
    <w:name w:val="Footer Char"/>
    <w:basedOn w:val="DefaultParagraphFont"/>
    <w:link w:val="Footer"/>
    <w:uiPriority w:val="30"/>
    <w:rsid w:val="000F534B"/>
    <w:rPr>
      <w:rFonts w:cstheme="minorHAnsi"/>
      <w:noProof/>
      <w:sz w:val="20"/>
      <w:szCs w:val="20"/>
    </w:rPr>
  </w:style>
  <w:style w:styleId="NormalWeb" w:type="paragraph">
    <w:name w:val="Normal (Web)"/>
    <w:basedOn w:val="Normal"/>
    <w:uiPriority w:val="99"/>
    <w:semiHidden/>
    <w:unhideWhenUsed/>
    <w:rsid w:val="0056459A"/>
    <w:pPr>
      <w:spacing w:after="100" w:afterAutospacing="1" w:before="100" w:beforeAutospacing="1" w:line="240" w:lineRule="auto"/>
    </w:pPr>
    <w:rPr>
      <w:rFonts w:ascii="Times New Roman" w:cs="Times New Roman" w:eastAsiaTheme="minorEastAsia" w:hAnsi="Times New Roman"/>
      <w:sz w:val="24"/>
      <w:szCs w:val="24"/>
    </w:rPr>
  </w:style>
  <w:style w:styleId="NoSpacing" w:type="paragraph">
    <w:name w:val="No Spacing"/>
    <w:link w:val="NoSpacingChar"/>
    <w:uiPriority w:val="17"/>
    <w:semiHidden/>
    <w:qFormat/>
    <w:rsid w:val="004D54BE"/>
    <w:pPr>
      <w:spacing w:after="0" w:line="240" w:lineRule="auto"/>
    </w:pPr>
    <w:rPr>
      <w:rFonts w:eastAsiaTheme="minorEastAsia"/>
    </w:rPr>
  </w:style>
  <w:style w:customStyle="1" w:styleId="NoSpacingChar" w:type="character">
    <w:name w:val="No Spacing Char"/>
    <w:basedOn w:val="DefaultParagraphFont"/>
    <w:link w:val="NoSpacing"/>
    <w:uiPriority w:val="17"/>
    <w:semiHidden/>
    <w:rsid w:val="00470061"/>
    <w:rPr>
      <w:rFonts w:eastAsiaTheme="minorEastAsia"/>
    </w:rPr>
  </w:style>
  <w:style w:styleId="TableGrid" w:type="table">
    <w:name w:val="Table Grid"/>
    <w:basedOn w:val="TableNormal"/>
    <w:uiPriority w:val="39"/>
    <w:rsid w:val="002917A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4" w:type="table">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1" w:type="table">
    <w:name w:val="Plain Table 1"/>
    <w:basedOn w:val="TableNormal"/>
    <w:uiPriority w:val="41"/>
    <w:rsid w:val="002917AF"/>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IntenseQuote" w:type="paragraph">
    <w:name w:val="Intense Quote"/>
    <w:basedOn w:val="Normal"/>
    <w:next w:val="Normal"/>
    <w:link w:val="IntenseQuoteChar"/>
    <w:uiPriority w:val="99"/>
    <w:semiHidden/>
    <w:qFormat/>
    <w:rsid w:val="00982291"/>
    <w:pPr>
      <w:pBdr>
        <w:top w:color="5B9BD5" w:space="10" w:sz="4" w:themeColor="accent1" w:val="single"/>
        <w:bottom w:color="5B9BD5" w:space="10" w:sz="4" w:themeColor="accent1" w:val="single"/>
      </w:pBdr>
      <w:spacing w:after="120" w:before="120" w:line="360" w:lineRule="auto"/>
      <w:ind w:left="2880" w:right="2880"/>
      <w:jc w:val="center"/>
    </w:pPr>
    <w:rPr>
      <w:b/>
      <w:i/>
      <w:iCs/>
      <w:color w:themeColor="accent1" w:val="5B9BD5"/>
      <w:sz w:val="28"/>
    </w:rPr>
  </w:style>
  <w:style w:customStyle="1" w:styleId="IntenseQuoteChar" w:type="character">
    <w:name w:val="Intense Quote Char"/>
    <w:basedOn w:val="DefaultParagraphFont"/>
    <w:link w:val="IntenseQuote"/>
    <w:uiPriority w:val="99"/>
    <w:semiHidden/>
    <w:rsid w:val="00AE3B00"/>
    <w:rPr>
      <w:rFonts w:cstheme="minorHAnsi"/>
      <w:b/>
      <w:i/>
      <w:iCs/>
      <w:color w:themeColor="accent1" w:val="5B9BD5"/>
      <w:sz w:val="28"/>
    </w:rPr>
  </w:style>
  <w:style w:styleId="IntenseEmphasis" w:type="character">
    <w:name w:val="Intense Emphasis"/>
    <w:basedOn w:val="DefaultParagraphFont"/>
    <w:uiPriority w:val="21"/>
    <w:semiHidden/>
    <w:qFormat/>
    <w:rsid w:val="00982291"/>
    <w:rPr>
      <w:i/>
      <w:iCs/>
      <w:color w:themeColor="accent1" w:val="5B9BD5"/>
    </w:rPr>
  </w:style>
  <w:style w:styleId="BookTitle" w:type="character">
    <w:name w:val="Book Title"/>
    <w:basedOn w:val="DefaultParagraphFont"/>
    <w:uiPriority w:val="33"/>
    <w:semiHidden/>
    <w:qFormat/>
    <w:rsid w:val="00426C5D"/>
    <w:rPr>
      <w:b/>
      <w:bCs/>
      <w:i/>
      <w:iCs/>
      <w:spacing w:val="5"/>
    </w:rPr>
  </w:style>
  <w:style w:customStyle="1" w:styleId="Publicationdate" w:type="paragraph">
    <w:name w:val="Publication date"/>
    <w:basedOn w:val="Normal"/>
    <w:uiPriority w:val="2"/>
    <w:qFormat/>
    <w:rsid w:val="00141743"/>
    <w:rPr>
      <w:sz w:val="24"/>
      <w:szCs w:val="28"/>
    </w:rPr>
  </w:style>
  <w:style w:styleId="ListParagraph" w:type="paragraph">
    <w:name w:val="List Paragraph"/>
    <w:basedOn w:val="Normal"/>
    <w:uiPriority w:val="34"/>
    <w:semiHidden/>
    <w:qFormat/>
    <w:rsid w:val="00653001"/>
    <w:pPr>
      <w:ind w:left="720"/>
      <w:contextualSpacing/>
    </w:pPr>
  </w:style>
  <w:style w:styleId="GridTable4-Accent6" w:type="table">
    <w:name w:val="Grid Table 4 Accent 6"/>
    <w:basedOn w:val="TableNormal"/>
    <w:uiPriority w:val="49"/>
    <w:rsid w:val="00BD04CE"/>
    <w:pPr>
      <w:spacing w:after="0" w:line="240" w:lineRule="auto"/>
    </w:p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Accent1" w:type="table">
    <w:name w:val="Grid Table 3 Accent 1"/>
    <w:basedOn w:val="TableNormal"/>
    <w:uiPriority w:val="48"/>
    <w:rsid w:val="0024304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CommentReference" w:type="character">
    <w:name w:val="annotation reference"/>
    <w:basedOn w:val="DefaultParagraphFont"/>
    <w:uiPriority w:val="99"/>
    <w:semiHidden/>
    <w:unhideWhenUsed/>
    <w:rsid w:val="005C65F7"/>
    <w:rPr>
      <w:sz w:val="16"/>
      <w:szCs w:val="16"/>
    </w:rPr>
  </w:style>
  <w:style w:styleId="CommentText" w:type="paragraph">
    <w:name w:val="annotation text"/>
    <w:basedOn w:val="Normal"/>
    <w:link w:val="CommentTextChar"/>
    <w:uiPriority w:val="99"/>
    <w:semiHidden/>
    <w:rsid w:val="005C65F7"/>
    <w:pPr>
      <w:spacing w:line="240" w:lineRule="auto"/>
    </w:pPr>
    <w:rPr>
      <w:sz w:val="20"/>
      <w:szCs w:val="20"/>
    </w:rPr>
  </w:style>
  <w:style w:customStyle="1" w:styleId="CommentTextChar" w:type="character">
    <w:name w:val="Comment Text Char"/>
    <w:basedOn w:val="DefaultParagraphFont"/>
    <w:link w:val="CommentText"/>
    <w:uiPriority w:val="99"/>
    <w:semiHidden/>
    <w:rsid w:val="008473BC"/>
    <w:rPr>
      <w:rFonts w:cstheme="minorHAnsi"/>
      <w:sz w:val="20"/>
      <w:szCs w:val="20"/>
    </w:rPr>
  </w:style>
  <w:style w:customStyle="1" w:styleId="Heading4Char" w:type="character">
    <w:name w:val="Heading 4 Char"/>
    <w:basedOn w:val="DefaultParagraphFont"/>
    <w:link w:val="Heading4"/>
    <w:uiPriority w:val="8"/>
    <w:rsid w:val="00470061"/>
    <w:rPr>
      <w:rFonts w:cstheme="minorHAnsi"/>
      <w:b/>
      <w:bCs/>
      <w:sz w:val="24"/>
    </w:rPr>
  </w:style>
  <w:style w:styleId="CommentSubject" w:type="paragraph">
    <w:name w:val="annotation subject"/>
    <w:basedOn w:val="CommentText"/>
    <w:next w:val="CommentText"/>
    <w:link w:val="CommentSubjectChar"/>
    <w:uiPriority w:val="99"/>
    <w:semiHidden/>
    <w:unhideWhenUsed/>
    <w:rsid w:val="004254A7"/>
    <w:rPr>
      <w:b/>
      <w:bCs/>
    </w:rPr>
  </w:style>
  <w:style w:customStyle="1" w:styleId="CivilRightsstatement" w:type="paragraph">
    <w:name w:val="Civil Rights statement"/>
    <w:basedOn w:val="Normal"/>
    <w:uiPriority w:val="3"/>
    <w:qFormat/>
    <w:rsid w:val="0014219C"/>
    <w:pPr>
      <w:pBdr>
        <w:top w:color="FFC000" w:space="6" w:sz="24" w:themeColor="accent4" w:val="single"/>
      </w:pBdr>
    </w:pPr>
    <w:rPr>
      <w:sz w:val="20"/>
      <w:szCs w:val="20"/>
    </w:rPr>
  </w:style>
  <w:style w:styleId="Quote" w:type="paragraph">
    <w:name w:val="Quote"/>
    <w:basedOn w:val="Normal"/>
    <w:next w:val="Normal"/>
    <w:link w:val="QuoteChar"/>
    <w:uiPriority w:val="28"/>
    <w:qFormat/>
    <w:rsid w:val="001F02D2"/>
    <w:rPr>
      <w:rFonts w:ascii="Segoe UI Semilight" w:cs="Segoe UI Semilight" w:hAnsi="Segoe UI Semilight"/>
      <w:color w:val="007B55"/>
      <w:sz w:val="32"/>
      <w:szCs w:val="32"/>
    </w:rPr>
  </w:style>
  <w:style w:customStyle="1" w:styleId="QuoteChar" w:type="character">
    <w:name w:val="Quote Char"/>
    <w:basedOn w:val="DefaultParagraphFont"/>
    <w:link w:val="Quote"/>
    <w:uiPriority w:val="28"/>
    <w:rsid w:val="004310E4"/>
    <w:rPr>
      <w:rFonts w:ascii="Segoe UI Semilight" w:cs="Segoe UI Semilight" w:hAnsi="Segoe UI Semilight"/>
      <w:color w:val="007B55"/>
      <w:sz w:val="32"/>
      <w:szCs w:val="32"/>
    </w:rPr>
  </w:style>
  <w:style w:customStyle="1" w:styleId="Photocaption" w:type="paragraph">
    <w:name w:val="Photo caption"/>
    <w:basedOn w:val="Normal"/>
    <w:uiPriority w:val="12"/>
    <w:qFormat/>
    <w:rsid w:val="00360D99"/>
    <w:rPr>
      <w:sz w:val="20"/>
      <w:szCs w:val="18"/>
    </w:rPr>
  </w:style>
  <w:style w:styleId="UnresolvedMention" w:type="character">
    <w:name w:val="Unresolved Mention"/>
    <w:basedOn w:val="DefaultParagraphFont"/>
    <w:uiPriority w:val="99"/>
    <w:semiHidden/>
    <w:unhideWhenUsed/>
    <w:rsid w:val="00A45D3A"/>
    <w:rPr>
      <w:color w:val="605E5C"/>
      <w:shd w:color="auto" w:fill="E1DFDD" w:val="clear"/>
    </w:rPr>
  </w:style>
  <w:style w:customStyle="1" w:styleId="CommentSubjectChar" w:type="character">
    <w:name w:val="Comment Subject Char"/>
    <w:basedOn w:val="CommentTextChar"/>
    <w:link w:val="CommentSubject"/>
    <w:uiPriority w:val="99"/>
    <w:semiHidden/>
    <w:rsid w:val="004254A7"/>
    <w:rPr>
      <w:rFonts w:ascii="Cambria" w:cstheme="minorHAnsi" w:hAnsi="Cambria"/>
      <w:b/>
      <w:bCs/>
      <w:sz w:val="20"/>
      <w:szCs w:val="20"/>
    </w:rPr>
  </w:style>
  <w:style w:customStyle="1" w:styleId="Literaturecitation" w:type="paragraph">
    <w:name w:val="Literature citation"/>
    <w:basedOn w:val="Normal"/>
    <w:uiPriority w:val="14"/>
    <w:qFormat/>
    <w:rsid w:val="00480A5C"/>
    <w:pPr>
      <w:ind w:hanging="720" w:left="720"/>
    </w:pPr>
  </w:style>
  <w:style w:customStyle="1" w:styleId="Photospacing" w:type="paragraph">
    <w:name w:val="Photo spacing"/>
    <w:basedOn w:val="NoSpacing"/>
    <w:uiPriority w:val="11"/>
    <w:qFormat/>
    <w:rsid w:val="00504CBC"/>
    <w:pPr>
      <w:spacing w:after="120"/>
    </w:pPr>
    <w:rPr>
      <w:noProof/>
    </w:rPr>
  </w:style>
  <w:style w:styleId="FootnoteText" w:type="paragraph">
    <w:name w:val="footnote text"/>
    <w:basedOn w:val="Normal"/>
    <w:link w:val="FootnoteTextChar"/>
    <w:uiPriority w:val="31"/>
    <w:rsid w:val="00A56EBD"/>
    <w:pPr>
      <w:spacing w:after="60" w:line="240" w:lineRule="auto"/>
    </w:pPr>
    <w:rPr>
      <w:sz w:val="20"/>
      <w:szCs w:val="20"/>
    </w:rPr>
  </w:style>
  <w:style w:customStyle="1" w:styleId="FootnoteTextChar" w:type="character">
    <w:name w:val="Footnote Text Char"/>
    <w:basedOn w:val="DefaultParagraphFont"/>
    <w:link w:val="FootnoteText"/>
    <w:uiPriority w:val="31"/>
    <w:rsid w:val="00A56EBD"/>
    <w:rPr>
      <w:rFonts w:cstheme="minorHAnsi"/>
      <w:sz w:val="20"/>
      <w:szCs w:val="20"/>
    </w:rPr>
  </w:style>
  <w:style w:styleId="FootnoteReference" w:type="character">
    <w:name w:val="footnote reference"/>
    <w:basedOn w:val="DefaultParagraphFont"/>
    <w:uiPriority w:val="99"/>
    <w:semiHidden/>
    <w:unhideWhenUsed/>
    <w:rsid w:val="00390B1C"/>
    <w:rPr>
      <w:vertAlign w:val="superscript"/>
    </w:rPr>
  </w:style>
  <w:style w:styleId="Caption" w:type="paragraph">
    <w:name w:val="caption"/>
    <w:aliases w:val="Table and Figure titles"/>
    <w:basedOn w:val="Normal"/>
    <w:next w:val="Normal"/>
    <w:uiPriority w:val="35"/>
    <w:qFormat/>
    <w:rsid w:val="00664DC0"/>
    <w:pPr>
      <w:spacing w:after="120" w:before="60" w:line="240" w:lineRule="auto"/>
    </w:pPr>
    <w:rPr>
      <w:b/>
      <w:bCs/>
    </w:rPr>
  </w:style>
  <w:style w:customStyle="1" w:styleId="Bodycopy" w:type="paragraph">
    <w:name w:val="Body copy"/>
    <w:uiPriority w:val="1"/>
    <w:semiHidden/>
    <w:qFormat/>
    <w:rsid w:val="00995004"/>
    <w:pPr>
      <w:spacing w:after="360" w:line="360" w:lineRule="atLeast"/>
    </w:pPr>
    <w:rPr>
      <w:rFonts w:ascii="Arial" w:cs="Arial" w:eastAsia="Times New Roman" w:hAnsi="Arial"/>
      <w:color w:themeColor="text1" w:val="000000"/>
      <w:sz w:val="24"/>
      <w:szCs w:val="20"/>
    </w:rPr>
  </w:style>
  <w:style w:customStyle="1" w:styleId="XXXXXXXX" w:type="numbering">
    <w:name w:val="XXXXXXXX"/>
    <w:uiPriority w:val="99"/>
    <w:rsid w:val="00995004"/>
    <w:pPr>
      <w:numPr>
        <w:numId w:val="4"/>
      </w:numPr>
    </w:pPr>
  </w:style>
  <w:style w:customStyle="1" w:styleId="Bullet1" w:type="paragraph">
    <w:name w:val="Bullet 1"/>
    <w:basedOn w:val="Bodycopy"/>
    <w:uiPriority w:val="2"/>
    <w:semiHidden/>
    <w:qFormat/>
    <w:rsid w:val="00995004"/>
    <w:pPr>
      <w:numPr>
        <w:numId w:val="5"/>
      </w:numPr>
      <w:ind w:left="360"/>
      <w:contextualSpacing/>
    </w:pPr>
  </w:style>
  <w:style w:customStyle="1" w:styleId="Table-WDFW" w:type="table">
    <w:name w:val="Table - WDFW"/>
    <w:basedOn w:val="TableProfessional"/>
    <w:uiPriority w:val="99"/>
    <w:rsid w:val="00AD489E"/>
    <w:pPr>
      <w:spacing w:after="60" w:before="60" w:line="240" w:lineRule="auto"/>
    </w:pPr>
    <w:rPr>
      <w:rFonts w:ascii="Calibri" w:cstheme="minorHAnsi" w:hAnsi="Calibri"/>
      <w:sz w:val="20"/>
      <w:szCs w:val="20"/>
    </w:rPr>
    <w:tblPr>
      <w:tblStyleRowBandSize w:val="1"/>
      <w:tblBorders>
        <w:top w:color="0F426B" w:space="0" w:sz="4" w:val="single"/>
        <w:left w:color="0F426B" w:space="0" w:sz="4" w:val="single"/>
        <w:bottom w:color="0F426B" w:space="0" w:sz="4" w:val="single"/>
        <w:right w:color="0F426B" w:space="0" w:sz="4" w:val="single"/>
        <w:insideH w:color="0F426B" w:space="0" w:sz="4" w:val="single"/>
        <w:insideV w:color="0F426B" w:space="0" w:sz="4" w:val="single"/>
      </w:tblBorders>
    </w:tblPr>
    <w:tcPr>
      <w:shd w:color="auto" w:fill="auto" w:val="clear"/>
    </w:tcPr>
    <w:tblStylePr w:type="firstRow">
      <w:pPr>
        <w:wordWrap/>
        <w:spacing w:after="60" w:afterAutospacing="0" w:afterLines="0" w:before="60" w:beforeAutospacing="0" w:beforeLines="0" w:line="240" w:lineRule="auto"/>
        <w:ind w:left="43" w:leftChars="0" w:right="43" w:rightChars="0"/>
        <w:contextualSpacing w:val="0"/>
        <w:jc w:val="left"/>
      </w:pPr>
      <w:rPr>
        <w:rFonts w:asciiTheme="minorHAnsi" w:hAnsiTheme="minorHAnsi"/>
        <w:b/>
        <w:bCs/>
        <w:color w:themeColor="background1" w:val="FFFFFF"/>
        <w:sz w:val="22"/>
      </w:rPr>
      <w:tblPr/>
      <w:tcPr>
        <w:tcBorders>
          <w:top w:color="FFFFFF" w:space="0" w:sz="4" w:themeColor="background1" w:val="single"/>
          <w:left w:color="0F426B" w:space="0" w:sz="4" w:val="single"/>
          <w:bottom w:val="nil"/>
          <w:right w:color="0F426B" w:space="0" w:sz="4" w:val="single"/>
          <w:insideH w:val="nil"/>
          <w:insideV w:color="FFFFFF" w:space="0" w:sz="4" w:themeColor="background1" w:val="single"/>
          <w:tl2br w:color="auto" w:space="0" w:sz="0" w:val="none"/>
          <w:tr2bl w:color="auto" w:space="0" w:sz="0" w:val="none"/>
        </w:tcBorders>
        <w:shd w:color="auto" w:fill="0F426B" w:val="clear"/>
      </w:tcPr>
    </w:tblStylePr>
    <w:tblStylePr w:type="lastRow">
      <w:rPr>
        <w:rFonts w:asciiTheme="minorHAnsi" w:hAnsiTheme="minorHAnsi"/>
        <w:sz w:val="20"/>
      </w:rPr>
    </w:tblStylePr>
    <w:tblStylePr w:type="band1Horz">
      <w:pPr>
        <w:wordWrap/>
        <w:spacing w:after="60" w:afterAutospacing="0" w:afterLines="0" w:before="60" w:beforeAutospacing="0" w:beforeLines="0" w:line="240" w:lineRule="auto"/>
        <w:ind w:left="43" w:leftChars="0" w:right="43" w:rightChars="0"/>
        <w:contextualSpacing w:val="0"/>
        <w:jc w:val="left"/>
      </w:pPr>
      <w:rPr>
        <w:rFonts w:asciiTheme="minorHAnsi" w:hAnsiTheme="minorHAnsi"/>
        <w:sz w:val="20"/>
      </w:rPr>
      <w:tblPr/>
      <w:tcPr>
        <w:tcBorders>
          <w:top w:color="0F426B" w:space="0" w:sz="4" w:val="single"/>
          <w:left w:color="0F426B" w:space="0" w:sz="4" w:val="single"/>
          <w:bottom w:color="0F426B" w:space="0" w:sz="4" w:val="single"/>
          <w:right w:color="0F426B" w:space="0" w:sz="4" w:val="single"/>
          <w:insideH w:color="0F426B" w:space="0" w:sz="4" w:val="single"/>
          <w:insideV w:color="0F426B" w:space="0" w:sz="4" w:val="single"/>
        </w:tcBorders>
        <w:shd w:color="auto" w:fill="auto" w:val="clear"/>
      </w:tcPr>
    </w:tblStylePr>
    <w:tblStylePr w:type="band2Horz">
      <w:pPr>
        <w:wordWrap/>
        <w:spacing w:after="60" w:afterAutospacing="0" w:afterLines="0" w:before="60" w:beforeAutospacing="0" w:beforeLines="0" w:line="240" w:lineRule="auto"/>
        <w:ind w:left="43" w:leftChars="0" w:right="43" w:rightChars="0"/>
        <w:contextualSpacing w:val="0"/>
      </w:pPr>
      <w:tblPr/>
      <w:tcPr>
        <w:shd w:color="auto" w:fill="F2F2F2" w:themeFill="background1" w:themeFillShade="F2" w:val="clear"/>
      </w:tcPr>
    </w:tblStylePr>
    <w:tblStylePr w:type="seCell">
      <w:pPr>
        <w:wordWrap/>
        <w:spacing w:after="240" w:afterAutospacing="0" w:afterLines="0"/>
        <w:contextualSpacing w:val="0"/>
      </w:pPr>
    </w:tblStylePr>
  </w:style>
  <w:style w:styleId="TableProfessional" w:type="table">
    <w:name w:val="Table Professional"/>
    <w:basedOn w:val="TableNormal"/>
    <w:uiPriority w:val="99"/>
    <w:semiHidden/>
    <w:unhideWhenUsed/>
    <w:rsid w:val="00120E75"/>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ofFigures" w:type="paragraph">
    <w:name w:val="table of figures"/>
    <w:aliases w:val="TOC Tables and Figures"/>
    <w:basedOn w:val="Normal"/>
    <w:next w:val="Normal"/>
    <w:uiPriority w:val="99"/>
    <w:unhideWhenUsed/>
    <w:rsid w:val="00B64035"/>
    <w:pPr>
      <w:spacing w:after="60" w:line="259" w:lineRule="auto"/>
    </w:pPr>
  </w:style>
  <w:style w:styleId="Revision" w:type="paragraph">
    <w:name w:val="Revision"/>
    <w:hidden/>
    <w:uiPriority w:val="99"/>
    <w:semiHidden/>
    <w:rsid w:val="008971A5"/>
    <w:pPr>
      <w:spacing w:after="0" w:line="240" w:lineRule="auto"/>
    </w:pPr>
    <w:rPr>
      <w:rFonts w:cstheme="minorHAnsi"/>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65" Target="media/rId65.png" /><Relationship Type="http://schemas.openxmlformats.org/officeDocument/2006/relationships/image" Id="rId59" Target="media/rId5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41" Target="media/rId41.png" /><Relationship Type="http://schemas.openxmlformats.org/officeDocument/2006/relationships/image" Id="rId71" Target="media/rId71.png" /><Relationship Type="http://schemas.openxmlformats.org/officeDocument/2006/relationships/image" Id="rId45" Target="media/rId45.png" /><Relationship Type="http://schemas.openxmlformats.org/officeDocument/2006/relationships/image" Id="rId68" Target="media/rId68.png" /><Relationship Type="http://schemas.openxmlformats.org/officeDocument/2006/relationships/hyperlink" Id="rId26" Target="https://data.wa.gov/resource/6y4e-8ftk.csv?$where=fishery_name=&#39;Nisqually%20salmon%202021&#39;&amp;$limit=100000" TargetMode="External" /><Relationship Type="http://schemas.openxmlformats.org/officeDocument/2006/relationships/hyperlink" Id="rId27" Target="https://data.wa.gov/resource/6y4e-8ftk.csv?$where=fishery_name=&#39;Nisqually%20salmon%202022&#39;&amp;$limit=100000" TargetMode="External" /><Relationship Type="http://schemas.openxmlformats.org/officeDocument/2006/relationships/hyperlink" Id="rId28" Target="https://data.wa.gov/resource/6y4e-8ftk.csv?$where=fishery_name=&#39;Nisqually%20salmon%202023&#39;&amp;$limit=100000" TargetMode="External" /><Relationship Type="http://schemas.openxmlformats.org/officeDocument/2006/relationships/hyperlink" Id="rId32" Target="https://data.wa.gov/resource/6zm6-iep6.csv?$where=fishery_name=&#39;Nisqually%20salmon%202021&#39;&amp;$limit=100000" TargetMode="External" /><Relationship Type="http://schemas.openxmlformats.org/officeDocument/2006/relationships/hyperlink" Id="rId33" Target="https://data.wa.gov/resource/6zm6-iep6.csv?$where=fishery_name=&#39;Nisqually%20salmon%202022&#39;&amp;$limit=100000" TargetMode="External" /><Relationship Type="http://schemas.openxmlformats.org/officeDocument/2006/relationships/hyperlink" Id="rId34" Target="https://data.wa.gov/resource/6zm6-iep6.csv?$where=fishery_name=&#39;Nisqually%20salmon%202023&#39;&amp;$limit=100000" TargetMode="External" /><Relationship Type="http://schemas.openxmlformats.org/officeDocument/2006/relationships/hyperlink" Id="rId20" Target="https://data.wa.gov/resource/h9a6-g38s.csv?$where=fishery_name=&#39;Nisqually%20salmon%202021&#39;&amp;$limit=100000" TargetMode="External" /><Relationship Type="http://schemas.openxmlformats.org/officeDocument/2006/relationships/hyperlink" Id="rId21" Target="https://data.wa.gov/resource/h9a6-g38s.csv?$where=fishery_name=&#39;Nisqually%20salmon%202022&#39;&amp;$limit=100000" TargetMode="External" /><Relationship Type="http://schemas.openxmlformats.org/officeDocument/2006/relationships/hyperlink" Id="rId22" Target="https://data.wa.gov/resource/h9a6-g38s.csv?$where=fishery_name=&#39;Nisqually%20salmon%202023&#39;&amp;$limit=100000" TargetMode="External" /><Relationship Type="http://schemas.openxmlformats.org/officeDocument/2006/relationships/hyperlink" Id="rId29" Target="https://data.wa.gov/resource/nbd2-vdmz.csv?$where=fishery_name=&#39;Nisqually%20salmon%202021&#39;&amp;$limit=100000" TargetMode="External" /><Relationship Type="http://schemas.openxmlformats.org/officeDocument/2006/relationships/hyperlink" Id="rId30" Target="https://data.wa.gov/resource/nbd2-vdmz.csv?$where=fishery_name=&#39;Nisqually%20salmon%202022&#39;&amp;$limit=100000" TargetMode="External" /><Relationship Type="http://schemas.openxmlformats.org/officeDocument/2006/relationships/hyperlink" Id="rId31" Target="https://data.wa.gov/resource/nbd2-vdmz.csv?$where=fishery_name=&#39;Nisqually%20salmon%202023&#39;&amp;$limit=100000" TargetMode="External" /><Relationship Type="http://schemas.openxmlformats.org/officeDocument/2006/relationships/hyperlink" Id="rId23" Target="https://data.wa.gov/resource/rpax-ahqm.csv?$where=fishery_name=&#39;Nisqually%20salmon%202021&#39;&amp;$limit=100000" TargetMode="External" /><Relationship Type="http://schemas.openxmlformats.org/officeDocument/2006/relationships/hyperlink" Id="rId24" Target="https://data.wa.gov/resource/rpax-ahqm.csv?$where=fishery_name=&#39;Nisqually%20salmon%202022&#39;&amp;$limit=100000" TargetMode="External" /><Relationship Type="http://schemas.openxmlformats.org/officeDocument/2006/relationships/hyperlink" Id="rId25" Target="https://data.wa.gov/resource/rpax-ahqm.csv?$where=fishery_name=&#39;Nisqually%20salmon%202023&#39;&amp;$limit=100000" TargetMode="External" /><Relationship Type="http://schemas.openxmlformats.org/officeDocument/2006/relationships/hyperlink" Id="rId35" Target="https://data.wa.gov/resource/vkjc-s5u8.csv?$where=fishery_name=&#39;Nisqually%20salmon%202021&#39;&amp;$limit=100000" TargetMode="External" /><Relationship Type="http://schemas.openxmlformats.org/officeDocument/2006/relationships/hyperlink" Id="rId36" Target="https://data.wa.gov/resource/vkjc-s5u8.csv?$where=fishery_name=&#39;Nisqually%20salmon%202022&#39;&amp;$limit=100000" TargetMode="External" /><Relationship Type="http://schemas.openxmlformats.org/officeDocument/2006/relationships/hyperlink" Id="rId37" Target="https://data.wa.gov/resource/vkjc-s5u8.csv?$where=fishery_name=&#39;Nisqually%20salmon%202023&#39;&amp;$limit=100000" TargetMode="External" /></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notes.xml.rels><?xml version="1.0" encoding="UTF-8"?><Relationships xmlns="http://schemas.openxmlformats.org/package/2006/relationships"><Relationship Type="http://schemas.openxmlformats.org/officeDocument/2006/relationships/hyperlink" Id="rId26" Target="https://data.wa.gov/resource/6y4e-8ftk.csv?$where=fishery_name=&#39;Nisqually%20salmon%202021&#39;&amp;$limit=100000" TargetMode="External" /><Relationship Type="http://schemas.openxmlformats.org/officeDocument/2006/relationships/hyperlink" Id="rId27" Target="https://data.wa.gov/resource/6y4e-8ftk.csv?$where=fishery_name=&#39;Nisqually%20salmon%202022&#39;&amp;$limit=100000" TargetMode="External" /><Relationship Type="http://schemas.openxmlformats.org/officeDocument/2006/relationships/hyperlink" Id="rId28" Target="https://data.wa.gov/resource/6y4e-8ftk.csv?$where=fishery_name=&#39;Nisqually%20salmon%202023&#39;&amp;$limit=100000" TargetMode="External" /><Relationship Type="http://schemas.openxmlformats.org/officeDocument/2006/relationships/hyperlink" Id="rId32" Target="https://data.wa.gov/resource/6zm6-iep6.csv?$where=fishery_name=&#39;Nisqually%20salmon%202021&#39;&amp;$limit=100000" TargetMode="External" /><Relationship Type="http://schemas.openxmlformats.org/officeDocument/2006/relationships/hyperlink" Id="rId33" Target="https://data.wa.gov/resource/6zm6-iep6.csv?$where=fishery_name=&#39;Nisqually%20salmon%202022&#39;&amp;$limit=100000" TargetMode="External" /><Relationship Type="http://schemas.openxmlformats.org/officeDocument/2006/relationships/hyperlink" Id="rId34" Target="https://data.wa.gov/resource/6zm6-iep6.csv?$where=fishery_name=&#39;Nisqually%20salmon%202023&#39;&amp;$limit=100000" TargetMode="External" /><Relationship Type="http://schemas.openxmlformats.org/officeDocument/2006/relationships/hyperlink" Id="rId20" Target="https://data.wa.gov/resource/h9a6-g38s.csv?$where=fishery_name=&#39;Nisqually%20salmon%202021&#39;&amp;$limit=100000" TargetMode="External" /><Relationship Type="http://schemas.openxmlformats.org/officeDocument/2006/relationships/hyperlink" Id="rId21" Target="https://data.wa.gov/resource/h9a6-g38s.csv?$where=fishery_name=&#39;Nisqually%20salmon%202022&#39;&amp;$limit=100000" TargetMode="External" /><Relationship Type="http://schemas.openxmlformats.org/officeDocument/2006/relationships/hyperlink" Id="rId22" Target="https://data.wa.gov/resource/h9a6-g38s.csv?$where=fishery_name=&#39;Nisqually%20salmon%202023&#39;&amp;$limit=100000" TargetMode="External" /><Relationship Type="http://schemas.openxmlformats.org/officeDocument/2006/relationships/hyperlink" Id="rId29" Target="https://data.wa.gov/resource/nbd2-vdmz.csv?$where=fishery_name=&#39;Nisqually%20salmon%202021&#39;&amp;$limit=100000" TargetMode="External" /><Relationship Type="http://schemas.openxmlformats.org/officeDocument/2006/relationships/hyperlink" Id="rId30" Target="https://data.wa.gov/resource/nbd2-vdmz.csv?$where=fishery_name=&#39;Nisqually%20salmon%202022&#39;&amp;$limit=100000" TargetMode="External" /><Relationship Type="http://schemas.openxmlformats.org/officeDocument/2006/relationships/hyperlink" Id="rId31" Target="https://data.wa.gov/resource/nbd2-vdmz.csv?$where=fishery_name=&#39;Nisqually%20salmon%202023&#39;&amp;$limit=100000" TargetMode="External" /><Relationship Type="http://schemas.openxmlformats.org/officeDocument/2006/relationships/hyperlink" Id="rId23" Target="https://data.wa.gov/resource/rpax-ahqm.csv?$where=fishery_name=&#39;Nisqually%20salmon%202021&#39;&amp;$limit=100000" TargetMode="External" /><Relationship Type="http://schemas.openxmlformats.org/officeDocument/2006/relationships/hyperlink" Id="rId24" Target="https://data.wa.gov/resource/rpax-ahqm.csv?$where=fishery_name=&#39;Nisqually%20salmon%202022&#39;&amp;$limit=100000" TargetMode="External" /><Relationship Type="http://schemas.openxmlformats.org/officeDocument/2006/relationships/hyperlink" Id="rId25" Target="https://data.wa.gov/resource/rpax-ahqm.csv?$where=fishery_name=&#39;Nisqually%20salmon%202023&#39;&amp;$limit=100000" TargetMode="External" /><Relationship Type="http://schemas.openxmlformats.org/officeDocument/2006/relationships/hyperlink" Id="rId35" Target="https://data.wa.gov/resource/vkjc-s5u8.csv?$where=fishery_name=&#39;Nisqually%20salmon%202021&#39;&amp;$limit=100000" TargetMode="External" /><Relationship Type="http://schemas.openxmlformats.org/officeDocument/2006/relationships/hyperlink" Id="rId36" Target="https://data.wa.gov/resource/vkjc-s5u8.csv?$where=fishery_name=&#39;Nisqually%20salmon%202022&#39;&amp;$limit=100000" TargetMode="External" /><Relationship Type="http://schemas.openxmlformats.org/officeDocument/2006/relationships/hyperlink" Id="rId37" Target="https://data.wa.gov/resource/vkjc-s5u8.csv?$where=fishery_name=&#39;Nisqually%20salmon%202023&#39;&amp;$limit=100000"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wdfw_report (1).dotx</Template>
  <TotalTime>17</TotalTime>
  <Pages>9</Pages>
  <Words>1121</Words>
  <Characters>6392</Characters>
  <Application>Microsoft Office Word</Application>
  <DocSecurity>0</DocSecurity>
  <Lines>53</Lines>
  <Paragraphs>14</Paragraphs>
  <ScaleCrop>false</ScaleCrop>
  <Company>Washington Dept of Fish &amp; Wildlife</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Creel survey sampling evaluation</dc:title>
  <dc:creator>Evan Booher</dc:creator>
  <cp:keywords/>
  <dcterms:created xsi:type="dcterms:W3CDTF">2025-07-10T00:03:24Z</dcterms:created>
  <dcterms:modified xsi:type="dcterms:W3CDTF">2025-07-10T00:03:24Z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2025-07-09</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ssage">
    <vt:lpwstr>False</vt:lpwstr>
  </property>
  <property fmtid="{D5CDD505-2E9C-101B-9397-08002B2CF9AE}" pid="13" name="params">
    <vt:lpwstr/>
  </property>
  <property fmtid="{D5CDD505-2E9C-101B-9397-08002B2CF9AE}" pid="14" name="title-block-banner">
    <vt:lpwstr>#1D886E</vt:lpwstr>
  </property>
  <property fmtid="{D5CDD505-2E9C-101B-9397-08002B2CF9AE}" pid="15" name="toc-title">
    <vt:lpwstr>Table of contents</vt:lpwstr>
  </property>
</Properties>
</file>