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A7D37" w14:textId="3C184B5B" w:rsidR="001F7D05" w:rsidRPr="001F7D05" w:rsidRDefault="001F7D05" w:rsidP="001F7D05">
      <w:pPr>
        <w:pStyle w:val="Ttulo1"/>
        <w:jc w:val="center"/>
        <w:rPr>
          <w:rFonts w:eastAsia="Times New Roman"/>
          <w:lang w:eastAsia="pt-BR"/>
        </w:rPr>
      </w:pPr>
      <w:r>
        <w:rPr>
          <w:rFonts w:eastAsia="Times New Roman"/>
          <w:lang w:eastAsia="pt-BR"/>
        </w:rPr>
        <w:t xml:space="preserve">Aula 02 - </w:t>
      </w:r>
      <w:r w:rsidRPr="001F7D05">
        <w:rPr>
          <w:rFonts w:eastAsia="Times New Roman"/>
          <w:lang w:eastAsia="pt-BR"/>
        </w:rPr>
        <w:t>Estudo de Caso</w:t>
      </w:r>
    </w:p>
    <w:p w14:paraId="20028ADD" w14:textId="77777777" w:rsidR="001F7D05" w:rsidRPr="001F7D05" w:rsidRDefault="001F7D05" w:rsidP="001F7D05">
      <w:pPr>
        <w:pStyle w:val="Ttulo2"/>
        <w:rPr>
          <w:rFonts w:eastAsia="Times New Roman"/>
          <w:lang w:eastAsia="pt-BR"/>
        </w:rPr>
      </w:pPr>
      <w:r w:rsidRPr="001F7D05">
        <w:rPr>
          <w:rFonts w:eastAsia="Times New Roman"/>
          <w:lang w:eastAsia="pt-BR"/>
        </w:rPr>
        <w:t xml:space="preserve">A </w:t>
      </w:r>
      <w:proofErr w:type="spellStart"/>
      <w:r w:rsidRPr="001F7D05">
        <w:rPr>
          <w:rFonts w:eastAsia="Times New Roman"/>
          <w:lang w:eastAsia="pt-BR"/>
        </w:rPr>
        <w:t>DataNova</w:t>
      </w:r>
      <w:proofErr w:type="spellEnd"/>
      <w:r w:rsidRPr="001F7D05">
        <w:rPr>
          <w:rFonts w:eastAsia="Times New Roman"/>
          <w:lang w:eastAsia="pt-BR"/>
        </w:rPr>
        <w:t xml:space="preserve"> Serviços Digitais e o Paradoxo do Crescimento Digital</w:t>
      </w:r>
    </w:p>
    <w:p w14:paraId="1C95F8B5" w14:textId="77777777" w:rsidR="001F7D05" w:rsidRPr="001F7D05" w:rsidRDefault="001F7D05" w:rsidP="001F7D05">
      <w:pPr>
        <w:pStyle w:val="Ttulo3"/>
        <w:rPr>
          <w:rFonts w:eastAsia="Times New Roman"/>
          <w:lang w:eastAsia="pt-BR"/>
        </w:rPr>
      </w:pPr>
      <w:r w:rsidRPr="001F7D05">
        <w:rPr>
          <w:rFonts w:eastAsia="Times New Roman"/>
          <w:lang w:eastAsia="pt-BR"/>
        </w:rPr>
        <w:t>Introdução Conceitual</w:t>
      </w:r>
    </w:p>
    <w:p w14:paraId="407308FA" w14:textId="77777777" w:rsidR="001F7D05" w:rsidRPr="001F7D05" w:rsidRDefault="001F7D05" w:rsidP="001F7D05">
      <w:pPr>
        <w:spacing w:before="100" w:beforeAutospacing="1" w:after="100" w:afterAutospacing="1"/>
        <w:jc w:val="both"/>
        <w:rPr>
          <w:rFonts w:ascii="Times New Roman" w:eastAsia="Times New Roman" w:hAnsi="Times New Roman" w:cs="Times New Roman"/>
          <w:kern w:val="0"/>
          <w:lang w:eastAsia="pt-BR"/>
          <w14:ligatures w14:val="none"/>
        </w:rPr>
      </w:pPr>
      <w:r w:rsidRPr="001F7D05">
        <w:rPr>
          <w:rFonts w:ascii="Times New Roman" w:eastAsia="Times New Roman" w:hAnsi="Times New Roman" w:cs="Times New Roman"/>
          <w:kern w:val="0"/>
          <w:lang w:eastAsia="pt-BR"/>
          <w14:ligatures w14:val="none"/>
        </w:rPr>
        <w:t>O presente estudo de caso foi elaborado para permitir a aplicação prática dos fundamentos teóricos discutidos no Capítulo 1 — especialmente os conceitos de governança organizacional, teoria da agência, distinção entre governança e gestão, alinhamento estratégico, ativos intangíveis, gestão de riscos e maturidade organizacional.</w:t>
      </w:r>
    </w:p>
    <w:p w14:paraId="182C34C4" w14:textId="77777777" w:rsidR="001F7D05" w:rsidRPr="001F7D05" w:rsidRDefault="001F7D05" w:rsidP="001F7D05">
      <w:pPr>
        <w:spacing w:before="100" w:beforeAutospacing="1" w:after="100" w:afterAutospacing="1"/>
        <w:jc w:val="both"/>
        <w:rPr>
          <w:rFonts w:ascii="Times New Roman" w:eastAsia="Times New Roman" w:hAnsi="Times New Roman" w:cs="Times New Roman"/>
          <w:kern w:val="0"/>
          <w:lang w:eastAsia="pt-BR"/>
          <w14:ligatures w14:val="none"/>
        </w:rPr>
      </w:pPr>
      <w:r w:rsidRPr="001F7D05">
        <w:rPr>
          <w:rFonts w:ascii="Times New Roman" w:eastAsia="Times New Roman" w:hAnsi="Times New Roman" w:cs="Times New Roman"/>
          <w:kern w:val="0"/>
          <w:lang w:eastAsia="pt-BR"/>
          <w14:ligatures w14:val="none"/>
        </w:rPr>
        <w:t xml:space="preserve">A análise parte do pressuposto de que, na economia digital, tecnologia e dados constituem ativos estratégicos, cujo valor depende não apenas da capacidade técnica de execução, mas da existência de mecanismos formais de decisão, supervisão e </w:t>
      </w:r>
      <w:proofErr w:type="spellStart"/>
      <w:r w:rsidRPr="001F7D05">
        <w:rPr>
          <w:rFonts w:ascii="Times New Roman" w:eastAsia="Times New Roman" w:hAnsi="Times New Roman" w:cs="Times New Roman"/>
          <w:kern w:val="0"/>
          <w:lang w:eastAsia="pt-BR"/>
          <w14:ligatures w14:val="none"/>
        </w:rPr>
        <w:t>accountability</w:t>
      </w:r>
      <w:proofErr w:type="spellEnd"/>
      <w:r w:rsidRPr="001F7D05">
        <w:rPr>
          <w:rFonts w:ascii="Times New Roman" w:eastAsia="Times New Roman" w:hAnsi="Times New Roman" w:cs="Times New Roman"/>
          <w:kern w:val="0"/>
          <w:lang w:eastAsia="pt-BR"/>
          <w14:ligatures w14:val="none"/>
        </w:rPr>
        <w:t>. A governança de TI, nesse contexto, refere-se à definição de quem decide, com base em quais critérios, com quais métricas e sob quais mecanismos de monitoramento e controle. A gestão, por sua vez, refere-se à execução operacional dessas decisões.</w:t>
      </w:r>
    </w:p>
    <w:p w14:paraId="72F103CA" w14:textId="77777777" w:rsidR="001F7D05" w:rsidRPr="001F7D05" w:rsidRDefault="001F7D05" w:rsidP="001F7D05">
      <w:pPr>
        <w:spacing w:before="100" w:beforeAutospacing="1" w:after="100" w:afterAutospacing="1"/>
        <w:jc w:val="both"/>
        <w:rPr>
          <w:rFonts w:ascii="Times New Roman" w:eastAsia="Times New Roman" w:hAnsi="Times New Roman" w:cs="Times New Roman"/>
          <w:kern w:val="0"/>
          <w:lang w:eastAsia="pt-BR"/>
          <w14:ligatures w14:val="none"/>
        </w:rPr>
      </w:pPr>
      <w:r w:rsidRPr="001F7D05">
        <w:rPr>
          <w:rFonts w:ascii="Times New Roman" w:eastAsia="Times New Roman" w:hAnsi="Times New Roman" w:cs="Times New Roman"/>
          <w:kern w:val="0"/>
          <w:lang w:eastAsia="pt-BR"/>
          <w14:ligatures w14:val="none"/>
        </w:rPr>
        <w:t>A teoria da agência oferece um referencial analítico adicional ao evidenciar potenciais conflitos entre diferentes níveis hierárquicos e áreas organizacionais, especialmente quando há assimetria de informação, incentivos desalinhados ou ausência de mecanismos formais de prestação de contas.</w:t>
      </w:r>
    </w:p>
    <w:p w14:paraId="4F19146E" w14:textId="4978AF3F" w:rsidR="001F7D05" w:rsidRPr="001F7D05" w:rsidRDefault="001F7D05" w:rsidP="001F7D05">
      <w:pPr>
        <w:spacing w:before="100" w:beforeAutospacing="1" w:after="100" w:afterAutospacing="1"/>
        <w:jc w:val="both"/>
        <w:rPr>
          <w:rFonts w:ascii="Times New Roman" w:eastAsia="Times New Roman" w:hAnsi="Times New Roman" w:cs="Times New Roman"/>
          <w:kern w:val="0"/>
          <w:lang w:eastAsia="pt-BR"/>
          <w14:ligatures w14:val="none"/>
        </w:rPr>
      </w:pPr>
      <w:r w:rsidRPr="001F7D05">
        <w:rPr>
          <w:rFonts w:ascii="Times New Roman" w:eastAsia="Times New Roman" w:hAnsi="Times New Roman" w:cs="Times New Roman"/>
          <w:kern w:val="0"/>
          <w:lang w:eastAsia="pt-BR"/>
          <w14:ligatures w14:val="none"/>
        </w:rPr>
        <w:t>O caso a seguir descreve uma organização que apresenta elevada dependência tecnológica e forte crescimento econômico, mas cuja estrutura decisória não evoluiu na mesma proporção. O objetivo é analisar se os desafios enfrentados decorrem de limitações técnicas (gestão) ou de fragilidades estruturais (governança), bem como identificar riscos estratégicos associados à maturidade organizacional insuficiente.</w:t>
      </w:r>
    </w:p>
    <w:p w14:paraId="1031B05B" w14:textId="77777777" w:rsidR="001F7D05" w:rsidRPr="001F7D05" w:rsidRDefault="001F7D05" w:rsidP="001F7D05">
      <w:pPr>
        <w:pStyle w:val="Ttulo3"/>
        <w:rPr>
          <w:rFonts w:eastAsia="Times New Roman"/>
          <w:lang w:eastAsia="pt-BR"/>
        </w:rPr>
      </w:pPr>
      <w:r w:rsidRPr="001F7D05">
        <w:rPr>
          <w:rFonts w:eastAsia="Times New Roman"/>
          <w:lang w:eastAsia="pt-BR"/>
        </w:rPr>
        <w:t>Contextualização da Empresa</w:t>
      </w:r>
    </w:p>
    <w:p w14:paraId="5D475837" w14:textId="77777777" w:rsidR="001F7D05" w:rsidRPr="001F7D05" w:rsidRDefault="001F7D05" w:rsidP="001F7D05">
      <w:pPr>
        <w:spacing w:before="100" w:beforeAutospacing="1" w:after="100" w:afterAutospacing="1"/>
        <w:jc w:val="both"/>
        <w:rPr>
          <w:rFonts w:ascii="Times New Roman" w:eastAsia="Times New Roman" w:hAnsi="Times New Roman" w:cs="Times New Roman"/>
          <w:kern w:val="0"/>
          <w:lang w:eastAsia="pt-BR"/>
          <w14:ligatures w14:val="none"/>
        </w:rPr>
      </w:pPr>
      <w:r w:rsidRPr="001F7D05">
        <w:rPr>
          <w:rFonts w:ascii="Times New Roman" w:eastAsia="Times New Roman" w:hAnsi="Times New Roman" w:cs="Times New Roman"/>
          <w:kern w:val="0"/>
          <w:lang w:eastAsia="pt-BR"/>
          <w14:ligatures w14:val="none"/>
        </w:rPr>
        <w:t xml:space="preserve">A </w:t>
      </w:r>
      <w:proofErr w:type="spellStart"/>
      <w:r w:rsidRPr="001F7D05">
        <w:rPr>
          <w:rFonts w:ascii="Times New Roman" w:eastAsia="Times New Roman" w:hAnsi="Times New Roman" w:cs="Times New Roman"/>
          <w:kern w:val="0"/>
          <w:lang w:eastAsia="pt-BR"/>
          <w14:ligatures w14:val="none"/>
        </w:rPr>
        <w:t>DataNova</w:t>
      </w:r>
      <w:proofErr w:type="spellEnd"/>
      <w:r w:rsidRPr="001F7D05">
        <w:rPr>
          <w:rFonts w:ascii="Times New Roman" w:eastAsia="Times New Roman" w:hAnsi="Times New Roman" w:cs="Times New Roman"/>
          <w:kern w:val="0"/>
          <w:lang w:eastAsia="pt-BR"/>
          <w14:ligatures w14:val="none"/>
        </w:rPr>
        <w:t xml:space="preserve"> Serviços Digitais é uma empresa nacional de médio porte especializada em soluções de análise de dados para redes varejistas regionais. Fundada há oito anos, iniciou suas operações com foco em desenvolvimento de dashboards analíticos e integração de bases de dados comerciais. Seu diferencial competitivo sempre foi a capacidade técnica da equipe e a agilidade na entrega de soluções personalizadas.</w:t>
      </w:r>
    </w:p>
    <w:p w14:paraId="151028EC" w14:textId="77777777" w:rsidR="001F7D05" w:rsidRPr="001F7D05" w:rsidRDefault="001F7D05" w:rsidP="001F7D05">
      <w:pPr>
        <w:spacing w:before="100" w:beforeAutospacing="1" w:after="100" w:afterAutospacing="1"/>
        <w:jc w:val="both"/>
        <w:rPr>
          <w:rFonts w:ascii="Times New Roman" w:eastAsia="Times New Roman" w:hAnsi="Times New Roman" w:cs="Times New Roman"/>
          <w:kern w:val="0"/>
          <w:lang w:eastAsia="pt-BR"/>
          <w14:ligatures w14:val="none"/>
        </w:rPr>
      </w:pPr>
      <w:r w:rsidRPr="001F7D05">
        <w:rPr>
          <w:rFonts w:ascii="Times New Roman" w:eastAsia="Times New Roman" w:hAnsi="Times New Roman" w:cs="Times New Roman"/>
          <w:kern w:val="0"/>
          <w:lang w:eastAsia="pt-BR"/>
          <w14:ligatures w14:val="none"/>
        </w:rPr>
        <w:t>Nos últimos quatro anos, impulsionada pela crescente demanda por inteligência de dados e pela digitalização acelerada do setor varejista, a empresa experimentou forte expansão. O faturamento triplicou, novos contratos corporativos foram firmados e a dependência de seus clientes em relação às plataformas analíticas tornou-se estrutural.</w:t>
      </w:r>
    </w:p>
    <w:p w14:paraId="70F19420" w14:textId="19C5B175" w:rsidR="001F7D05" w:rsidRPr="001F7D05" w:rsidRDefault="001F7D05" w:rsidP="001F7D05">
      <w:pPr>
        <w:spacing w:before="100" w:beforeAutospacing="1" w:after="100" w:afterAutospacing="1"/>
        <w:jc w:val="both"/>
        <w:rPr>
          <w:rFonts w:ascii="Times New Roman" w:eastAsia="Times New Roman" w:hAnsi="Times New Roman" w:cs="Times New Roman"/>
          <w:kern w:val="0"/>
          <w:lang w:eastAsia="pt-BR"/>
          <w14:ligatures w14:val="none"/>
        </w:rPr>
      </w:pPr>
      <w:r w:rsidRPr="001F7D05">
        <w:rPr>
          <w:rFonts w:ascii="Times New Roman" w:eastAsia="Times New Roman" w:hAnsi="Times New Roman" w:cs="Times New Roman"/>
          <w:kern w:val="0"/>
          <w:lang w:eastAsia="pt-BR"/>
          <w14:ligatures w14:val="none"/>
        </w:rPr>
        <w:t xml:space="preserve">Atualmente, a </w:t>
      </w:r>
      <w:proofErr w:type="spellStart"/>
      <w:r w:rsidRPr="001F7D05">
        <w:rPr>
          <w:rFonts w:ascii="Times New Roman" w:eastAsia="Times New Roman" w:hAnsi="Times New Roman" w:cs="Times New Roman"/>
          <w:kern w:val="0"/>
          <w:lang w:eastAsia="pt-BR"/>
          <w14:ligatures w14:val="none"/>
        </w:rPr>
        <w:t>DataNova</w:t>
      </w:r>
      <w:proofErr w:type="spellEnd"/>
      <w:r w:rsidRPr="001F7D05">
        <w:rPr>
          <w:rFonts w:ascii="Times New Roman" w:eastAsia="Times New Roman" w:hAnsi="Times New Roman" w:cs="Times New Roman"/>
          <w:kern w:val="0"/>
          <w:lang w:eastAsia="pt-BR"/>
          <w14:ligatures w14:val="none"/>
        </w:rPr>
        <w:t xml:space="preserve"> possui aproximadamente 280 colaboradores, dos quais 40 atuam diretamente na área de TI. Estão em andamento 12 projetos considerados estratégicos, além de múltiplas iniciativas operacionais de manutenção e evolução de sistemas. O investimento anual em tecnologia corresponde a aproximadamente 11% da receita da </w:t>
      </w:r>
      <w:r w:rsidRPr="001F7D05">
        <w:rPr>
          <w:rFonts w:ascii="Times New Roman" w:eastAsia="Times New Roman" w:hAnsi="Times New Roman" w:cs="Times New Roman"/>
          <w:kern w:val="0"/>
          <w:lang w:eastAsia="pt-BR"/>
          <w14:ligatures w14:val="none"/>
        </w:rPr>
        <w:lastRenderedPageBreak/>
        <w:t>organização, refletindo a centralidade dos ativos intangíveis — dados proprietários, modelos preditivos, algoritmos e infraestrutura em nuvem — em seu modelo de negócios.</w:t>
      </w:r>
    </w:p>
    <w:p w14:paraId="7ECC8EA0" w14:textId="77777777" w:rsidR="001F7D05" w:rsidRPr="001F7D05" w:rsidRDefault="001F7D05" w:rsidP="001F7D05">
      <w:pPr>
        <w:pStyle w:val="Ttulo3"/>
        <w:rPr>
          <w:rFonts w:eastAsia="Times New Roman"/>
          <w:lang w:eastAsia="pt-BR"/>
        </w:rPr>
      </w:pPr>
      <w:r w:rsidRPr="001F7D05">
        <w:rPr>
          <w:rFonts w:eastAsia="Times New Roman"/>
          <w:lang w:eastAsia="pt-BR"/>
        </w:rPr>
        <w:t>Estrutura Decisória e Organização da TI</w:t>
      </w:r>
    </w:p>
    <w:p w14:paraId="08888BD6" w14:textId="77777777" w:rsidR="001F7D05" w:rsidRPr="001F7D05" w:rsidRDefault="001F7D05" w:rsidP="001F7D05">
      <w:pPr>
        <w:spacing w:before="100" w:beforeAutospacing="1" w:after="100" w:afterAutospacing="1"/>
        <w:jc w:val="both"/>
        <w:rPr>
          <w:rFonts w:ascii="Times New Roman" w:eastAsia="Times New Roman" w:hAnsi="Times New Roman" w:cs="Times New Roman"/>
          <w:kern w:val="0"/>
          <w:lang w:eastAsia="pt-BR"/>
          <w14:ligatures w14:val="none"/>
        </w:rPr>
      </w:pPr>
      <w:r w:rsidRPr="001F7D05">
        <w:rPr>
          <w:rFonts w:ascii="Times New Roman" w:eastAsia="Times New Roman" w:hAnsi="Times New Roman" w:cs="Times New Roman"/>
          <w:kern w:val="0"/>
          <w:lang w:eastAsia="pt-BR"/>
          <w14:ligatures w14:val="none"/>
        </w:rPr>
        <w:t>Apesar da relevância estratégica da tecnologia, a empresa não formalizou mecanismos estruturados de governança de TI. Não existe comitê formal de priorização de investimentos tecnológicos, nem matriz documentada de responsabilidades decisórias. As demandas por novos projetos são encaminhadas diretamente pelas diretorias comercial e de produto à área de TI, geralmente associadas a oportunidades de receita de curto prazo.</w:t>
      </w:r>
    </w:p>
    <w:p w14:paraId="79694005" w14:textId="77777777" w:rsidR="001F7D05" w:rsidRPr="001F7D05" w:rsidRDefault="001F7D05" w:rsidP="001F7D05">
      <w:pPr>
        <w:spacing w:before="100" w:beforeAutospacing="1" w:after="100" w:afterAutospacing="1"/>
        <w:jc w:val="both"/>
        <w:rPr>
          <w:rFonts w:ascii="Times New Roman" w:eastAsia="Times New Roman" w:hAnsi="Times New Roman" w:cs="Times New Roman"/>
          <w:kern w:val="0"/>
          <w:lang w:eastAsia="pt-BR"/>
          <w14:ligatures w14:val="none"/>
        </w:rPr>
      </w:pPr>
      <w:r w:rsidRPr="001F7D05">
        <w:rPr>
          <w:rFonts w:ascii="Times New Roman" w:eastAsia="Times New Roman" w:hAnsi="Times New Roman" w:cs="Times New Roman"/>
          <w:kern w:val="0"/>
          <w:lang w:eastAsia="pt-BR"/>
          <w14:ligatures w14:val="none"/>
        </w:rPr>
        <w:t>As prioridades são estabelecidas com base em urgência percebida ou pressão hierárquica. Não há processo estruturado de gestão de portfólio, nem critérios transparentes de avaliação de retorno sobre investimento. Tampouco existem indicadores consolidados que permitam mensurar, de forma sistemática, o valor estratégico entregue pela TI ao negócio.</w:t>
      </w:r>
    </w:p>
    <w:p w14:paraId="3F394B1E" w14:textId="34C8A955" w:rsidR="001F7D05" w:rsidRPr="001F7D05" w:rsidRDefault="001F7D05" w:rsidP="001F7D05">
      <w:pPr>
        <w:spacing w:before="100" w:beforeAutospacing="1" w:after="100" w:afterAutospacing="1"/>
        <w:jc w:val="both"/>
        <w:rPr>
          <w:rFonts w:ascii="Times New Roman" w:eastAsia="Times New Roman" w:hAnsi="Times New Roman" w:cs="Times New Roman"/>
          <w:kern w:val="0"/>
          <w:lang w:eastAsia="pt-BR"/>
          <w14:ligatures w14:val="none"/>
        </w:rPr>
      </w:pPr>
      <w:r w:rsidRPr="001F7D05">
        <w:rPr>
          <w:rFonts w:ascii="Times New Roman" w:eastAsia="Times New Roman" w:hAnsi="Times New Roman" w:cs="Times New Roman"/>
          <w:kern w:val="0"/>
          <w:lang w:eastAsia="pt-BR"/>
          <w14:ligatures w14:val="none"/>
        </w:rPr>
        <w:t>A organização apresenta elevada capacidade técnica operacional: projetos são implementados com rapidez e a equipe possui domínio de tecnologias modernas. Contudo, decisões sobre investimentos, riscos e priorização permanecem difusas e pouco institucionalizadas.</w:t>
      </w:r>
    </w:p>
    <w:p w14:paraId="14038515" w14:textId="77777777" w:rsidR="001F7D05" w:rsidRPr="001F7D05" w:rsidRDefault="001F7D05" w:rsidP="001F7D05">
      <w:pPr>
        <w:pStyle w:val="Ttulo3"/>
        <w:rPr>
          <w:rFonts w:eastAsia="Times New Roman"/>
          <w:lang w:eastAsia="pt-BR"/>
        </w:rPr>
      </w:pPr>
      <w:r w:rsidRPr="001F7D05">
        <w:rPr>
          <w:rFonts w:eastAsia="Times New Roman"/>
          <w:lang w:eastAsia="pt-BR"/>
        </w:rPr>
        <w:t>Eventos Recentes e Sintomas Observáveis</w:t>
      </w:r>
    </w:p>
    <w:p w14:paraId="66153F88" w14:textId="77777777" w:rsidR="001F7D05" w:rsidRPr="001F7D05" w:rsidRDefault="001F7D05" w:rsidP="001F7D05">
      <w:pPr>
        <w:spacing w:before="100" w:beforeAutospacing="1" w:after="100" w:afterAutospacing="1"/>
        <w:jc w:val="both"/>
        <w:rPr>
          <w:rFonts w:ascii="Times New Roman" w:eastAsia="Times New Roman" w:hAnsi="Times New Roman" w:cs="Times New Roman"/>
          <w:kern w:val="0"/>
          <w:lang w:eastAsia="pt-BR"/>
          <w14:ligatures w14:val="none"/>
        </w:rPr>
      </w:pPr>
      <w:r w:rsidRPr="001F7D05">
        <w:rPr>
          <w:rFonts w:ascii="Times New Roman" w:eastAsia="Times New Roman" w:hAnsi="Times New Roman" w:cs="Times New Roman"/>
          <w:kern w:val="0"/>
          <w:lang w:eastAsia="pt-BR"/>
          <w14:ligatures w14:val="none"/>
        </w:rPr>
        <w:t xml:space="preserve">Nos últimos dezoito meses, a </w:t>
      </w:r>
      <w:proofErr w:type="spellStart"/>
      <w:r w:rsidRPr="001F7D05">
        <w:rPr>
          <w:rFonts w:ascii="Times New Roman" w:eastAsia="Times New Roman" w:hAnsi="Times New Roman" w:cs="Times New Roman"/>
          <w:kern w:val="0"/>
          <w:lang w:eastAsia="pt-BR"/>
          <w14:ligatures w14:val="none"/>
        </w:rPr>
        <w:t>DataNova</w:t>
      </w:r>
      <w:proofErr w:type="spellEnd"/>
      <w:r w:rsidRPr="001F7D05">
        <w:rPr>
          <w:rFonts w:ascii="Times New Roman" w:eastAsia="Times New Roman" w:hAnsi="Times New Roman" w:cs="Times New Roman"/>
          <w:kern w:val="0"/>
          <w:lang w:eastAsia="pt-BR"/>
          <w14:ligatures w14:val="none"/>
        </w:rPr>
        <w:t xml:space="preserve"> enfrentou situações que despertaram preocupação no Conselho de Administração:</w:t>
      </w:r>
    </w:p>
    <w:p w14:paraId="58333A7E" w14:textId="77777777" w:rsidR="001F7D05" w:rsidRPr="001F7D05" w:rsidRDefault="001F7D05" w:rsidP="001F7D05">
      <w:pPr>
        <w:numPr>
          <w:ilvl w:val="0"/>
          <w:numId w:val="1"/>
        </w:numPr>
        <w:spacing w:before="100" w:beforeAutospacing="1" w:after="100" w:afterAutospacing="1"/>
        <w:jc w:val="both"/>
        <w:rPr>
          <w:rFonts w:ascii="Times New Roman" w:eastAsia="Times New Roman" w:hAnsi="Times New Roman" w:cs="Times New Roman"/>
          <w:kern w:val="0"/>
          <w:lang w:eastAsia="pt-BR"/>
          <w14:ligatures w14:val="none"/>
        </w:rPr>
      </w:pPr>
      <w:r w:rsidRPr="001F7D05">
        <w:rPr>
          <w:rFonts w:ascii="Times New Roman" w:eastAsia="Times New Roman" w:hAnsi="Times New Roman" w:cs="Times New Roman"/>
          <w:kern w:val="0"/>
          <w:lang w:eastAsia="pt-BR"/>
          <w14:ligatures w14:val="none"/>
        </w:rPr>
        <w:t>Retrabalho significativo em dois projetos estratégicos, decorrente de mudanças frequentes de escopo e ausência de critérios formais de priorização.</w:t>
      </w:r>
    </w:p>
    <w:p w14:paraId="4057D7CE" w14:textId="77777777" w:rsidR="001F7D05" w:rsidRPr="001F7D05" w:rsidRDefault="001F7D05" w:rsidP="001F7D05">
      <w:pPr>
        <w:numPr>
          <w:ilvl w:val="0"/>
          <w:numId w:val="1"/>
        </w:numPr>
        <w:spacing w:before="100" w:beforeAutospacing="1" w:after="100" w:afterAutospacing="1"/>
        <w:jc w:val="both"/>
        <w:rPr>
          <w:rFonts w:ascii="Times New Roman" w:eastAsia="Times New Roman" w:hAnsi="Times New Roman" w:cs="Times New Roman"/>
          <w:kern w:val="0"/>
          <w:lang w:eastAsia="pt-BR"/>
          <w14:ligatures w14:val="none"/>
        </w:rPr>
      </w:pPr>
      <w:r w:rsidRPr="001F7D05">
        <w:rPr>
          <w:rFonts w:ascii="Times New Roman" w:eastAsia="Times New Roman" w:hAnsi="Times New Roman" w:cs="Times New Roman"/>
          <w:kern w:val="0"/>
          <w:lang w:eastAsia="pt-BR"/>
          <w14:ligatures w14:val="none"/>
        </w:rPr>
        <w:t>Divergência entre indicadores financeiros apresentados por áreas distintas, devido ao uso de bases de dados e critérios de consolidação diferentes.</w:t>
      </w:r>
    </w:p>
    <w:p w14:paraId="04FEC01F" w14:textId="77777777" w:rsidR="001F7D05" w:rsidRPr="001F7D05" w:rsidRDefault="001F7D05" w:rsidP="001F7D05">
      <w:pPr>
        <w:numPr>
          <w:ilvl w:val="0"/>
          <w:numId w:val="1"/>
        </w:numPr>
        <w:spacing w:before="100" w:beforeAutospacing="1" w:after="100" w:afterAutospacing="1"/>
        <w:jc w:val="both"/>
        <w:rPr>
          <w:rFonts w:ascii="Times New Roman" w:eastAsia="Times New Roman" w:hAnsi="Times New Roman" w:cs="Times New Roman"/>
          <w:kern w:val="0"/>
          <w:lang w:eastAsia="pt-BR"/>
          <w14:ligatures w14:val="none"/>
        </w:rPr>
      </w:pPr>
      <w:r w:rsidRPr="001F7D05">
        <w:rPr>
          <w:rFonts w:ascii="Times New Roman" w:eastAsia="Times New Roman" w:hAnsi="Times New Roman" w:cs="Times New Roman"/>
          <w:kern w:val="0"/>
          <w:lang w:eastAsia="pt-BR"/>
          <w14:ligatures w14:val="none"/>
        </w:rPr>
        <w:t>Crescimento expressivo de custos em contratos de serviços em nuvem, sem análise estruturada de retorno ou eficiência de alocação.</w:t>
      </w:r>
    </w:p>
    <w:p w14:paraId="3C1D2746" w14:textId="77777777" w:rsidR="001F7D05" w:rsidRPr="001F7D05" w:rsidRDefault="001F7D05" w:rsidP="001F7D05">
      <w:pPr>
        <w:numPr>
          <w:ilvl w:val="0"/>
          <w:numId w:val="1"/>
        </w:numPr>
        <w:spacing w:before="100" w:beforeAutospacing="1" w:after="100" w:afterAutospacing="1"/>
        <w:jc w:val="both"/>
        <w:rPr>
          <w:rFonts w:ascii="Times New Roman" w:eastAsia="Times New Roman" w:hAnsi="Times New Roman" w:cs="Times New Roman"/>
          <w:kern w:val="0"/>
          <w:lang w:eastAsia="pt-BR"/>
          <w14:ligatures w14:val="none"/>
        </w:rPr>
      </w:pPr>
      <w:r w:rsidRPr="001F7D05">
        <w:rPr>
          <w:rFonts w:ascii="Times New Roman" w:eastAsia="Times New Roman" w:hAnsi="Times New Roman" w:cs="Times New Roman"/>
          <w:kern w:val="0"/>
          <w:lang w:eastAsia="pt-BR"/>
          <w14:ligatures w14:val="none"/>
        </w:rPr>
        <w:t>Relatório de auditoria interna apontando fragilidades na gestão de acessos a bases sensíveis de dados.</w:t>
      </w:r>
    </w:p>
    <w:p w14:paraId="4578833E" w14:textId="77777777" w:rsidR="001F7D05" w:rsidRPr="001F7D05" w:rsidRDefault="001F7D05" w:rsidP="001F7D05">
      <w:pPr>
        <w:numPr>
          <w:ilvl w:val="0"/>
          <w:numId w:val="1"/>
        </w:numPr>
        <w:spacing w:before="100" w:beforeAutospacing="1" w:after="100" w:afterAutospacing="1"/>
        <w:jc w:val="both"/>
        <w:rPr>
          <w:rFonts w:ascii="Times New Roman" w:eastAsia="Times New Roman" w:hAnsi="Times New Roman" w:cs="Times New Roman"/>
          <w:kern w:val="0"/>
          <w:lang w:eastAsia="pt-BR"/>
          <w14:ligatures w14:val="none"/>
        </w:rPr>
      </w:pPr>
      <w:r w:rsidRPr="001F7D05">
        <w:rPr>
          <w:rFonts w:ascii="Times New Roman" w:eastAsia="Times New Roman" w:hAnsi="Times New Roman" w:cs="Times New Roman"/>
          <w:kern w:val="0"/>
          <w:lang w:eastAsia="pt-BR"/>
          <w14:ligatures w14:val="none"/>
        </w:rPr>
        <w:t>Sobrecarga recorrente da equipe de TI, com 65% das demandas classificadas como “urgentes”.</w:t>
      </w:r>
    </w:p>
    <w:p w14:paraId="7DAE26A0" w14:textId="47EE0DD2" w:rsidR="001F7D05" w:rsidRPr="001F7D05" w:rsidRDefault="001F7D05" w:rsidP="001F7D05">
      <w:pPr>
        <w:spacing w:before="100" w:beforeAutospacing="1" w:after="100" w:afterAutospacing="1"/>
        <w:jc w:val="both"/>
        <w:rPr>
          <w:rFonts w:ascii="Times New Roman" w:eastAsia="Times New Roman" w:hAnsi="Times New Roman" w:cs="Times New Roman"/>
          <w:kern w:val="0"/>
          <w:lang w:eastAsia="pt-BR"/>
          <w14:ligatures w14:val="none"/>
        </w:rPr>
      </w:pPr>
      <w:r w:rsidRPr="001F7D05">
        <w:rPr>
          <w:rFonts w:ascii="Times New Roman" w:eastAsia="Times New Roman" w:hAnsi="Times New Roman" w:cs="Times New Roman"/>
          <w:kern w:val="0"/>
          <w:lang w:eastAsia="pt-BR"/>
          <w14:ligatures w14:val="none"/>
        </w:rPr>
        <w:t>Embora nenhum incidente externo grave tenha ocorrido até o momento, a percepção de risco regulatório e reputacional aumentou. O Conselho passou a questionar se a estrutura atual é capaz de sustentar o plano estratégico de dobrar a receita nos próximos quatro anos.</w:t>
      </w:r>
    </w:p>
    <w:p w14:paraId="1D0CC196" w14:textId="77777777" w:rsidR="001F7D05" w:rsidRPr="001F7D05" w:rsidRDefault="001F7D05" w:rsidP="001F7D05">
      <w:pPr>
        <w:pStyle w:val="Ttulo3"/>
        <w:rPr>
          <w:rFonts w:eastAsia="Times New Roman"/>
          <w:lang w:eastAsia="pt-BR"/>
        </w:rPr>
      </w:pPr>
      <w:r w:rsidRPr="001F7D05">
        <w:rPr>
          <w:rFonts w:eastAsia="Times New Roman"/>
          <w:lang w:eastAsia="pt-BR"/>
        </w:rPr>
        <w:t>Questões Centrais</w:t>
      </w:r>
    </w:p>
    <w:p w14:paraId="0D6B5BE8" w14:textId="77777777" w:rsidR="001F7D05" w:rsidRPr="001F7D05" w:rsidRDefault="001F7D05" w:rsidP="001F7D05">
      <w:pPr>
        <w:spacing w:before="100" w:beforeAutospacing="1" w:after="100" w:afterAutospacing="1"/>
        <w:jc w:val="both"/>
        <w:rPr>
          <w:rFonts w:ascii="Times New Roman" w:eastAsia="Times New Roman" w:hAnsi="Times New Roman" w:cs="Times New Roman"/>
          <w:kern w:val="0"/>
          <w:lang w:eastAsia="pt-BR"/>
          <w14:ligatures w14:val="none"/>
        </w:rPr>
      </w:pPr>
      <w:r w:rsidRPr="001F7D05">
        <w:rPr>
          <w:rFonts w:ascii="Times New Roman" w:eastAsia="Times New Roman" w:hAnsi="Times New Roman" w:cs="Times New Roman"/>
          <w:kern w:val="0"/>
          <w:lang w:eastAsia="pt-BR"/>
          <w14:ligatures w14:val="none"/>
        </w:rPr>
        <w:t>Diante desse cenário, emergem questões estruturais:</w:t>
      </w:r>
    </w:p>
    <w:p w14:paraId="6AB18089" w14:textId="77777777" w:rsidR="001F7D05" w:rsidRPr="001F7D05" w:rsidRDefault="001F7D05" w:rsidP="001F7D05">
      <w:pPr>
        <w:numPr>
          <w:ilvl w:val="0"/>
          <w:numId w:val="2"/>
        </w:numPr>
        <w:spacing w:before="100" w:beforeAutospacing="1" w:after="100" w:afterAutospacing="1"/>
        <w:jc w:val="both"/>
        <w:rPr>
          <w:rFonts w:ascii="Times New Roman" w:eastAsia="Times New Roman" w:hAnsi="Times New Roman" w:cs="Times New Roman"/>
          <w:kern w:val="0"/>
          <w:lang w:eastAsia="pt-BR"/>
          <w14:ligatures w14:val="none"/>
        </w:rPr>
      </w:pPr>
      <w:r w:rsidRPr="001F7D05">
        <w:rPr>
          <w:rFonts w:ascii="Times New Roman" w:eastAsia="Times New Roman" w:hAnsi="Times New Roman" w:cs="Times New Roman"/>
          <w:kern w:val="0"/>
          <w:lang w:eastAsia="pt-BR"/>
          <w14:ligatures w14:val="none"/>
        </w:rPr>
        <w:t>Os problemas observados decorrem de limitações técnicas ou de ausência de governança formal?</w:t>
      </w:r>
    </w:p>
    <w:p w14:paraId="369CFCE2" w14:textId="77777777" w:rsidR="001F7D05" w:rsidRPr="001F7D05" w:rsidRDefault="001F7D05" w:rsidP="001F7D05">
      <w:pPr>
        <w:numPr>
          <w:ilvl w:val="0"/>
          <w:numId w:val="2"/>
        </w:numPr>
        <w:spacing w:before="100" w:beforeAutospacing="1" w:after="100" w:afterAutospacing="1"/>
        <w:jc w:val="both"/>
        <w:rPr>
          <w:rFonts w:ascii="Times New Roman" w:eastAsia="Times New Roman" w:hAnsi="Times New Roman" w:cs="Times New Roman"/>
          <w:kern w:val="0"/>
          <w:lang w:eastAsia="pt-BR"/>
          <w14:ligatures w14:val="none"/>
        </w:rPr>
      </w:pPr>
      <w:r w:rsidRPr="001F7D05">
        <w:rPr>
          <w:rFonts w:ascii="Times New Roman" w:eastAsia="Times New Roman" w:hAnsi="Times New Roman" w:cs="Times New Roman"/>
          <w:kern w:val="0"/>
          <w:lang w:eastAsia="pt-BR"/>
          <w14:ligatures w14:val="none"/>
        </w:rPr>
        <w:lastRenderedPageBreak/>
        <w:t>A organização possui mecanismos adequados para assegurar alinhamento estratégico entre TI e crescimento empresarial?</w:t>
      </w:r>
    </w:p>
    <w:p w14:paraId="3F9E4045" w14:textId="77777777" w:rsidR="001F7D05" w:rsidRPr="001F7D05" w:rsidRDefault="001F7D05" w:rsidP="001F7D05">
      <w:pPr>
        <w:numPr>
          <w:ilvl w:val="0"/>
          <w:numId w:val="2"/>
        </w:numPr>
        <w:spacing w:before="100" w:beforeAutospacing="1" w:after="100" w:afterAutospacing="1"/>
        <w:jc w:val="both"/>
        <w:rPr>
          <w:rFonts w:ascii="Times New Roman" w:eastAsia="Times New Roman" w:hAnsi="Times New Roman" w:cs="Times New Roman"/>
          <w:kern w:val="0"/>
          <w:lang w:eastAsia="pt-BR"/>
          <w14:ligatures w14:val="none"/>
        </w:rPr>
      </w:pPr>
      <w:r w:rsidRPr="001F7D05">
        <w:rPr>
          <w:rFonts w:ascii="Times New Roman" w:eastAsia="Times New Roman" w:hAnsi="Times New Roman" w:cs="Times New Roman"/>
          <w:kern w:val="0"/>
          <w:lang w:eastAsia="pt-BR"/>
          <w14:ligatures w14:val="none"/>
        </w:rPr>
        <w:t>Existem conflitos principal–agente entre diretoria, área de TI e conselho?</w:t>
      </w:r>
    </w:p>
    <w:p w14:paraId="35146C90" w14:textId="77777777" w:rsidR="001F7D05" w:rsidRPr="001F7D05" w:rsidRDefault="001F7D05" w:rsidP="001F7D05">
      <w:pPr>
        <w:numPr>
          <w:ilvl w:val="0"/>
          <w:numId w:val="2"/>
        </w:numPr>
        <w:spacing w:before="100" w:beforeAutospacing="1" w:after="100" w:afterAutospacing="1"/>
        <w:jc w:val="both"/>
        <w:rPr>
          <w:rFonts w:ascii="Times New Roman" w:eastAsia="Times New Roman" w:hAnsi="Times New Roman" w:cs="Times New Roman"/>
          <w:kern w:val="0"/>
          <w:lang w:eastAsia="pt-BR"/>
          <w14:ligatures w14:val="none"/>
        </w:rPr>
      </w:pPr>
      <w:r w:rsidRPr="001F7D05">
        <w:rPr>
          <w:rFonts w:ascii="Times New Roman" w:eastAsia="Times New Roman" w:hAnsi="Times New Roman" w:cs="Times New Roman"/>
          <w:kern w:val="0"/>
          <w:lang w:eastAsia="pt-BR"/>
          <w14:ligatures w14:val="none"/>
        </w:rPr>
        <w:t>Há assimetria de informação que compromete a qualidade das decisões?</w:t>
      </w:r>
    </w:p>
    <w:p w14:paraId="6B958D74" w14:textId="77777777" w:rsidR="001F7D05" w:rsidRPr="001F7D05" w:rsidRDefault="001F7D05" w:rsidP="001F7D05">
      <w:pPr>
        <w:numPr>
          <w:ilvl w:val="0"/>
          <w:numId w:val="2"/>
        </w:numPr>
        <w:spacing w:before="100" w:beforeAutospacing="1" w:after="100" w:afterAutospacing="1"/>
        <w:jc w:val="both"/>
        <w:rPr>
          <w:rFonts w:ascii="Times New Roman" w:eastAsia="Times New Roman" w:hAnsi="Times New Roman" w:cs="Times New Roman"/>
          <w:kern w:val="0"/>
          <w:lang w:eastAsia="pt-BR"/>
          <w14:ligatures w14:val="none"/>
        </w:rPr>
      </w:pPr>
      <w:r w:rsidRPr="001F7D05">
        <w:rPr>
          <w:rFonts w:ascii="Times New Roman" w:eastAsia="Times New Roman" w:hAnsi="Times New Roman" w:cs="Times New Roman"/>
          <w:kern w:val="0"/>
          <w:lang w:eastAsia="pt-BR"/>
          <w14:ligatures w14:val="none"/>
        </w:rPr>
        <w:t>A empresa encontra-se em estágio de maturidade organizacional compatível com sua dependência tecnológica?</w:t>
      </w:r>
    </w:p>
    <w:p w14:paraId="63607D5F" w14:textId="77777777" w:rsidR="001F7D05" w:rsidRPr="001F7D05" w:rsidRDefault="001F7D05" w:rsidP="001F7D05">
      <w:pPr>
        <w:spacing w:before="100" w:beforeAutospacing="1" w:after="100" w:afterAutospacing="1"/>
        <w:jc w:val="both"/>
        <w:rPr>
          <w:rFonts w:ascii="Times New Roman" w:eastAsia="Times New Roman" w:hAnsi="Times New Roman" w:cs="Times New Roman"/>
          <w:kern w:val="0"/>
          <w:lang w:eastAsia="pt-BR"/>
          <w14:ligatures w14:val="none"/>
        </w:rPr>
      </w:pPr>
      <w:r w:rsidRPr="001F7D05">
        <w:rPr>
          <w:rFonts w:ascii="Times New Roman" w:eastAsia="Times New Roman" w:hAnsi="Times New Roman" w:cs="Times New Roman"/>
          <w:kern w:val="0"/>
          <w:lang w:eastAsia="pt-BR"/>
          <w14:ligatures w14:val="none"/>
        </w:rPr>
        <w:t xml:space="preserve">A </w:t>
      </w:r>
      <w:proofErr w:type="spellStart"/>
      <w:r w:rsidRPr="001F7D05">
        <w:rPr>
          <w:rFonts w:ascii="Times New Roman" w:eastAsia="Times New Roman" w:hAnsi="Times New Roman" w:cs="Times New Roman"/>
          <w:kern w:val="0"/>
          <w:lang w:eastAsia="pt-BR"/>
          <w14:ligatures w14:val="none"/>
        </w:rPr>
        <w:t>DataNova</w:t>
      </w:r>
      <w:proofErr w:type="spellEnd"/>
      <w:r w:rsidRPr="001F7D05">
        <w:rPr>
          <w:rFonts w:ascii="Times New Roman" w:eastAsia="Times New Roman" w:hAnsi="Times New Roman" w:cs="Times New Roman"/>
          <w:kern w:val="0"/>
          <w:lang w:eastAsia="pt-BR"/>
          <w14:ligatures w14:val="none"/>
        </w:rPr>
        <w:t xml:space="preserve"> representa um caso típico de crescimento acelerado com maturidade institucional desigual: alta competência operacional coexistindo com estrutura decisória reativa e informal. A análise do caso exige a articulação entre teoria organizacional, governança de TI e fundamentos de gestão estratégica da tecnologia.</w:t>
      </w:r>
    </w:p>
    <w:p w14:paraId="6F29A72E" w14:textId="77777777" w:rsidR="00C700AD" w:rsidRDefault="00C700AD" w:rsidP="001F7D05">
      <w:pPr>
        <w:jc w:val="both"/>
      </w:pPr>
    </w:p>
    <w:sectPr w:rsidR="00C700AD" w:rsidSect="008236CD">
      <w:pgSz w:w="11900" w:h="1682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F4034"/>
    <w:multiLevelType w:val="multilevel"/>
    <w:tmpl w:val="B122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B85FA1"/>
    <w:multiLevelType w:val="multilevel"/>
    <w:tmpl w:val="FFAAB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3132082">
    <w:abstractNumId w:val="1"/>
  </w:num>
  <w:num w:numId="2" w16cid:durableId="1300961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mirrorMargins/>
  <w:proofState w:spelling="clean" w:grammar="clean"/>
  <w:defaultTabStop w:val="708"/>
  <w:hyphenationZone w:val="425"/>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D05"/>
    <w:rsid w:val="00045936"/>
    <w:rsid w:val="001F7D05"/>
    <w:rsid w:val="0020218D"/>
    <w:rsid w:val="00372D65"/>
    <w:rsid w:val="00383C7B"/>
    <w:rsid w:val="008236CD"/>
    <w:rsid w:val="008B0F9D"/>
    <w:rsid w:val="00C700AD"/>
    <w:rsid w:val="00CF4D2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7687B"/>
  <w15:chartTrackingRefBased/>
  <w15:docId w15:val="{C62F0C4A-35F5-CC4F-BEE4-DBB43A677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F7D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1F7D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1F7D0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F7D0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F7D0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F7D0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F7D0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F7D0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F7D05"/>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F7D0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1F7D0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1F7D0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F7D0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F7D0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F7D0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F7D0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F7D0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F7D05"/>
    <w:rPr>
      <w:rFonts w:eastAsiaTheme="majorEastAsia" w:cstheme="majorBidi"/>
      <w:color w:val="272727" w:themeColor="text1" w:themeTint="D8"/>
    </w:rPr>
  </w:style>
  <w:style w:type="paragraph" w:styleId="Ttulo">
    <w:name w:val="Title"/>
    <w:basedOn w:val="Normal"/>
    <w:next w:val="Normal"/>
    <w:link w:val="TtuloChar"/>
    <w:uiPriority w:val="10"/>
    <w:qFormat/>
    <w:rsid w:val="001F7D05"/>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F7D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F7D05"/>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F7D0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F7D05"/>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1F7D05"/>
    <w:rPr>
      <w:i/>
      <w:iCs/>
      <w:color w:val="404040" w:themeColor="text1" w:themeTint="BF"/>
    </w:rPr>
  </w:style>
  <w:style w:type="paragraph" w:styleId="PargrafodaLista">
    <w:name w:val="List Paragraph"/>
    <w:basedOn w:val="Normal"/>
    <w:uiPriority w:val="34"/>
    <w:qFormat/>
    <w:rsid w:val="001F7D05"/>
    <w:pPr>
      <w:ind w:left="720"/>
      <w:contextualSpacing/>
    </w:pPr>
  </w:style>
  <w:style w:type="character" w:styleId="nfaseIntensa">
    <w:name w:val="Intense Emphasis"/>
    <w:basedOn w:val="Fontepargpadro"/>
    <w:uiPriority w:val="21"/>
    <w:qFormat/>
    <w:rsid w:val="001F7D05"/>
    <w:rPr>
      <w:i/>
      <w:iCs/>
      <w:color w:val="0F4761" w:themeColor="accent1" w:themeShade="BF"/>
    </w:rPr>
  </w:style>
  <w:style w:type="paragraph" w:styleId="CitaoIntensa">
    <w:name w:val="Intense Quote"/>
    <w:basedOn w:val="Normal"/>
    <w:next w:val="Normal"/>
    <w:link w:val="CitaoIntensaChar"/>
    <w:uiPriority w:val="30"/>
    <w:qFormat/>
    <w:rsid w:val="001F7D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F7D05"/>
    <w:rPr>
      <w:i/>
      <w:iCs/>
      <w:color w:val="0F4761" w:themeColor="accent1" w:themeShade="BF"/>
    </w:rPr>
  </w:style>
  <w:style w:type="character" w:styleId="RefernciaIntensa">
    <w:name w:val="Intense Reference"/>
    <w:basedOn w:val="Fontepargpadro"/>
    <w:uiPriority w:val="32"/>
    <w:qFormat/>
    <w:rsid w:val="001F7D05"/>
    <w:rPr>
      <w:b/>
      <w:bCs/>
      <w:smallCaps/>
      <w:color w:val="0F4761" w:themeColor="accent1" w:themeShade="BF"/>
      <w:spacing w:val="5"/>
    </w:rPr>
  </w:style>
  <w:style w:type="paragraph" w:styleId="NormalWeb">
    <w:name w:val="Normal (Web)"/>
    <w:basedOn w:val="Normal"/>
    <w:uiPriority w:val="99"/>
    <w:semiHidden/>
    <w:unhideWhenUsed/>
    <w:rsid w:val="001F7D05"/>
    <w:pPr>
      <w:spacing w:before="100" w:beforeAutospacing="1" w:after="100" w:afterAutospacing="1"/>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920</Words>
  <Characters>4973</Characters>
  <Application>Microsoft Office Word</Application>
  <DocSecurity>0</DocSecurity>
  <Lines>41</Lines>
  <Paragraphs>11</Paragraphs>
  <ScaleCrop>false</ScaleCrop>
  <Company/>
  <LinksUpToDate>false</LinksUpToDate>
  <CharactersWithSpaces>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Beluzo</dc:creator>
  <cp:keywords/>
  <dc:description/>
  <cp:lastModifiedBy>Carlos Beluzo</cp:lastModifiedBy>
  <cp:revision>1</cp:revision>
  <dcterms:created xsi:type="dcterms:W3CDTF">2026-02-25T16:26:00Z</dcterms:created>
  <dcterms:modified xsi:type="dcterms:W3CDTF">2026-02-25T16:28:00Z</dcterms:modified>
</cp:coreProperties>
</file>