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68B" w:rsidRDefault="00776850" w:rsidP="00776850">
      <w:pPr>
        <w:jc w:val="center"/>
      </w:pPr>
      <w:r>
        <w:t>Incorporating point location uncertainty in habitat map evaluation</w:t>
      </w:r>
    </w:p>
    <w:p w:rsidR="00776850" w:rsidRDefault="00776850"/>
    <w:p w:rsidR="00776850" w:rsidRDefault="00776850">
      <w:r>
        <w:tab/>
        <w:t>Methods to generate statistics for habitat map evaluation using species point occurrences</w:t>
      </w:r>
    </w:p>
    <w:p w:rsidR="00776850" w:rsidRDefault="00776850" w:rsidP="005914F1">
      <w:pPr>
        <w:pStyle w:val="ListParagraph"/>
        <w:numPr>
          <w:ilvl w:val="0"/>
          <w:numId w:val="4"/>
        </w:numPr>
      </w:pPr>
      <w:r>
        <w:t>For each species, assemble point location data with accuracy</w:t>
      </w:r>
      <w:r w:rsidR="00AA737C">
        <w:t xml:space="preserve"> measures</w:t>
      </w:r>
    </w:p>
    <w:p w:rsidR="00192332" w:rsidRDefault="00192332" w:rsidP="00192332">
      <w:pPr>
        <w:ind w:left="720"/>
      </w:pPr>
      <w:r>
        <w:t>Additionally, if there are very few or no points with accuracy measures, it would be possible to ascribe a “standard” accuracy</w:t>
      </w:r>
      <w:r w:rsidR="00940DEA">
        <w:t xml:space="preserve"> for point locations</w:t>
      </w:r>
      <w:bookmarkStart w:id="0" w:name="_GoBack"/>
      <w:bookmarkEnd w:id="0"/>
      <w:r>
        <w:t xml:space="preserve"> (1000m, 5000m?</w:t>
      </w:r>
      <w:r w:rsidR="00B43D7F">
        <w:t>) based on predefined criteria</w:t>
      </w:r>
      <w:r>
        <w:t>. Such a “standard” would most likely be different for different species or taxonomies (genera, families, etc…) and/or geographies and/or data sources.</w:t>
      </w:r>
    </w:p>
    <w:p w:rsidR="00AA737C" w:rsidRDefault="00AA737C" w:rsidP="005914F1">
      <w:pPr>
        <w:pStyle w:val="ListParagraph"/>
        <w:numPr>
          <w:ilvl w:val="0"/>
          <w:numId w:val="4"/>
        </w:numPr>
      </w:pPr>
      <w:r>
        <w:t>Generate circular buffers around each point using the accuracy distance (meters) as the circle radius</w:t>
      </w:r>
    </w:p>
    <w:p w:rsidR="00AA737C" w:rsidRDefault="00AE75D2" w:rsidP="005914F1">
      <w:pPr>
        <w:pStyle w:val="ListParagraph"/>
        <w:numPr>
          <w:ilvl w:val="0"/>
          <w:numId w:val="4"/>
        </w:numPr>
      </w:pPr>
      <w:r>
        <w:t>Overlay each point buffer polygon with the species’ habitat map to generate a table showing, for each point buffer, the percentage of habitat and non-habitat cells within the buffer, e.g.:</w:t>
      </w:r>
    </w:p>
    <w:tbl>
      <w:tblPr>
        <w:tblStyle w:val="TableGrid"/>
        <w:tblW w:w="0" w:type="auto"/>
        <w:tblInd w:w="1870" w:type="dxa"/>
        <w:tblLook w:val="04A0" w:firstRow="1" w:lastRow="0" w:firstColumn="1" w:lastColumn="0" w:noHBand="0" w:noVBand="1"/>
      </w:tblPr>
      <w:tblGrid>
        <w:gridCol w:w="1870"/>
        <w:gridCol w:w="1870"/>
        <w:gridCol w:w="1870"/>
      </w:tblGrid>
      <w:tr w:rsidR="00AE75D2" w:rsidTr="00AB38E4">
        <w:trPr>
          <w:trHeight w:val="593"/>
        </w:trPr>
        <w:tc>
          <w:tcPr>
            <w:tcW w:w="1870" w:type="dxa"/>
          </w:tcPr>
          <w:p w:rsidR="00AE75D2" w:rsidRDefault="00AE75D2" w:rsidP="00AE75D2">
            <w:pPr>
              <w:jc w:val="center"/>
            </w:pPr>
            <w:r>
              <w:t>Buffer radius (m)</w:t>
            </w:r>
          </w:p>
        </w:tc>
        <w:tc>
          <w:tcPr>
            <w:tcW w:w="1870" w:type="dxa"/>
          </w:tcPr>
          <w:p w:rsidR="00AE75D2" w:rsidRDefault="00AE75D2" w:rsidP="00AE75D2">
            <w:pPr>
              <w:jc w:val="center"/>
            </w:pPr>
            <w:r>
              <w:t>% Habitat Cells</w:t>
            </w:r>
          </w:p>
        </w:tc>
        <w:tc>
          <w:tcPr>
            <w:tcW w:w="1870" w:type="dxa"/>
          </w:tcPr>
          <w:p w:rsidR="00AE75D2" w:rsidRDefault="00AE75D2" w:rsidP="00AE75D2">
            <w:pPr>
              <w:jc w:val="center"/>
            </w:pPr>
            <w:r>
              <w:t>% Non-habitat Cells</w:t>
            </w:r>
          </w:p>
        </w:tc>
      </w:tr>
      <w:tr w:rsidR="00AE75D2" w:rsidTr="00AB38E4">
        <w:tc>
          <w:tcPr>
            <w:tcW w:w="1870" w:type="dxa"/>
          </w:tcPr>
          <w:p w:rsidR="00AE75D2" w:rsidRPr="002512AE" w:rsidRDefault="00AE75D2" w:rsidP="00AE75D2">
            <w:pPr>
              <w:jc w:val="center"/>
            </w:pPr>
            <w:r w:rsidRPr="002512AE">
              <w:t>500</w:t>
            </w:r>
          </w:p>
        </w:tc>
        <w:tc>
          <w:tcPr>
            <w:tcW w:w="1870" w:type="dxa"/>
          </w:tcPr>
          <w:p w:rsidR="00AE75D2" w:rsidRPr="0000057B" w:rsidRDefault="00AE75D2" w:rsidP="00AE75D2">
            <w:pPr>
              <w:jc w:val="center"/>
            </w:pPr>
            <w:r>
              <w:t>1.56</w:t>
            </w:r>
          </w:p>
        </w:tc>
        <w:tc>
          <w:tcPr>
            <w:tcW w:w="1870" w:type="dxa"/>
          </w:tcPr>
          <w:p w:rsidR="00AE75D2" w:rsidRDefault="00AE75D2" w:rsidP="00AE75D2">
            <w:pPr>
              <w:jc w:val="center"/>
            </w:pPr>
            <w:r>
              <w:t>98.44</w:t>
            </w:r>
          </w:p>
        </w:tc>
      </w:tr>
      <w:tr w:rsidR="00AE75D2" w:rsidTr="00AB38E4">
        <w:tc>
          <w:tcPr>
            <w:tcW w:w="1870" w:type="dxa"/>
          </w:tcPr>
          <w:p w:rsidR="00AE75D2" w:rsidRPr="002512AE" w:rsidRDefault="00AE75D2" w:rsidP="00AE75D2">
            <w:pPr>
              <w:jc w:val="center"/>
            </w:pPr>
            <w:r w:rsidRPr="002512AE">
              <w:t>750</w:t>
            </w:r>
          </w:p>
        </w:tc>
        <w:tc>
          <w:tcPr>
            <w:tcW w:w="1870" w:type="dxa"/>
          </w:tcPr>
          <w:p w:rsidR="00AE75D2" w:rsidRPr="0000057B" w:rsidRDefault="00AE75D2" w:rsidP="00AE75D2">
            <w:pPr>
              <w:jc w:val="center"/>
            </w:pPr>
            <w:r>
              <w:t>1.85</w:t>
            </w:r>
          </w:p>
        </w:tc>
        <w:tc>
          <w:tcPr>
            <w:tcW w:w="1870" w:type="dxa"/>
          </w:tcPr>
          <w:p w:rsidR="00AE75D2" w:rsidRDefault="00AE75D2" w:rsidP="00AE75D2">
            <w:pPr>
              <w:jc w:val="center"/>
            </w:pPr>
            <w:r>
              <w:t>98.15</w:t>
            </w:r>
          </w:p>
        </w:tc>
      </w:tr>
      <w:tr w:rsidR="00AE75D2" w:rsidTr="00AB38E4">
        <w:tc>
          <w:tcPr>
            <w:tcW w:w="1870" w:type="dxa"/>
          </w:tcPr>
          <w:p w:rsidR="00AE75D2" w:rsidRPr="002512AE" w:rsidRDefault="00AE75D2" w:rsidP="00AE75D2">
            <w:pPr>
              <w:jc w:val="center"/>
            </w:pPr>
            <w:r w:rsidRPr="002512AE">
              <w:t>400</w:t>
            </w:r>
          </w:p>
        </w:tc>
        <w:tc>
          <w:tcPr>
            <w:tcW w:w="1870" w:type="dxa"/>
          </w:tcPr>
          <w:p w:rsidR="00AE75D2" w:rsidRPr="0000057B" w:rsidRDefault="00AE75D2" w:rsidP="00AE75D2">
            <w:pPr>
              <w:jc w:val="center"/>
            </w:pPr>
            <w:r>
              <w:t>6.45</w:t>
            </w:r>
          </w:p>
        </w:tc>
        <w:tc>
          <w:tcPr>
            <w:tcW w:w="1870" w:type="dxa"/>
            <w:vAlign w:val="bottom"/>
          </w:tcPr>
          <w:p w:rsidR="00AE75D2" w:rsidRDefault="00AE75D2" w:rsidP="00AE75D2">
            <w:pPr>
              <w:jc w:val="center"/>
              <w:rPr>
                <w:rFonts w:ascii="Calibri" w:hAnsi="Calibri" w:cs="Calibri"/>
                <w:color w:val="000000"/>
              </w:rPr>
            </w:pPr>
            <w:r>
              <w:rPr>
                <w:rFonts w:ascii="Calibri" w:hAnsi="Calibri" w:cs="Calibri"/>
                <w:color w:val="000000"/>
              </w:rPr>
              <w:t>93.55</w:t>
            </w:r>
          </w:p>
        </w:tc>
      </w:tr>
      <w:tr w:rsidR="00AE75D2" w:rsidTr="00AB38E4">
        <w:tc>
          <w:tcPr>
            <w:tcW w:w="1870" w:type="dxa"/>
          </w:tcPr>
          <w:p w:rsidR="00AE75D2" w:rsidRPr="002512AE" w:rsidRDefault="00AE75D2" w:rsidP="00AE75D2">
            <w:pPr>
              <w:jc w:val="center"/>
            </w:pPr>
            <w:r w:rsidRPr="002512AE">
              <w:t>1100</w:t>
            </w:r>
          </w:p>
        </w:tc>
        <w:tc>
          <w:tcPr>
            <w:tcW w:w="1870" w:type="dxa"/>
          </w:tcPr>
          <w:p w:rsidR="00AE75D2" w:rsidRPr="0000057B" w:rsidRDefault="00AE75D2" w:rsidP="00AE75D2">
            <w:pPr>
              <w:jc w:val="center"/>
            </w:pPr>
            <w:r>
              <w:t>18.23</w:t>
            </w:r>
          </w:p>
        </w:tc>
        <w:tc>
          <w:tcPr>
            <w:tcW w:w="1870" w:type="dxa"/>
            <w:vAlign w:val="bottom"/>
          </w:tcPr>
          <w:p w:rsidR="00AE75D2" w:rsidRDefault="00AE75D2" w:rsidP="00AE75D2">
            <w:pPr>
              <w:jc w:val="center"/>
              <w:rPr>
                <w:rFonts w:ascii="Calibri" w:hAnsi="Calibri" w:cs="Calibri"/>
                <w:color w:val="000000"/>
              </w:rPr>
            </w:pPr>
            <w:r>
              <w:rPr>
                <w:rFonts w:ascii="Calibri" w:hAnsi="Calibri" w:cs="Calibri"/>
                <w:color w:val="000000"/>
              </w:rPr>
              <w:t>81.77</w:t>
            </w:r>
          </w:p>
        </w:tc>
      </w:tr>
      <w:tr w:rsidR="00AE75D2" w:rsidTr="00AB38E4">
        <w:tc>
          <w:tcPr>
            <w:tcW w:w="1870" w:type="dxa"/>
          </w:tcPr>
          <w:p w:rsidR="00AE75D2" w:rsidRPr="002512AE" w:rsidRDefault="00AE75D2" w:rsidP="00AE75D2">
            <w:pPr>
              <w:jc w:val="center"/>
            </w:pPr>
            <w:r w:rsidRPr="002512AE">
              <w:t>5000</w:t>
            </w:r>
          </w:p>
        </w:tc>
        <w:tc>
          <w:tcPr>
            <w:tcW w:w="1870" w:type="dxa"/>
          </w:tcPr>
          <w:p w:rsidR="00AE75D2" w:rsidRPr="0000057B" w:rsidRDefault="00AE75D2" w:rsidP="00AE75D2">
            <w:pPr>
              <w:jc w:val="center"/>
            </w:pPr>
            <w:r>
              <w:t>7.22</w:t>
            </w:r>
          </w:p>
        </w:tc>
        <w:tc>
          <w:tcPr>
            <w:tcW w:w="1870" w:type="dxa"/>
            <w:vAlign w:val="bottom"/>
          </w:tcPr>
          <w:p w:rsidR="00AE75D2" w:rsidRDefault="00AE75D2" w:rsidP="00AE75D2">
            <w:pPr>
              <w:jc w:val="center"/>
              <w:rPr>
                <w:rFonts w:ascii="Calibri" w:hAnsi="Calibri" w:cs="Calibri"/>
                <w:color w:val="000000"/>
              </w:rPr>
            </w:pPr>
            <w:r>
              <w:rPr>
                <w:rFonts w:ascii="Calibri" w:hAnsi="Calibri" w:cs="Calibri"/>
                <w:color w:val="000000"/>
              </w:rPr>
              <w:t>92.78</w:t>
            </w:r>
          </w:p>
        </w:tc>
      </w:tr>
      <w:tr w:rsidR="00AE75D2" w:rsidTr="00AB38E4">
        <w:tc>
          <w:tcPr>
            <w:tcW w:w="1870" w:type="dxa"/>
          </w:tcPr>
          <w:p w:rsidR="00AE75D2" w:rsidRPr="002512AE" w:rsidRDefault="00AE75D2" w:rsidP="00AE75D2">
            <w:pPr>
              <w:jc w:val="center"/>
            </w:pPr>
            <w:r w:rsidRPr="002512AE">
              <w:t>150</w:t>
            </w:r>
          </w:p>
        </w:tc>
        <w:tc>
          <w:tcPr>
            <w:tcW w:w="1870" w:type="dxa"/>
          </w:tcPr>
          <w:p w:rsidR="00AE75D2" w:rsidRPr="0000057B" w:rsidRDefault="00AE75D2" w:rsidP="00AE75D2">
            <w:pPr>
              <w:jc w:val="center"/>
            </w:pPr>
            <w:r w:rsidRPr="0000057B">
              <w:t>2.5</w:t>
            </w:r>
            <w:r w:rsidR="005E7874">
              <w:t>0</w:t>
            </w:r>
          </w:p>
        </w:tc>
        <w:tc>
          <w:tcPr>
            <w:tcW w:w="1870" w:type="dxa"/>
            <w:vAlign w:val="bottom"/>
          </w:tcPr>
          <w:p w:rsidR="00AE75D2" w:rsidRDefault="00AE75D2" w:rsidP="00AE75D2">
            <w:pPr>
              <w:jc w:val="center"/>
              <w:rPr>
                <w:rFonts w:ascii="Calibri" w:hAnsi="Calibri" w:cs="Calibri"/>
                <w:color w:val="000000"/>
              </w:rPr>
            </w:pPr>
            <w:r>
              <w:rPr>
                <w:rFonts w:ascii="Calibri" w:hAnsi="Calibri" w:cs="Calibri"/>
                <w:color w:val="000000"/>
              </w:rPr>
              <w:t>97.5</w:t>
            </w:r>
            <w:r w:rsidR="005E7874">
              <w:rPr>
                <w:rFonts w:ascii="Calibri" w:hAnsi="Calibri" w:cs="Calibri"/>
                <w:color w:val="000000"/>
              </w:rPr>
              <w:t>0</w:t>
            </w:r>
          </w:p>
        </w:tc>
      </w:tr>
      <w:tr w:rsidR="00AE75D2" w:rsidTr="00AB38E4">
        <w:tc>
          <w:tcPr>
            <w:tcW w:w="1870" w:type="dxa"/>
          </w:tcPr>
          <w:p w:rsidR="00AE75D2" w:rsidRDefault="00AE75D2" w:rsidP="00AE75D2">
            <w:pPr>
              <w:jc w:val="center"/>
            </w:pPr>
            <w:r w:rsidRPr="002512AE">
              <w:t>6500</w:t>
            </w:r>
          </w:p>
        </w:tc>
        <w:tc>
          <w:tcPr>
            <w:tcW w:w="1870" w:type="dxa"/>
          </w:tcPr>
          <w:p w:rsidR="00AE75D2" w:rsidRDefault="00AE75D2" w:rsidP="00AE75D2">
            <w:pPr>
              <w:jc w:val="center"/>
            </w:pPr>
            <w:r>
              <w:t>12.78</w:t>
            </w:r>
          </w:p>
        </w:tc>
        <w:tc>
          <w:tcPr>
            <w:tcW w:w="1870" w:type="dxa"/>
            <w:vAlign w:val="bottom"/>
          </w:tcPr>
          <w:p w:rsidR="00AE75D2" w:rsidRDefault="00AE75D2" w:rsidP="00AE75D2">
            <w:pPr>
              <w:jc w:val="center"/>
              <w:rPr>
                <w:rFonts w:ascii="Calibri" w:hAnsi="Calibri" w:cs="Calibri"/>
                <w:color w:val="000000"/>
              </w:rPr>
            </w:pPr>
            <w:r>
              <w:rPr>
                <w:rFonts w:ascii="Calibri" w:hAnsi="Calibri" w:cs="Calibri"/>
                <w:color w:val="000000"/>
              </w:rPr>
              <w:t>87.22</w:t>
            </w:r>
          </w:p>
        </w:tc>
      </w:tr>
      <w:tr w:rsidR="00130673" w:rsidTr="00AB38E4">
        <w:tc>
          <w:tcPr>
            <w:tcW w:w="1870" w:type="dxa"/>
          </w:tcPr>
          <w:p w:rsidR="00130673" w:rsidRPr="002512AE" w:rsidRDefault="00130673" w:rsidP="00AE75D2">
            <w:pPr>
              <w:jc w:val="center"/>
            </w:pPr>
            <w:r>
              <w:t>500</w:t>
            </w:r>
          </w:p>
        </w:tc>
        <w:tc>
          <w:tcPr>
            <w:tcW w:w="1870" w:type="dxa"/>
          </w:tcPr>
          <w:p w:rsidR="00130673" w:rsidRDefault="00130673" w:rsidP="00AE75D2">
            <w:pPr>
              <w:jc w:val="center"/>
            </w:pPr>
            <w:r>
              <w:t>0.00</w:t>
            </w:r>
          </w:p>
        </w:tc>
        <w:tc>
          <w:tcPr>
            <w:tcW w:w="1870" w:type="dxa"/>
            <w:vAlign w:val="bottom"/>
          </w:tcPr>
          <w:p w:rsidR="00130673" w:rsidRDefault="00130673" w:rsidP="00AE75D2">
            <w:pPr>
              <w:jc w:val="center"/>
              <w:rPr>
                <w:rFonts w:ascii="Calibri" w:hAnsi="Calibri" w:cs="Calibri"/>
                <w:color w:val="000000"/>
              </w:rPr>
            </w:pPr>
            <w:r>
              <w:rPr>
                <w:rFonts w:ascii="Calibri" w:hAnsi="Calibri" w:cs="Calibri"/>
                <w:color w:val="000000"/>
              </w:rPr>
              <w:t>100.00</w:t>
            </w:r>
          </w:p>
        </w:tc>
      </w:tr>
      <w:tr w:rsidR="00130673" w:rsidTr="00AB38E4">
        <w:tc>
          <w:tcPr>
            <w:tcW w:w="1870" w:type="dxa"/>
          </w:tcPr>
          <w:p w:rsidR="00130673" w:rsidRPr="002512AE" w:rsidRDefault="00130673" w:rsidP="00AE75D2">
            <w:pPr>
              <w:jc w:val="center"/>
            </w:pPr>
            <w:r>
              <w:t>85</w:t>
            </w:r>
          </w:p>
        </w:tc>
        <w:tc>
          <w:tcPr>
            <w:tcW w:w="1870" w:type="dxa"/>
          </w:tcPr>
          <w:p w:rsidR="00130673" w:rsidRDefault="00130673" w:rsidP="00AE75D2">
            <w:pPr>
              <w:jc w:val="center"/>
            </w:pPr>
            <w:r>
              <w:t>0.00</w:t>
            </w:r>
          </w:p>
        </w:tc>
        <w:tc>
          <w:tcPr>
            <w:tcW w:w="1870" w:type="dxa"/>
            <w:vAlign w:val="bottom"/>
          </w:tcPr>
          <w:p w:rsidR="00130673" w:rsidRDefault="00130673" w:rsidP="00AE75D2">
            <w:pPr>
              <w:jc w:val="center"/>
              <w:rPr>
                <w:rFonts w:ascii="Calibri" w:hAnsi="Calibri" w:cs="Calibri"/>
                <w:color w:val="000000"/>
              </w:rPr>
            </w:pPr>
            <w:r>
              <w:rPr>
                <w:rFonts w:ascii="Calibri" w:hAnsi="Calibri" w:cs="Calibri"/>
                <w:color w:val="000000"/>
              </w:rPr>
              <w:t>100.00</w:t>
            </w:r>
          </w:p>
        </w:tc>
      </w:tr>
      <w:tr w:rsidR="00130673" w:rsidTr="00AB38E4">
        <w:tc>
          <w:tcPr>
            <w:tcW w:w="1870" w:type="dxa"/>
          </w:tcPr>
          <w:p w:rsidR="00130673" w:rsidRPr="002512AE" w:rsidRDefault="00130673" w:rsidP="00AE75D2">
            <w:pPr>
              <w:jc w:val="center"/>
            </w:pPr>
            <w:r>
              <w:t>50</w:t>
            </w:r>
          </w:p>
        </w:tc>
        <w:tc>
          <w:tcPr>
            <w:tcW w:w="1870" w:type="dxa"/>
          </w:tcPr>
          <w:p w:rsidR="00130673" w:rsidRDefault="00130673" w:rsidP="00AE75D2">
            <w:pPr>
              <w:jc w:val="center"/>
            </w:pPr>
            <w:r>
              <w:t>0.00</w:t>
            </w:r>
          </w:p>
        </w:tc>
        <w:tc>
          <w:tcPr>
            <w:tcW w:w="1870" w:type="dxa"/>
            <w:vAlign w:val="bottom"/>
          </w:tcPr>
          <w:p w:rsidR="00130673" w:rsidRDefault="00130673" w:rsidP="00AE75D2">
            <w:pPr>
              <w:jc w:val="center"/>
              <w:rPr>
                <w:rFonts w:ascii="Calibri" w:hAnsi="Calibri" w:cs="Calibri"/>
                <w:color w:val="000000"/>
              </w:rPr>
            </w:pPr>
            <w:r>
              <w:rPr>
                <w:rFonts w:ascii="Calibri" w:hAnsi="Calibri" w:cs="Calibri"/>
                <w:color w:val="000000"/>
              </w:rPr>
              <w:t>100.00</w:t>
            </w:r>
          </w:p>
        </w:tc>
      </w:tr>
    </w:tbl>
    <w:p w:rsidR="00BE38D5" w:rsidRDefault="00BE38D5" w:rsidP="00BE38D5"/>
    <w:p w:rsidR="00AE75D2" w:rsidRDefault="00BE38D5" w:rsidP="00BE38D5">
      <w:pPr>
        <w:ind w:left="720"/>
      </w:pPr>
      <w:r>
        <w:t xml:space="preserve">Because there are no absence locations for species in this type of evaluation, the evaluation of the map as a predictor of habitat for the species across its range will need to be a comparison with a </w:t>
      </w:r>
      <w:r w:rsidR="003867F2">
        <w:t xml:space="preserve">random </w:t>
      </w:r>
      <w:r>
        <w:t>“habitat”</w:t>
      </w:r>
      <w:r w:rsidR="003867F2">
        <w:t xml:space="preserve"> </w:t>
      </w:r>
      <w:r>
        <w:t xml:space="preserve">landscape. That is, </w:t>
      </w:r>
      <w:r w:rsidR="00CF5B2B">
        <w:t>testing whether</w:t>
      </w:r>
      <w:r>
        <w:t xml:space="preserve"> the suitable habitat cells </w:t>
      </w:r>
      <w:r w:rsidR="00245941">
        <w:t xml:space="preserve">predicted by the habitat model and map </w:t>
      </w:r>
      <w:r>
        <w:t>are NOT distributed randomly with respect to species occurrences.</w:t>
      </w:r>
    </w:p>
    <w:p w:rsidR="00B74B60" w:rsidRDefault="00B74B60" w:rsidP="005914F1">
      <w:pPr>
        <w:pStyle w:val="ListParagraph"/>
        <w:numPr>
          <w:ilvl w:val="0"/>
          <w:numId w:val="4"/>
        </w:numPr>
      </w:pPr>
      <w:r>
        <w:t xml:space="preserve">Generate a random “habitat” landscape raster </w:t>
      </w:r>
      <w:r w:rsidR="005C7877">
        <w:t>with the same ratio of habitat to non-habitat cells as the species tested. For example, if species X has 2.4% of its range predicted to be habitat, generate a random raster with 2.4% 1’s (habitat) and 97.6% 0’</w:t>
      </w:r>
      <w:r w:rsidR="00B51B0D">
        <w:t>s (</w:t>
      </w:r>
      <w:r w:rsidR="005C7877">
        <w:t>non-habitat).</w:t>
      </w:r>
    </w:p>
    <w:p w:rsidR="005914F1" w:rsidRDefault="005914F1" w:rsidP="005914F1">
      <w:pPr>
        <w:pStyle w:val="ListParagraph"/>
        <w:numPr>
          <w:ilvl w:val="0"/>
          <w:numId w:val="4"/>
        </w:numPr>
      </w:pPr>
      <w:r>
        <w:t>Repeat</w:t>
      </w:r>
      <w:r w:rsidR="00BC0A7F">
        <w:t xml:space="preserve"> step 3 </w:t>
      </w:r>
      <w:r w:rsidR="00085AFD">
        <w:t xml:space="preserve">multiple times (100?) </w:t>
      </w:r>
      <w:r w:rsidR="00BC0A7F">
        <w:t>using the simulated landscape as the “habitat map”</w:t>
      </w:r>
    </w:p>
    <w:p w:rsidR="005144EF" w:rsidRPr="00E93A34" w:rsidRDefault="00670A58" w:rsidP="00480FAD">
      <w:pPr>
        <w:ind w:left="360"/>
        <w:rPr>
          <w:b/>
        </w:rPr>
      </w:pPr>
      <w:r>
        <w:rPr>
          <w:b/>
        </w:rPr>
        <w:t>There are 4</w:t>
      </w:r>
      <w:r w:rsidR="005144EF" w:rsidRPr="00E93A34">
        <w:rPr>
          <w:b/>
        </w:rPr>
        <w:t xml:space="preserve"> metrics that could potentially be used to assess the habitat map </w:t>
      </w:r>
      <w:r w:rsidR="00666ED9" w:rsidRPr="00E93A34">
        <w:rPr>
          <w:b/>
        </w:rPr>
        <w:t xml:space="preserve">relative to a </w:t>
      </w:r>
      <w:r w:rsidR="000170EA">
        <w:rPr>
          <w:b/>
        </w:rPr>
        <w:t xml:space="preserve">landscape of </w:t>
      </w:r>
      <w:r w:rsidR="00666ED9" w:rsidRPr="00E93A34">
        <w:rPr>
          <w:b/>
        </w:rPr>
        <w:t>random</w:t>
      </w:r>
      <w:r w:rsidR="007E2462">
        <w:rPr>
          <w:b/>
        </w:rPr>
        <w:t>ly oriented</w:t>
      </w:r>
      <w:r w:rsidR="00666ED9" w:rsidRPr="00E93A34">
        <w:rPr>
          <w:b/>
        </w:rPr>
        <w:t xml:space="preserve"> </w:t>
      </w:r>
      <w:r w:rsidR="00A92704">
        <w:rPr>
          <w:b/>
        </w:rPr>
        <w:t>habitat</w:t>
      </w:r>
      <w:r w:rsidR="00666ED9" w:rsidRPr="00E93A34">
        <w:rPr>
          <w:b/>
        </w:rPr>
        <w:t>:</w:t>
      </w:r>
    </w:p>
    <w:p w:rsidR="00666ED9" w:rsidRDefault="00666ED9" w:rsidP="00666ED9">
      <w:pPr>
        <w:pStyle w:val="ListParagraph"/>
        <w:numPr>
          <w:ilvl w:val="0"/>
          <w:numId w:val="7"/>
        </w:numPr>
        <w:ind w:left="1080"/>
      </w:pPr>
      <w:r>
        <w:t>The percentage of point buffer locations with and without habitat cells</w:t>
      </w:r>
    </w:p>
    <w:p w:rsidR="00666ED9" w:rsidRDefault="00D26BF4" w:rsidP="00666ED9">
      <w:pPr>
        <w:ind w:left="720"/>
      </w:pPr>
      <w:r>
        <w:lastRenderedPageBreak/>
        <w:t xml:space="preserve">In the table example above, 7 of the 10 point buffers have predicted habitat cells and 3 do not. That is, 70% of point buffers have predicted habitat. </w:t>
      </w:r>
      <w:r w:rsidR="00666ED9">
        <w:t>The presumption here</w:t>
      </w:r>
      <w:r>
        <w:t xml:space="preserve"> is that a random landscape will most likely produce a 50-50 ratio of point buffers with and without habitat cells.</w:t>
      </w:r>
      <w:r w:rsidR="007E7B33">
        <w:t xml:space="preserve"> Therefore, it could be assumed, a better than random habitat map will have &gt; 50% point buffers with habitat cells and a worse than random map will have &lt; 50% point buffers with habitat cells.</w:t>
      </w:r>
    </w:p>
    <w:p w:rsidR="002C3C46" w:rsidRPr="002C3C46" w:rsidRDefault="002C3C46" w:rsidP="00666ED9">
      <w:pPr>
        <w:ind w:left="720"/>
        <w:rPr>
          <w:color w:val="FF0000"/>
        </w:rPr>
      </w:pPr>
      <w:r>
        <w:rPr>
          <w:color w:val="FF0000"/>
        </w:rPr>
        <w:t>Unfortunately, it appears the 50-50 assumption is incorrect. Using a sample of 25 simulated habitat landscapes intersected with 50 mocked-up occurrence locations, on a</w:t>
      </w:r>
      <w:r w:rsidR="00E76A61">
        <w:rPr>
          <w:color w:val="FF0000"/>
        </w:rPr>
        <w:t>verage &gt; 77% of point buffers of</w:t>
      </w:r>
      <w:r>
        <w:rPr>
          <w:color w:val="FF0000"/>
        </w:rPr>
        <w:t xml:space="preserve"> the mocked-up occurrences have simulated habitat. By comparison, a GAP generated salamander species map intersected approximately 65% of those same mocked-up point occurrence buffers.</w:t>
      </w:r>
      <w:r w:rsidR="00E97085">
        <w:rPr>
          <w:color w:val="FF0000"/>
        </w:rPr>
        <w:t xml:space="preserve"> It appears to be a function of random assignment of cells across the landscape. The process evenly distributes “habitat” cells throughout the extent whereas the modeled habitat is more clumped. The dispersed nature of simulated habitat appears to make it more likely that any given location across the extent encounters at least one “habitat” cell.</w:t>
      </w:r>
    </w:p>
    <w:p w:rsidR="00666ED9" w:rsidRDefault="00666ED9" w:rsidP="00666ED9">
      <w:pPr>
        <w:pStyle w:val="ListParagraph"/>
        <w:numPr>
          <w:ilvl w:val="0"/>
          <w:numId w:val="7"/>
        </w:numPr>
        <w:ind w:left="1080"/>
      </w:pPr>
      <w:r>
        <w:t>The relationship of the percent habitat within a point buffer and radius of the point buffer’s circle</w:t>
      </w:r>
    </w:p>
    <w:p w:rsidR="00AE29E2" w:rsidRDefault="00AE29E2" w:rsidP="00AE29E2">
      <w:pPr>
        <w:ind w:left="720"/>
      </w:pPr>
      <w:r>
        <w:t xml:space="preserve">Theoretically, a random landscape of habitat cells will illustrate a relationship between the area (circle radius) of the point buffer and the percentage of habitat cells within that buffer. That is, the larger the circle radius, the </w:t>
      </w:r>
      <w:r w:rsidR="00D4358D">
        <w:t>greater</w:t>
      </w:r>
      <w:r>
        <w:t xml:space="preserve"> the examined area, the high</w:t>
      </w:r>
      <w:r w:rsidR="00BA0095">
        <w:t>er</w:t>
      </w:r>
      <w:r>
        <w:t xml:space="preserve"> the probability that habitat cells will overlay with that buffer.</w:t>
      </w:r>
      <w:r w:rsidR="008C78B4">
        <w:t xml:space="preserve"> </w:t>
      </w:r>
      <w:r w:rsidR="009220F0">
        <w:t>If,</w:t>
      </w:r>
      <w:r w:rsidR="008C78B4">
        <w:t xml:space="preserve"> however, the evaluated habitat map shows NO relationship between point radius/buffer area and percent habitat cells, it could be reasonable to assume the</w:t>
      </w:r>
      <w:r w:rsidR="00AE16F2">
        <w:t xml:space="preserve"> evaluate</w:t>
      </w:r>
      <w:r w:rsidR="00113AC9">
        <w:t>d</w:t>
      </w:r>
      <w:r w:rsidR="00AE16F2">
        <w:t xml:space="preserve"> species</w:t>
      </w:r>
      <w:r w:rsidR="008C78B4">
        <w:t xml:space="preserve"> habitat map is non-random.</w:t>
      </w:r>
    </w:p>
    <w:p w:rsidR="009F34B7" w:rsidRDefault="009F34B7" w:rsidP="00AE29E2">
      <w:pPr>
        <w:ind w:left="720"/>
      </w:pPr>
      <w:r>
        <w:rPr>
          <w:noProof/>
        </w:rPr>
        <w:drawing>
          <wp:inline distT="0" distB="0" distL="0" distR="0" wp14:anchorId="40DF4E58" wp14:editId="51CD55D7">
            <wp:extent cx="37528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2781300"/>
                    </a:xfrm>
                    <a:prstGeom prst="rect">
                      <a:avLst/>
                    </a:prstGeom>
                    <a:noFill/>
                    <a:ln>
                      <a:noFill/>
                    </a:ln>
                  </pic:spPr>
                </pic:pic>
              </a:graphicData>
            </a:graphic>
          </wp:inline>
        </w:drawing>
      </w:r>
    </w:p>
    <w:p w:rsidR="00FC6FAB" w:rsidRPr="00FC6FAB" w:rsidRDefault="00FC6FAB" w:rsidP="00AE29E2">
      <w:pPr>
        <w:ind w:left="720"/>
        <w:rPr>
          <w:color w:val="FF0000"/>
        </w:rPr>
      </w:pPr>
      <w:r>
        <w:rPr>
          <w:color w:val="FF0000"/>
        </w:rPr>
        <w:t xml:space="preserve">This is not true when generating a simulated landscape using the ratio of habitat to range area as a threshold for delineating habitat cells (see step 4 above). As a matter of fact, because the random raster function in ArcPy distributes cells evenly across the simulated landscape, the mean percent habitat within point buffers tends to approach the applied threshold (i.e. 2.4% from the example in step 4). </w:t>
      </w:r>
      <w:r w:rsidR="00020F59">
        <w:rPr>
          <w:color w:val="FF0000"/>
        </w:rPr>
        <w:t xml:space="preserve">That is, because the cells are uniformly present throughout the </w:t>
      </w:r>
      <w:r w:rsidR="00020F59">
        <w:rPr>
          <w:color w:val="FF0000"/>
        </w:rPr>
        <w:lastRenderedPageBreak/>
        <w:t>extent, any extracted portion of th</w:t>
      </w:r>
      <w:r w:rsidR="00C20B61">
        <w:rPr>
          <w:color w:val="FF0000"/>
        </w:rPr>
        <w:t>at extent</w:t>
      </w:r>
      <w:r w:rsidR="00B543E7">
        <w:rPr>
          <w:color w:val="FF0000"/>
        </w:rPr>
        <w:t xml:space="preserve"> regardless of size</w:t>
      </w:r>
      <w:r w:rsidR="00C20B61">
        <w:rPr>
          <w:color w:val="FF0000"/>
        </w:rPr>
        <w:t xml:space="preserve"> </w:t>
      </w:r>
      <w:r w:rsidR="00020F59">
        <w:rPr>
          <w:color w:val="FF0000"/>
        </w:rPr>
        <w:t xml:space="preserve">will have an equivalent ratio of 0’s and 1’s. </w:t>
      </w:r>
    </w:p>
    <w:p w:rsidR="00FC6FAB" w:rsidRDefault="00FC6FAB" w:rsidP="00AE29E2">
      <w:pPr>
        <w:ind w:left="720"/>
      </w:pPr>
    </w:p>
    <w:p w:rsidR="00666ED9" w:rsidRDefault="00666ED9" w:rsidP="00666ED9">
      <w:pPr>
        <w:pStyle w:val="ListParagraph"/>
        <w:numPr>
          <w:ilvl w:val="0"/>
          <w:numId w:val="7"/>
        </w:numPr>
        <w:ind w:left="1080"/>
      </w:pPr>
      <w:r>
        <w:t>A comparison of the percent habitat within a point buffer to the frequency distribution of percent habitat across all random landscape simulations for each point buffer</w:t>
      </w:r>
    </w:p>
    <w:p w:rsidR="00274743" w:rsidRDefault="00274743" w:rsidP="00274743">
      <w:pPr>
        <w:ind w:left="720"/>
      </w:pPr>
      <w:r>
        <w:t>Here the presumption is multiple iterations of random habitat landscapes will generate normally distributed frequencies</w:t>
      </w:r>
      <w:r w:rsidR="00CB624A">
        <w:t xml:space="preserve"> (or any other continuous function)</w:t>
      </w:r>
      <w:r>
        <w:t xml:space="preserve"> of percent habitat within each point buffer. A “better than random” habitat map would produce percent habitat values in the upper end of that simulated normal distribution, while a “worse than random” habitat map would produce percent habitat values in the lower end of the normal distribution.</w:t>
      </w:r>
    </w:p>
    <w:p w:rsidR="00666ED9" w:rsidRDefault="0009510B" w:rsidP="00FD71F5">
      <w:pPr>
        <w:ind w:left="720"/>
      </w:pPr>
      <w:r>
        <w:rPr>
          <w:noProof/>
        </w:rPr>
        <mc:AlternateContent>
          <mc:Choice Requires="wps">
            <w:drawing>
              <wp:anchor distT="0" distB="0" distL="114300" distR="114300" simplePos="0" relativeHeight="251666432" behindDoc="0" locked="0" layoutInCell="1" allowOverlap="1" wp14:anchorId="45125C51" wp14:editId="6C6C78C6">
                <wp:simplePos x="0" y="0"/>
                <wp:positionH relativeFrom="column">
                  <wp:posOffset>3819525</wp:posOffset>
                </wp:positionH>
                <wp:positionV relativeFrom="paragraph">
                  <wp:posOffset>1266825</wp:posOffset>
                </wp:positionV>
                <wp:extent cx="1762125" cy="714375"/>
                <wp:effectExtent l="0" t="0" r="28575" b="638175"/>
                <wp:wrapNone/>
                <wp:docPr id="9" name="Line Callout 1 9"/>
                <wp:cNvGraphicFramePr/>
                <a:graphic xmlns:a="http://schemas.openxmlformats.org/drawingml/2006/main">
                  <a:graphicData uri="http://schemas.microsoft.com/office/word/2010/wordprocessingShape">
                    <wps:wsp>
                      <wps:cNvSpPr/>
                      <wps:spPr>
                        <a:xfrm>
                          <a:off x="0" y="0"/>
                          <a:ext cx="1762125" cy="714375"/>
                        </a:xfrm>
                        <a:prstGeom prst="borderCallout1">
                          <a:avLst>
                            <a:gd name="adj1" fmla="val 99032"/>
                            <a:gd name="adj2" fmla="val 56183"/>
                            <a:gd name="adj3" fmla="val 181746"/>
                            <a:gd name="adj4" fmla="val 4220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510B" w:rsidRPr="0009510B" w:rsidRDefault="0009510B" w:rsidP="0009510B">
                            <w:pPr>
                              <w:rPr>
                                <w:color w:val="0D0D0D" w:themeColor="text1" w:themeTint="F2"/>
                                <w:sz w:val="16"/>
                                <w:szCs w:val="16"/>
                              </w:rPr>
                            </w:pPr>
                            <w:r>
                              <w:rPr>
                                <w:color w:val="0D0D0D" w:themeColor="text1" w:themeTint="F2"/>
                                <w:sz w:val="16"/>
                                <w:szCs w:val="16"/>
                              </w:rPr>
                              <w:t>Upp</w:t>
                            </w:r>
                            <w:r w:rsidRPr="0009510B">
                              <w:rPr>
                                <w:color w:val="0D0D0D" w:themeColor="text1" w:themeTint="F2"/>
                                <w:sz w:val="16"/>
                                <w:szCs w:val="16"/>
                              </w:rPr>
                              <w:t>er end of simulated landscape habitat percent distribution = “</w:t>
                            </w:r>
                            <w:r>
                              <w:rPr>
                                <w:color w:val="0D0D0D" w:themeColor="text1" w:themeTint="F2"/>
                                <w:sz w:val="16"/>
                                <w:szCs w:val="16"/>
                              </w:rPr>
                              <w:t>better</w:t>
                            </w:r>
                            <w:r w:rsidRPr="0009510B">
                              <w:rPr>
                                <w:color w:val="0D0D0D" w:themeColor="text1" w:themeTint="F2"/>
                                <w:sz w:val="16"/>
                                <w:szCs w:val="16"/>
                              </w:rPr>
                              <w:t xml:space="preserve"> than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25C5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9" o:spid="_x0000_s1026" type="#_x0000_t47" style="position:absolute;left:0;text-align:left;margin-left:300.75pt;margin-top:99.75pt;width:138.7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" adj="9116,39257,12136,21391" fillcolor="white [3212]" strokecolor="black [3213]" strokeweight="1pt">
                <v:textbox>
                  <w:txbxContent>
                    <w:p w:rsidR="0009510B" w:rsidRPr="0009510B" w:rsidRDefault="0009510B" w:rsidP="0009510B">
                      <w:pPr>
                        <w:rPr>
                          <w:color w:val="0D0D0D" w:themeColor="text1" w:themeTint="F2"/>
                          <w:sz w:val="16"/>
                          <w:szCs w:val="16"/>
                        </w:rPr>
                      </w:pPr>
                      <w:r>
                        <w:rPr>
                          <w:color w:val="0D0D0D" w:themeColor="text1" w:themeTint="F2"/>
                          <w:sz w:val="16"/>
                          <w:szCs w:val="16"/>
                        </w:rPr>
                        <w:t>Upp</w:t>
                      </w:r>
                      <w:r w:rsidRPr="0009510B">
                        <w:rPr>
                          <w:color w:val="0D0D0D" w:themeColor="text1" w:themeTint="F2"/>
                          <w:sz w:val="16"/>
                          <w:szCs w:val="16"/>
                        </w:rPr>
                        <w:t>er end of simulated landscape habitat percent distribution = “</w:t>
                      </w:r>
                      <w:r>
                        <w:rPr>
                          <w:color w:val="0D0D0D" w:themeColor="text1" w:themeTint="F2"/>
                          <w:sz w:val="16"/>
                          <w:szCs w:val="16"/>
                        </w:rPr>
                        <w:t>better</w:t>
                      </w:r>
                      <w:r w:rsidRPr="0009510B">
                        <w:rPr>
                          <w:color w:val="0D0D0D" w:themeColor="text1" w:themeTint="F2"/>
                          <w:sz w:val="16"/>
                          <w:szCs w:val="16"/>
                        </w:rPr>
                        <w:t xml:space="preserve"> than random”</w:t>
                      </w:r>
                    </w:p>
                  </w:txbxContent>
                </v:textbox>
                <o:callout v:ext="edit" minusy="t"/>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742950</wp:posOffset>
                </wp:positionH>
                <wp:positionV relativeFrom="paragraph">
                  <wp:posOffset>1514475</wp:posOffset>
                </wp:positionV>
                <wp:extent cx="1762125" cy="714375"/>
                <wp:effectExtent l="0" t="0" r="28575" b="371475"/>
                <wp:wrapNone/>
                <wp:docPr id="8" name="Line Callout 1 8"/>
                <wp:cNvGraphicFramePr/>
                <a:graphic xmlns:a="http://schemas.openxmlformats.org/drawingml/2006/main">
                  <a:graphicData uri="http://schemas.microsoft.com/office/word/2010/wordprocessingShape">
                    <wps:wsp>
                      <wps:cNvSpPr/>
                      <wps:spPr>
                        <a:xfrm>
                          <a:off x="0" y="0"/>
                          <a:ext cx="1762125" cy="714375"/>
                        </a:xfrm>
                        <a:prstGeom prst="borderCallout1">
                          <a:avLst>
                            <a:gd name="adj1" fmla="val 99032"/>
                            <a:gd name="adj2" fmla="val 56183"/>
                            <a:gd name="adj3" fmla="val 147079"/>
                            <a:gd name="adj4" fmla="val 8220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510B" w:rsidRPr="0009510B" w:rsidRDefault="0009510B" w:rsidP="0009510B">
                            <w:pPr>
                              <w:rPr>
                                <w:color w:val="0D0D0D" w:themeColor="text1" w:themeTint="F2"/>
                                <w:sz w:val="16"/>
                                <w:szCs w:val="16"/>
                              </w:rPr>
                            </w:pPr>
                            <w:r w:rsidRPr="0009510B">
                              <w:rPr>
                                <w:color w:val="0D0D0D" w:themeColor="text1" w:themeTint="F2"/>
                                <w:sz w:val="16"/>
                                <w:szCs w:val="16"/>
                              </w:rPr>
                              <w:t>Lower end of simulated landscape habitat percent distribution = “worse than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8" o:spid="_x0000_s1027" type="#_x0000_t47" style="position:absolute;left:0;text-align:left;margin-left:58.5pt;margin-top:119.25pt;width:138.75pt;height:5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" adj="17756,31769,12136,21391" fillcolor="white [3212]" strokecolor="black [3213]" strokeweight="1pt">
                <v:textbox>
                  <w:txbxContent>
                    <w:p w:rsidR="0009510B" w:rsidRPr="0009510B" w:rsidRDefault="0009510B" w:rsidP="0009510B">
                      <w:pPr>
                        <w:rPr>
                          <w:color w:val="0D0D0D" w:themeColor="text1" w:themeTint="F2"/>
                          <w:sz w:val="16"/>
                          <w:szCs w:val="16"/>
                        </w:rPr>
                      </w:pPr>
                      <w:r w:rsidRPr="0009510B">
                        <w:rPr>
                          <w:color w:val="0D0D0D" w:themeColor="text1" w:themeTint="F2"/>
                          <w:sz w:val="16"/>
                          <w:szCs w:val="16"/>
                        </w:rPr>
                        <w:t>Lower end of simulated landscape habitat percent distribution = “worse than random”</w:t>
                      </w:r>
                    </w:p>
                  </w:txbxContent>
                </v:textbox>
                <o:callout v:ext="edit" minusx="t" minusy="t"/>
              </v:shape>
            </w:pict>
          </mc:Fallback>
        </mc:AlternateContent>
      </w:r>
      <w:r>
        <w:rPr>
          <w:noProof/>
        </w:rPr>
        <mc:AlternateContent>
          <mc:Choice Requires="wps">
            <w:drawing>
              <wp:anchor distT="0" distB="0" distL="114300" distR="114300" simplePos="0" relativeHeight="251659264" behindDoc="0" locked="0" layoutInCell="1" allowOverlap="1" wp14:anchorId="765CE9DE" wp14:editId="6584D46B">
                <wp:simplePos x="0" y="0"/>
                <wp:positionH relativeFrom="column">
                  <wp:posOffset>2085975</wp:posOffset>
                </wp:positionH>
                <wp:positionV relativeFrom="paragraph">
                  <wp:posOffset>2409825</wp:posOffset>
                </wp:positionV>
                <wp:extent cx="314324" cy="371475"/>
                <wp:effectExtent l="0" t="0" r="0" b="0"/>
                <wp:wrapNone/>
                <wp:docPr id="6" name="Text Box 1"/>
                <wp:cNvGraphicFramePr/>
                <a:graphic xmlns:a="http://schemas.openxmlformats.org/drawingml/2006/main">
                  <a:graphicData uri="http://schemas.microsoft.com/office/word/2010/wordprocessingShape">
                    <wps:wsp>
                      <wps:cNvSpPr txBox="1"/>
                      <wps:spPr>
                        <a:xfrm>
                          <a:off x="0" y="0"/>
                          <a:ext cx="314324" cy="371475"/>
                        </a:xfrm>
                        <a:prstGeom prst="rect">
                          <a:avLst/>
                        </a:prstGeom>
                      </wps:spPr>
                      <wps:txbx>
                        <w:txbxContent>
                          <w:p w:rsidR="00D6127A" w:rsidRDefault="00D6127A" w:rsidP="00D6127A">
                            <w:pPr>
                              <w:pStyle w:val="NormalWeb"/>
                              <w:spacing w:before="0" w:beforeAutospacing="0" w:after="0" w:afterAutospacing="0"/>
                            </w:pPr>
                            <w:r>
                              <w:rPr>
                                <w:rFonts w:asciiTheme="minorHAnsi" w:hAnsi="Calibri" w:cstheme="minorBidi"/>
                                <w:color w:val="FF0000"/>
                                <w:sz w:val="32"/>
                                <w:szCs w:val="32"/>
                              </w:rPr>
                              <w:t>x</w:t>
                            </w:r>
                          </w:p>
                        </w:txbxContent>
                      </wps:txbx>
                      <wps:bodyPr vertOverflow="clip" wrap="square" rtlCol="0"/>
                    </wps:wsp>
                  </a:graphicData>
                </a:graphic>
              </wp:anchor>
            </w:drawing>
          </mc:Choice>
          <mc:Fallback>
            <w:pict>
              <v:shapetype w14:anchorId="765CE9DE" id="_x0000_t202" coordsize="21600,21600" o:spt="202" path="m,l,21600r21600,l21600,xe">
                <v:stroke joinstyle="miter"/>
                <v:path gradientshapeok="t" o:connecttype="rect"/>
              </v:shapetype>
              <v:shape id="Text Box 1" o:spid="_x0000_s1028" type="#_x0000_t202" style="position:absolute;left:0;text-align:left;margin-left:164.25pt;margin-top:189.75pt;width:24.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" filled="f" stroked="f">
                <v:textbox>
                  <w:txbxContent>
                    <w:p w:rsidR="00D6127A" w:rsidRDefault="00D6127A" w:rsidP="00D6127A">
                      <w:pPr>
                        <w:pStyle w:val="NormalWeb"/>
                        <w:spacing w:before="0" w:beforeAutospacing="0" w:after="0" w:afterAutospacing="0"/>
                      </w:pPr>
                      <w:r>
                        <w:rPr>
                          <w:rFonts w:asciiTheme="minorHAnsi" w:hAnsi="Calibri" w:cstheme="minorBidi"/>
                          <w:color w:val="FF0000"/>
                          <w:sz w:val="32"/>
                          <w:szCs w:val="32"/>
                        </w:rPr>
                        <w:t>x</w:t>
                      </w:r>
                    </w:p>
                  </w:txbxContent>
                </v:textbox>
              </v:shape>
            </w:pict>
          </mc:Fallback>
        </mc:AlternateContent>
      </w:r>
      <w:r w:rsidR="00D6127A">
        <w:rPr>
          <w:noProof/>
        </w:rPr>
        <w:drawing>
          <wp:inline distT="0" distB="0" distL="0" distR="0" wp14:anchorId="62C77F7A" wp14:editId="2F63B2C8">
            <wp:extent cx="5238750" cy="34956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B246B" w:rsidRDefault="002B246B" w:rsidP="00FD71F5">
      <w:pPr>
        <w:ind w:left="720"/>
      </w:pPr>
    </w:p>
    <w:p w:rsidR="002B246B" w:rsidRDefault="002B246B" w:rsidP="002B246B">
      <w:pPr>
        <w:pStyle w:val="ListParagraph"/>
        <w:numPr>
          <w:ilvl w:val="0"/>
          <w:numId w:val="7"/>
        </w:numPr>
      </w:pPr>
      <w:r>
        <w:t>Comparison between the percent habitat in range (akin to “model prevalence” in Rondinini et al. 2011) and the mean percent habitat in point occurrence buffers</w:t>
      </w:r>
    </w:p>
    <w:p w:rsidR="004543CE" w:rsidRDefault="002E2FA2" w:rsidP="004543CE">
      <w:pPr>
        <w:ind w:left="360"/>
      </w:pPr>
      <w:r>
        <w:t xml:space="preserve">This assumes (and rightly so – see explanation of why metric 2 does not work) a random habitat landscape would, at most, predict a mean percent habitat within point occurrence </w:t>
      </w:r>
      <w:r w:rsidR="008F4A06">
        <w:t xml:space="preserve">buffers (regardless of size) </w:t>
      </w:r>
      <w:r w:rsidR="0077435B">
        <w:t>equal</w:t>
      </w:r>
      <w:r w:rsidR="008F4A06">
        <w:t xml:space="preserve"> to</w:t>
      </w:r>
      <w:r w:rsidR="0077435B">
        <w:t xml:space="preserve"> </w:t>
      </w:r>
      <w:r>
        <w:t>the model predicted percent habitat throughout the entire range.</w:t>
      </w:r>
      <w:r w:rsidR="00C36112">
        <w:t xml:space="preserve"> In fact, the greater the point occurrence inaccuracy (10,000 meters, 50,000 meters, etc…) the larger the point buffer area, the </w:t>
      </w:r>
      <w:r w:rsidR="00B44B87">
        <w:t xml:space="preserve">more </w:t>
      </w:r>
      <w:r w:rsidR="00C36112">
        <w:t>closely representative the percent habitat within the extent given a simulated landscape</w:t>
      </w:r>
      <w:r w:rsidR="002663F1">
        <w:t xml:space="preserve"> of evenly distributed “habitat” cells</w:t>
      </w:r>
      <w:r w:rsidR="00C36112">
        <w:t xml:space="preserve"> using the species’ percent habitat in range as a threshold.</w:t>
      </w:r>
      <w:r w:rsidR="00F16515">
        <w:t xml:space="preserve"> Plotting </w:t>
      </w:r>
      <w:r w:rsidR="00403E81">
        <w:t xml:space="preserve">mean percent habitat in point occurrence buffers vs. </w:t>
      </w:r>
      <w:r w:rsidR="00F16515">
        <w:t>percent habitat in range (model prevalence)</w:t>
      </w:r>
      <w:r w:rsidR="00403E81">
        <w:t xml:space="preserve"> </w:t>
      </w:r>
      <w:r w:rsidR="00F16515">
        <w:t xml:space="preserve">for each species, should produce a graph similar to figure 1 in Rondinini et </w:t>
      </w:r>
      <w:r w:rsidR="00F16515">
        <w:lastRenderedPageBreak/>
        <w:t>al. 2011 where a random model would plot along the 50-50 x-y line, species models ‘worse than random’ would occur in the lower right, and species models ‘better than random’ would occur in the upper left.</w:t>
      </w:r>
      <w:r w:rsidR="00C14D15">
        <w:t xml:space="preserve"> Note that while percent habitat in range is very similar to Rondinini et al.’s model prevalence, mean percent habitat in point buffers is NOT similar to their point prevalence measure. Rondinini et al.’s point prevalence is based</w:t>
      </w:r>
      <w:r w:rsidR="005B2B16">
        <w:t xml:space="preserve"> on</w:t>
      </w:r>
      <w:r w:rsidR="00C14D15">
        <w:t xml:space="preserve"> a static area of ‘influence’ for point occurrences (1km) and is simply a ratio of the number of 1km cells with at least one 300m habitat cell and the total number of point occurrences for the given species.</w:t>
      </w:r>
      <w:r w:rsidR="007D745E">
        <w:t xml:space="preserve"> It does not incorporate the point occurrence accuracy because it assumes all points have an accuracy of 1km.</w:t>
      </w:r>
    </w:p>
    <w:p w:rsidR="005E7AC4" w:rsidRDefault="00007C12" w:rsidP="004543CE">
      <w:pPr>
        <w:ind w:left="360"/>
      </w:pPr>
      <w:r>
        <w:rPr>
          <w:noProof/>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1285875</wp:posOffset>
                </wp:positionV>
                <wp:extent cx="828675" cy="1404620"/>
                <wp:effectExtent l="0" t="133350" r="0" b="147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14307">
                          <a:off x="0" y="0"/>
                          <a:ext cx="828675" cy="1404620"/>
                        </a:xfrm>
                        <a:prstGeom prst="rect">
                          <a:avLst/>
                        </a:prstGeom>
                        <a:noFill/>
                        <a:ln w="9525">
                          <a:noFill/>
                          <a:miter lim="800000"/>
                          <a:headEnd/>
                          <a:tailEnd/>
                        </a:ln>
                      </wps:spPr>
                      <wps:txbx>
                        <w:txbxContent>
                          <w:p w:rsidR="00007C12" w:rsidRDefault="00007C12">
                            <w:r>
                              <w:t>Random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0;margin-top:101.25pt;width:65.25pt;height:110.6pt;rotation:-2168906fd;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" filled="f" stroked="f">
                <v:textbox style="mso-fit-shape-to-text:t">
                  <w:txbxContent>
                    <w:p w:rsidR="00007C12" w:rsidRDefault="00007C12">
                      <w:r>
                        <w:t>Random</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372CA73" wp14:editId="55CD6AA7">
                <wp:simplePos x="0" y="0"/>
                <wp:positionH relativeFrom="column">
                  <wp:posOffset>2895600</wp:posOffset>
                </wp:positionH>
                <wp:positionV relativeFrom="paragraph">
                  <wp:posOffset>2143125</wp:posOffset>
                </wp:positionV>
                <wp:extent cx="1428774" cy="609580"/>
                <wp:effectExtent l="0" t="0" r="0" b="0"/>
                <wp:wrapNone/>
                <wp:docPr id="13" name="TextBox 1"/>
                <wp:cNvGraphicFramePr/>
                <a:graphic xmlns:a="http://schemas.openxmlformats.org/drawingml/2006/main">
                  <a:graphicData uri="http://schemas.microsoft.com/office/word/2010/wordprocessingShape">
                    <wps:wsp>
                      <wps:cNvSpPr txBox="1"/>
                      <wps:spPr>
                        <a:xfrm>
                          <a:off x="0" y="0"/>
                          <a:ext cx="1428774" cy="609580"/>
                        </a:xfrm>
                        <a:prstGeom prst="rect">
                          <a:avLst/>
                        </a:prstGeom>
                      </wps:spPr>
                      <wps:txbx>
                        <w:txbxContent>
                          <w:p w:rsidR="00007C12" w:rsidRDefault="00007C12" w:rsidP="00007C12">
                            <w:pPr>
                              <w:pStyle w:val="NormalWeb"/>
                              <w:spacing w:before="0" w:beforeAutospacing="0" w:after="0" w:afterAutospacing="0"/>
                            </w:pPr>
                            <w:r>
                              <w:rPr>
                                <w:rFonts w:asciiTheme="minorHAnsi" w:hAnsi="Calibri" w:cstheme="minorBidi"/>
                                <w:sz w:val="22"/>
                                <w:szCs w:val="22"/>
                              </w:rPr>
                              <w:t>Species models 'worse than random'</w:t>
                            </w:r>
                          </w:p>
                        </w:txbxContent>
                      </wps:txbx>
                      <wps:bodyPr vertOverflow="clip" wrap="square" rtlCol="0"/>
                    </wps:wsp>
                  </a:graphicData>
                </a:graphic>
              </wp:anchor>
            </w:drawing>
          </mc:Choice>
          <mc:Fallback>
            <w:pict>
              <v:shape w14:anchorId="3372CA73" id="TextBox 1" o:spid="_x0000_s1030" type="#_x0000_t202" style="position:absolute;left:0;text-align:left;margin-left:228pt;margin-top:168.75pt;width:112.5pt;height:4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" filled="f" stroked="f">
                <v:textbox>
                  <w:txbxContent>
                    <w:p w:rsidR="00007C12" w:rsidRDefault="00007C12" w:rsidP="00007C12">
                      <w:pPr>
                        <w:pStyle w:val="NormalWeb"/>
                        <w:spacing w:before="0" w:beforeAutospacing="0" w:after="0" w:afterAutospacing="0"/>
                      </w:pPr>
                      <w:r>
                        <w:rPr>
                          <w:rFonts w:asciiTheme="minorHAnsi" w:hAnsi="Calibri" w:cstheme="minorBidi"/>
                          <w:sz w:val="22"/>
                          <w:szCs w:val="22"/>
                        </w:rPr>
                        <w:t>Species models 'worse</w:t>
                      </w:r>
                      <w:r>
                        <w:rPr>
                          <w:rFonts w:asciiTheme="minorHAnsi" w:hAnsi="Calibri" w:cstheme="minorBidi"/>
                          <w:sz w:val="22"/>
                          <w:szCs w:val="22"/>
                        </w:rPr>
                        <w:t xml:space="preserve"> than random'</w:t>
                      </w:r>
                    </w:p>
                  </w:txbxContent>
                </v:textbox>
              </v:shape>
            </w:pict>
          </mc:Fallback>
        </mc:AlternateContent>
      </w:r>
      <w:r w:rsidR="005E7AC4">
        <w:rPr>
          <w:noProof/>
        </w:rPr>
        <w:drawing>
          <wp:inline distT="0" distB="0" distL="0" distR="0" wp14:anchorId="10DBB5CB" wp14:editId="56B7E8C9">
            <wp:extent cx="4933950" cy="36099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5E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B3A65"/>
    <w:multiLevelType w:val="hybridMultilevel"/>
    <w:tmpl w:val="D75448F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7C48EA"/>
    <w:multiLevelType w:val="hybridMultilevel"/>
    <w:tmpl w:val="1482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F6190"/>
    <w:multiLevelType w:val="hybridMultilevel"/>
    <w:tmpl w:val="7BD289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67383"/>
    <w:multiLevelType w:val="hybridMultilevel"/>
    <w:tmpl w:val="8FE827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24E4B"/>
    <w:multiLevelType w:val="hybridMultilevel"/>
    <w:tmpl w:val="C21C5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DA7D8A"/>
    <w:multiLevelType w:val="hybridMultilevel"/>
    <w:tmpl w:val="BFF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31E16"/>
    <w:multiLevelType w:val="hybridMultilevel"/>
    <w:tmpl w:val="8EF61B0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50"/>
    <w:rsid w:val="00007C12"/>
    <w:rsid w:val="000170EA"/>
    <w:rsid w:val="00020F59"/>
    <w:rsid w:val="00085AFD"/>
    <w:rsid w:val="0009510B"/>
    <w:rsid w:val="000D19D7"/>
    <w:rsid w:val="00113AC9"/>
    <w:rsid w:val="00130673"/>
    <w:rsid w:val="00192332"/>
    <w:rsid w:val="001C2C08"/>
    <w:rsid w:val="00245941"/>
    <w:rsid w:val="002663F1"/>
    <w:rsid w:val="00274743"/>
    <w:rsid w:val="00291B7B"/>
    <w:rsid w:val="002B246B"/>
    <w:rsid w:val="002C3C46"/>
    <w:rsid w:val="002E2FA2"/>
    <w:rsid w:val="003867F2"/>
    <w:rsid w:val="00403E81"/>
    <w:rsid w:val="004543CE"/>
    <w:rsid w:val="00480FAD"/>
    <w:rsid w:val="005144EF"/>
    <w:rsid w:val="005914F1"/>
    <w:rsid w:val="005B2B16"/>
    <w:rsid w:val="005C7877"/>
    <w:rsid w:val="005D32E4"/>
    <w:rsid w:val="005E7874"/>
    <w:rsid w:val="005E7AC4"/>
    <w:rsid w:val="0060368B"/>
    <w:rsid w:val="00666ED9"/>
    <w:rsid w:val="00670A58"/>
    <w:rsid w:val="006E52E7"/>
    <w:rsid w:val="006F51AC"/>
    <w:rsid w:val="007432F8"/>
    <w:rsid w:val="0077435B"/>
    <w:rsid w:val="00776850"/>
    <w:rsid w:val="007843AA"/>
    <w:rsid w:val="007D745E"/>
    <w:rsid w:val="007E2462"/>
    <w:rsid w:val="007E7B33"/>
    <w:rsid w:val="008C78B4"/>
    <w:rsid w:val="008E390C"/>
    <w:rsid w:val="008F4A06"/>
    <w:rsid w:val="009220F0"/>
    <w:rsid w:val="00940DEA"/>
    <w:rsid w:val="009F34B7"/>
    <w:rsid w:val="00A6379F"/>
    <w:rsid w:val="00A92704"/>
    <w:rsid w:val="00AA737C"/>
    <w:rsid w:val="00AB38E4"/>
    <w:rsid w:val="00AE16F2"/>
    <w:rsid w:val="00AE29E2"/>
    <w:rsid w:val="00AE3456"/>
    <w:rsid w:val="00AE75D2"/>
    <w:rsid w:val="00B43D7F"/>
    <w:rsid w:val="00B44B87"/>
    <w:rsid w:val="00B51B0D"/>
    <w:rsid w:val="00B543E7"/>
    <w:rsid w:val="00B74B60"/>
    <w:rsid w:val="00BA0095"/>
    <w:rsid w:val="00BC0A7F"/>
    <w:rsid w:val="00BD6CB9"/>
    <w:rsid w:val="00BE38D5"/>
    <w:rsid w:val="00C14D15"/>
    <w:rsid w:val="00C20B61"/>
    <w:rsid w:val="00C36112"/>
    <w:rsid w:val="00CB624A"/>
    <w:rsid w:val="00CD5777"/>
    <w:rsid w:val="00CF5B2B"/>
    <w:rsid w:val="00D26BF4"/>
    <w:rsid w:val="00D4358D"/>
    <w:rsid w:val="00D6127A"/>
    <w:rsid w:val="00DB0387"/>
    <w:rsid w:val="00DB1B95"/>
    <w:rsid w:val="00DD2452"/>
    <w:rsid w:val="00E76A61"/>
    <w:rsid w:val="00E93A34"/>
    <w:rsid w:val="00E97085"/>
    <w:rsid w:val="00F16515"/>
    <w:rsid w:val="00FC6FAB"/>
    <w:rsid w:val="00FD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52B2"/>
  <w15:chartTrackingRefBased/>
  <w15:docId w15:val="{92DDAFF7-CDBA-4A75-A2C0-332B45A3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50"/>
    <w:pPr>
      <w:ind w:left="720"/>
      <w:contextualSpacing/>
    </w:pPr>
  </w:style>
  <w:style w:type="table" w:styleId="TableGrid">
    <w:name w:val="Table Grid"/>
    <w:basedOn w:val="TableNormal"/>
    <w:uiPriority w:val="39"/>
    <w:rsid w:val="00AE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127A"/>
    <w:rPr>
      <w:color w:val="808080"/>
    </w:rPr>
  </w:style>
  <w:style w:type="paragraph" w:styleId="NormalWeb">
    <w:name w:val="Normal (Web)"/>
    <w:basedOn w:val="Normal"/>
    <w:uiPriority w:val="99"/>
    <w:semiHidden/>
    <w:unhideWhenUsed/>
    <w:rsid w:val="00D6127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670405119485157E-2"/>
          <c:y val="7.479356633554321E-2"/>
          <c:w val="0.9278436295329805"/>
          <c:h val="0.75358521601693518"/>
        </c:manualLayout>
      </c:layout>
      <c:scatterChart>
        <c:scatterStyle val="smoothMarker"/>
        <c:varyColors val="0"/>
        <c:ser>
          <c:idx val="0"/>
          <c:order val="0"/>
          <c:spPr>
            <a:ln w="19050" cap="rnd">
              <a:solidFill>
                <a:schemeClr val="accent1"/>
              </a:solidFill>
              <a:round/>
            </a:ln>
            <a:effectLst/>
          </c:spPr>
          <c:marker>
            <c:symbol val="none"/>
          </c:marker>
          <c:xVal>
            <c:numRef>
              <c:f>Sheet1!$A$2:$A$103</c:f>
              <c:numCache>
                <c:formatCode>General</c:formatCode>
                <c:ptCount val="102"/>
                <c:pt idx="0">
                  <c:v>0</c:v>
                </c:pt>
                <c:pt idx="1">
                  <c:v>5.0000000000000001E-3</c:v>
                </c:pt>
                <c:pt idx="2">
                  <c:v>1.4999999999999999E-2</c:v>
                </c:pt>
                <c:pt idx="3">
                  <c:v>2.5000000000000001E-2</c:v>
                </c:pt>
                <c:pt idx="4">
                  <c:v>3.5000000000000003E-2</c:v>
                </c:pt>
                <c:pt idx="5">
                  <c:v>4.4999999999999998E-2</c:v>
                </c:pt>
                <c:pt idx="6">
                  <c:v>5.5E-2</c:v>
                </c:pt>
                <c:pt idx="7">
                  <c:v>6.5000000000000002E-2</c:v>
                </c:pt>
                <c:pt idx="8">
                  <c:v>7.4999999999999997E-2</c:v>
                </c:pt>
                <c:pt idx="9">
                  <c:v>8.5000000000000006E-2</c:v>
                </c:pt>
                <c:pt idx="10">
                  <c:v>9.5000000000000001E-2</c:v>
                </c:pt>
                <c:pt idx="11">
                  <c:v>0.105</c:v>
                </c:pt>
                <c:pt idx="12">
                  <c:v>0.115</c:v>
                </c:pt>
                <c:pt idx="13">
                  <c:v>0.125</c:v>
                </c:pt>
                <c:pt idx="14">
                  <c:v>0.13500000000000001</c:v>
                </c:pt>
                <c:pt idx="15">
                  <c:v>0.14499999999999999</c:v>
                </c:pt>
                <c:pt idx="16">
                  <c:v>0.155</c:v>
                </c:pt>
                <c:pt idx="17">
                  <c:v>0.16500000000000001</c:v>
                </c:pt>
                <c:pt idx="18">
                  <c:v>0.17499999999999999</c:v>
                </c:pt>
                <c:pt idx="19">
                  <c:v>0.185</c:v>
                </c:pt>
                <c:pt idx="20">
                  <c:v>0.19500000000000001</c:v>
                </c:pt>
                <c:pt idx="21">
                  <c:v>0.20499999999999999</c:v>
                </c:pt>
                <c:pt idx="22">
                  <c:v>0.215</c:v>
                </c:pt>
                <c:pt idx="23">
                  <c:v>0.22500000000000001</c:v>
                </c:pt>
                <c:pt idx="24">
                  <c:v>0.23499999999999999</c:v>
                </c:pt>
                <c:pt idx="25">
                  <c:v>0.245</c:v>
                </c:pt>
                <c:pt idx="26">
                  <c:v>0.255</c:v>
                </c:pt>
                <c:pt idx="27">
                  <c:v>0.26500000000000001</c:v>
                </c:pt>
                <c:pt idx="28">
                  <c:v>0.27500000000000002</c:v>
                </c:pt>
                <c:pt idx="29">
                  <c:v>0.28499999999999998</c:v>
                </c:pt>
                <c:pt idx="30">
                  <c:v>0.29499999999999998</c:v>
                </c:pt>
                <c:pt idx="31">
                  <c:v>0.30499999999999999</c:v>
                </c:pt>
                <c:pt idx="32">
                  <c:v>0.315</c:v>
                </c:pt>
                <c:pt idx="33">
                  <c:v>0.32500000000000001</c:v>
                </c:pt>
                <c:pt idx="34">
                  <c:v>0.33500000000000002</c:v>
                </c:pt>
                <c:pt idx="35">
                  <c:v>0.34499999999999997</c:v>
                </c:pt>
                <c:pt idx="36">
                  <c:v>0.35499999999999998</c:v>
                </c:pt>
                <c:pt idx="37">
                  <c:v>0.36499999999999999</c:v>
                </c:pt>
                <c:pt idx="38">
                  <c:v>0.375</c:v>
                </c:pt>
                <c:pt idx="39">
                  <c:v>0.38500000000000001</c:v>
                </c:pt>
                <c:pt idx="40">
                  <c:v>0.39500000000000002</c:v>
                </c:pt>
                <c:pt idx="41">
                  <c:v>0.40500000000000003</c:v>
                </c:pt>
                <c:pt idx="42">
                  <c:v>0.41499999999999998</c:v>
                </c:pt>
                <c:pt idx="43">
                  <c:v>0.42499999999999999</c:v>
                </c:pt>
                <c:pt idx="44">
                  <c:v>0.435</c:v>
                </c:pt>
                <c:pt idx="45">
                  <c:v>0.44500000000000001</c:v>
                </c:pt>
                <c:pt idx="46">
                  <c:v>0.45500000000000002</c:v>
                </c:pt>
                <c:pt idx="47">
                  <c:v>0.46500000000000002</c:v>
                </c:pt>
                <c:pt idx="48">
                  <c:v>0.47499999999999998</c:v>
                </c:pt>
                <c:pt idx="49">
                  <c:v>0.48499999999999999</c:v>
                </c:pt>
                <c:pt idx="50">
                  <c:v>0.495</c:v>
                </c:pt>
                <c:pt idx="51">
                  <c:v>0.505</c:v>
                </c:pt>
                <c:pt idx="52">
                  <c:v>0.51500000000000001</c:v>
                </c:pt>
                <c:pt idx="53">
                  <c:v>0.52500000000000002</c:v>
                </c:pt>
                <c:pt idx="54">
                  <c:v>0.53500000000000003</c:v>
                </c:pt>
                <c:pt idx="55">
                  <c:v>0.54500000000000004</c:v>
                </c:pt>
                <c:pt idx="56">
                  <c:v>0.55500000000000005</c:v>
                </c:pt>
                <c:pt idx="57">
                  <c:v>0.56499999999999995</c:v>
                </c:pt>
                <c:pt idx="58">
                  <c:v>0.57499999999999996</c:v>
                </c:pt>
                <c:pt idx="59">
                  <c:v>0.58499999999999996</c:v>
                </c:pt>
                <c:pt idx="60">
                  <c:v>0.59499999999999997</c:v>
                </c:pt>
                <c:pt idx="61">
                  <c:v>0.60499999999999998</c:v>
                </c:pt>
                <c:pt idx="62">
                  <c:v>0.61499999999999999</c:v>
                </c:pt>
                <c:pt idx="63">
                  <c:v>0.625</c:v>
                </c:pt>
                <c:pt idx="64">
                  <c:v>0.63500000000000001</c:v>
                </c:pt>
                <c:pt idx="65">
                  <c:v>0.64500000000000002</c:v>
                </c:pt>
                <c:pt idx="66">
                  <c:v>0.65500000000000003</c:v>
                </c:pt>
                <c:pt idx="67">
                  <c:v>0.66500000000000004</c:v>
                </c:pt>
                <c:pt idx="68">
                  <c:v>0.67500000000000004</c:v>
                </c:pt>
                <c:pt idx="69">
                  <c:v>0.68500000000000005</c:v>
                </c:pt>
                <c:pt idx="70">
                  <c:v>0.69499999999999995</c:v>
                </c:pt>
                <c:pt idx="71">
                  <c:v>0.70499999999999996</c:v>
                </c:pt>
                <c:pt idx="72">
                  <c:v>0.71499999999999997</c:v>
                </c:pt>
                <c:pt idx="73">
                  <c:v>0.72499999999999998</c:v>
                </c:pt>
                <c:pt idx="74">
                  <c:v>0.73499999999999999</c:v>
                </c:pt>
                <c:pt idx="75">
                  <c:v>0.745</c:v>
                </c:pt>
                <c:pt idx="76">
                  <c:v>0.755</c:v>
                </c:pt>
                <c:pt idx="77">
                  <c:v>0.76500000000000001</c:v>
                </c:pt>
                <c:pt idx="78">
                  <c:v>0.77500000000000002</c:v>
                </c:pt>
                <c:pt idx="79">
                  <c:v>0.78500000000000003</c:v>
                </c:pt>
                <c:pt idx="80">
                  <c:v>0.79500000000000004</c:v>
                </c:pt>
                <c:pt idx="81">
                  <c:v>0.80500000000000005</c:v>
                </c:pt>
                <c:pt idx="82">
                  <c:v>0.81499999999999995</c:v>
                </c:pt>
                <c:pt idx="83">
                  <c:v>0.82499999999999996</c:v>
                </c:pt>
                <c:pt idx="84">
                  <c:v>0.83499999999999996</c:v>
                </c:pt>
                <c:pt idx="85">
                  <c:v>0.84499999999999997</c:v>
                </c:pt>
                <c:pt idx="86">
                  <c:v>0.85499999999999998</c:v>
                </c:pt>
                <c:pt idx="87">
                  <c:v>0.86499999999999999</c:v>
                </c:pt>
                <c:pt idx="88">
                  <c:v>0.875</c:v>
                </c:pt>
                <c:pt idx="89">
                  <c:v>0.88500000000000001</c:v>
                </c:pt>
                <c:pt idx="90">
                  <c:v>0.89500000000000002</c:v>
                </c:pt>
                <c:pt idx="91">
                  <c:v>0.90500000000000003</c:v>
                </c:pt>
                <c:pt idx="92">
                  <c:v>0.91500000000000004</c:v>
                </c:pt>
                <c:pt idx="93">
                  <c:v>0.92500000000000004</c:v>
                </c:pt>
                <c:pt idx="94">
                  <c:v>0.93500000000000005</c:v>
                </c:pt>
                <c:pt idx="95">
                  <c:v>0.94499999999999995</c:v>
                </c:pt>
                <c:pt idx="96">
                  <c:v>0.95499999999999996</c:v>
                </c:pt>
                <c:pt idx="97">
                  <c:v>0.96499999999999997</c:v>
                </c:pt>
                <c:pt idx="98">
                  <c:v>0.97499999999999998</c:v>
                </c:pt>
                <c:pt idx="99">
                  <c:v>0.98499999999999999</c:v>
                </c:pt>
                <c:pt idx="100">
                  <c:v>0.995</c:v>
                </c:pt>
                <c:pt idx="101">
                  <c:v>1</c:v>
                </c:pt>
              </c:numCache>
            </c:numRef>
          </c:xVal>
          <c:yVal>
            <c:numRef>
              <c:f>Sheet1!$B$2:$B$103</c:f>
              <c:numCache>
                <c:formatCode>General</c:formatCode>
                <c:ptCount val="102"/>
                <c:pt idx="0">
                  <c:v>1.4867195147342977E-5</c:v>
                </c:pt>
                <c:pt idx="1">
                  <c:v>1.9066009031228175E-5</c:v>
                </c:pt>
                <c:pt idx="2">
                  <c:v>3.112175579148944E-5</c:v>
                </c:pt>
                <c:pt idx="3">
                  <c:v>5.029507288592463E-5</c:v>
                </c:pt>
                <c:pt idx="4">
                  <c:v>8.0471824564923227E-5</c:v>
                </c:pt>
                <c:pt idx="5">
                  <c:v>1.2747332381833466E-4</c:v>
                </c:pt>
                <c:pt idx="6">
                  <c:v>1.999179670692279E-4</c:v>
                </c:pt>
                <c:pt idx="7">
                  <c:v>3.1041407057850269E-4</c:v>
                </c:pt>
                <c:pt idx="8">
                  <c:v>4.7718636541204946E-4</c:v>
                </c:pt>
                <c:pt idx="9">
                  <c:v>7.2625930302252584E-4</c:v>
                </c:pt>
                <c:pt idx="10">
                  <c:v>1.0943404343980053E-3</c:v>
                </c:pt>
                <c:pt idx="11">
                  <c:v>1.6325640876624198E-3</c:v>
                </c:pt>
                <c:pt idx="12">
                  <c:v>2.4112658022599322E-3</c:v>
                </c:pt>
                <c:pt idx="13">
                  <c:v>3.5259568236744535E-3</c:v>
                </c:pt>
                <c:pt idx="14">
                  <c:v>5.1046497434418551E-3</c:v>
                </c:pt>
                <c:pt idx="15">
                  <c:v>7.3166446283031081E-3</c:v>
                </c:pt>
                <c:pt idx="16">
                  <c:v>1.0382812956614121E-2</c:v>
                </c:pt>
                <c:pt idx="17">
                  <c:v>1.4587308046667472E-2</c:v>
                </c:pt>
                <c:pt idx="18">
                  <c:v>2.029048057299768E-2</c:v>
                </c:pt>
                <c:pt idx="19">
                  <c:v>2.7942584148794466E-2</c:v>
                </c:pt>
                <c:pt idx="20">
                  <c:v>3.8097620982218097E-2</c:v>
                </c:pt>
                <c:pt idx="21">
                  <c:v>5.1426409230539386E-2</c:v>
                </c:pt>
                <c:pt idx="22">
                  <c:v>6.8727666906139698E-2</c:v>
                </c:pt>
                <c:pt idx="23">
                  <c:v>9.0935625015910515E-2</c:v>
                </c:pt>
                <c:pt idx="24">
                  <c:v>0.11912243607605179</c:v>
                </c:pt>
                <c:pt idx="25">
                  <c:v>0.15449347134395172</c:v>
                </c:pt>
                <c:pt idx="26">
                  <c:v>0.19837354391795337</c:v>
                </c:pt>
                <c:pt idx="27">
                  <c:v>0.25218219915194412</c:v>
                </c:pt>
                <c:pt idx="28">
                  <c:v>0.31739651835667448</c:v>
                </c:pt>
                <c:pt idx="29">
                  <c:v>0.39550041589370216</c:v>
                </c:pt>
                <c:pt idx="30">
                  <c:v>0.48792018579182761</c:v>
                </c:pt>
                <c:pt idx="31">
                  <c:v>0.59594706068816072</c:v>
                </c:pt>
                <c:pt idx="32">
                  <c:v>0.72064874336218021</c:v>
                </c:pt>
                <c:pt idx="33">
                  <c:v>0.86277318826511562</c:v>
                </c:pt>
                <c:pt idx="34">
                  <c:v>1.0226492456397807</c:v>
                </c:pt>
                <c:pt idx="35">
                  <c:v>1.2000900069698555</c:v>
                </c:pt>
                <c:pt idx="36">
                  <c:v>1.3943056644536023</c:v>
                </c:pt>
                <c:pt idx="37">
                  <c:v>1.6038332734191958</c:v>
                </c:pt>
                <c:pt idx="38">
                  <c:v>1.8264908538902189</c:v>
                </c:pt>
                <c:pt idx="39">
                  <c:v>2.0593626871997475</c:v>
                </c:pt>
                <c:pt idx="40">
                  <c:v>2.2988214068423307</c:v>
                </c:pt>
                <c:pt idx="41">
                  <c:v>2.5405905646918905</c:v>
                </c:pt>
                <c:pt idx="42">
                  <c:v>2.7798488613099646</c:v>
                </c:pt>
                <c:pt idx="43">
                  <c:v>3.0113743215480437</c:v>
                </c:pt>
                <c:pt idx="44">
                  <c:v>3.2297235966791429</c:v>
                </c:pt>
                <c:pt idx="45">
                  <c:v>3.4294385501938387</c:v>
                </c:pt>
                <c:pt idx="46">
                  <c:v>3.6052696246164797</c:v>
                </c:pt>
                <c:pt idx="47">
                  <c:v>3.7524034691693795</c:v>
                </c:pt>
                <c:pt idx="48">
                  <c:v>3.8666811680284918</c:v>
                </c:pt>
                <c:pt idx="49">
                  <c:v>3.9447933090788889</c:v>
                </c:pt>
                <c:pt idx="50">
                  <c:v>3.9844391409476403</c:v>
                </c:pt>
                <c:pt idx="51">
                  <c:v>3.9844391409476403</c:v>
                </c:pt>
                <c:pt idx="52">
                  <c:v>3.9447933090788889</c:v>
                </c:pt>
                <c:pt idx="53">
                  <c:v>3.8666811680284918</c:v>
                </c:pt>
                <c:pt idx="54">
                  <c:v>3.7524034691693782</c:v>
                </c:pt>
                <c:pt idx="55">
                  <c:v>3.6052696246164788</c:v>
                </c:pt>
                <c:pt idx="56">
                  <c:v>3.4294385501938378</c:v>
                </c:pt>
                <c:pt idx="57">
                  <c:v>3.2297235966791438</c:v>
                </c:pt>
                <c:pt idx="58">
                  <c:v>3.0113743215480451</c:v>
                </c:pt>
                <c:pt idx="59">
                  <c:v>2.7798488613099654</c:v>
                </c:pt>
                <c:pt idx="60">
                  <c:v>2.5405905646918905</c:v>
                </c:pt>
                <c:pt idx="61">
                  <c:v>2.2988214068423307</c:v>
                </c:pt>
                <c:pt idx="62">
                  <c:v>2.0593626871997475</c:v>
                </c:pt>
                <c:pt idx="63">
                  <c:v>1.8264908538902189</c:v>
                </c:pt>
                <c:pt idx="64">
                  <c:v>1.6038332734191958</c:v>
                </c:pt>
                <c:pt idx="65">
                  <c:v>1.3943056644536023</c:v>
                </c:pt>
                <c:pt idx="66">
                  <c:v>1.2000900069698555</c:v>
                </c:pt>
                <c:pt idx="67">
                  <c:v>1.0226492456397795</c:v>
                </c:pt>
                <c:pt idx="68">
                  <c:v>0.86277318826511429</c:v>
                </c:pt>
                <c:pt idx="69">
                  <c:v>0.72064874336217921</c:v>
                </c:pt>
                <c:pt idx="70">
                  <c:v>0.59594706068816128</c:v>
                </c:pt>
                <c:pt idx="71">
                  <c:v>0.48792018579182833</c:v>
                </c:pt>
                <c:pt idx="72">
                  <c:v>0.39550041589370255</c:v>
                </c:pt>
                <c:pt idx="73">
                  <c:v>0.31739651835667448</c:v>
                </c:pt>
                <c:pt idx="74">
                  <c:v>0.25218219915194412</c:v>
                </c:pt>
                <c:pt idx="75">
                  <c:v>0.19837354391795337</c:v>
                </c:pt>
                <c:pt idx="76">
                  <c:v>0.15449347134395172</c:v>
                </c:pt>
                <c:pt idx="77">
                  <c:v>0.11912243607605179</c:v>
                </c:pt>
                <c:pt idx="78">
                  <c:v>9.0935625015910515E-2</c:v>
                </c:pt>
                <c:pt idx="79">
                  <c:v>6.8727666906139698E-2</c:v>
                </c:pt>
                <c:pt idx="80">
                  <c:v>5.1426409230539386E-2</c:v>
                </c:pt>
                <c:pt idx="81">
                  <c:v>3.8097620982218035E-2</c:v>
                </c:pt>
                <c:pt idx="82">
                  <c:v>2.7942584148794521E-2</c:v>
                </c:pt>
                <c:pt idx="83">
                  <c:v>2.0290480572997715E-2</c:v>
                </c:pt>
                <c:pt idx="84">
                  <c:v>1.4587308046667472E-2</c:v>
                </c:pt>
                <c:pt idx="85">
                  <c:v>1.0382812956614121E-2</c:v>
                </c:pt>
                <c:pt idx="86">
                  <c:v>7.3166446283031081E-3</c:v>
                </c:pt>
                <c:pt idx="87">
                  <c:v>5.1046497434418551E-3</c:v>
                </c:pt>
                <c:pt idx="88">
                  <c:v>3.5259568236744535E-3</c:v>
                </c:pt>
                <c:pt idx="89">
                  <c:v>2.4112658022599322E-3</c:v>
                </c:pt>
                <c:pt idx="90">
                  <c:v>1.6325640876624198E-3</c:v>
                </c:pt>
                <c:pt idx="91">
                  <c:v>1.0943404343980053E-3</c:v>
                </c:pt>
                <c:pt idx="92">
                  <c:v>7.2625930302252324E-4</c:v>
                </c:pt>
                <c:pt idx="93">
                  <c:v>4.7718636541204946E-4</c:v>
                </c:pt>
                <c:pt idx="94">
                  <c:v>3.1041407057850161E-4</c:v>
                </c:pt>
                <c:pt idx="95">
                  <c:v>1.9991796706922857E-4</c:v>
                </c:pt>
                <c:pt idx="96">
                  <c:v>1.2747332381833509E-4</c:v>
                </c:pt>
                <c:pt idx="97">
                  <c:v>8.0471824564923227E-5</c:v>
                </c:pt>
                <c:pt idx="98">
                  <c:v>5.029507288592463E-5</c:v>
                </c:pt>
                <c:pt idx="99">
                  <c:v>3.112175579148944E-5</c:v>
                </c:pt>
                <c:pt idx="100">
                  <c:v>1.9066009031228175E-5</c:v>
                </c:pt>
                <c:pt idx="101">
                  <c:v>1.4867195147342977E-5</c:v>
                </c:pt>
              </c:numCache>
            </c:numRef>
          </c:yVal>
          <c:smooth val="1"/>
          <c:extLst>
            <c:ext xmlns:c16="http://schemas.microsoft.com/office/drawing/2014/chart" uri="{C3380CC4-5D6E-409C-BE32-E72D297353CC}">
              <c16:uniqueId val="{00000000-8E8C-4799-906A-A920D7C0AD9E}"/>
            </c:ext>
          </c:extLst>
        </c:ser>
        <c:dLbls>
          <c:showLegendKey val="0"/>
          <c:showVal val="0"/>
          <c:showCatName val="0"/>
          <c:showSerName val="0"/>
          <c:showPercent val="0"/>
          <c:showBubbleSize val="0"/>
        </c:dLbls>
        <c:axId val="2100707935"/>
        <c:axId val="2100708767"/>
      </c:scatterChart>
      <c:valAx>
        <c:axId val="21007079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Cells with Habitat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708767"/>
        <c:crosses val="autoZero"/>
        <c:crossBetween val="midCat"/>
      </c:valAx>
      <c:valAx>
        <c:axId val="2100708767"/>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Point Buffers with Habitat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1007079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02402740198015"/>
          <c:y val="6.2118718211071067E-2"/>
          <c:w val="0.83724987079317792"/>
          <c:h val="0.82976170351587397"/>
        </c:manualLayout>
      </c:layout>
      <c:scatterChart>
        <c:scatterStyle val="lineMarker"/>
        <c:varyColors val="0"/>
        <c:ser>
          <c:idx val="0"/>
          <c:order val="0"/>
          <c:spPr>
            <a:ln w="19050" cap="rnd">
              <a:solidFill>
                <a:schemeClr val="accent1"/>
              </a:solidFill>
              <a:round/>
            </a:ln>
            <a:effectLst/>
          </c:spPr>
          <c:marker>
            <c:symbol val="none"/>
          </c:marker>
          <c:xVal>
            <c:numRef>
              <c:f>#REF!</c:f>
            </c:numRef>
          </c:xVal>
          <c:yVal>
            <c:numRef>
              <c:f>#REF!</c:f>
              <c:numCache>
                <c:formatCode>General</c:formatCode>
                <c:ptCount val="1"/>
                <c:pt idx="0">
                  <c:v>1</c:v>
                </c:pt>
              </c:numCache>
            </c:numRef>
          </c:yVal>
          <c:smooth val="0"/>
          <c:extLst>
            <c:ext xmlns:c15="http://schemas.microsoft.com/office/drawing/2012/chart" uri="{02D57815-91ED-43cb-92C2-25804820EDAC}">
              <c15:filteredSeriesTitle>
                <c15:tx>
                  <c:strRef>
                    <c:extLst>
                      <c:ext uri="{02D57815-91ED-43cb-92C2-25804820EDAC}">
                        <c15:formulaRef>
                          <c15:sqref>#REF!$B$1</c15:sqref>
                        </c15:formulaRef>
                      </c:ext>
                    </c:extLst>
                    <c:strCache>
                      <c:ptCount val="1"/>
                      <c:pt idx="0">
                        <c:v>#REF!</c:v>
                      </c:pt>
                    </c:strCache>
                  </c:strRef>
                </c15:tx>
              </c15:filteredSeriesTitle>
            </c:ext>
            <c:ext xmlns:c16="http://schemas.microsoft.com/office/drawing/2014/chart" uri="{C3380CC4-5D6E-409C-BE32-E72D297353CC}">
              <c16:uniqueId val="{00000000-101B-4EEF-AAFD-D8A6E289A60D}"/>
            </c:ext>
          </c:extLst>
        </c:ser>
        <c:dLbls>
          <c:showLegendKey val="0"/>
          <c:showVal val="0"/>
          <c:showCatName val="0"/>
          <c:showSerName val="0"/>
          <c:showPercent val="0"/>
          <c:showBubbleSize val="0"/>
        </c:dLbls>
        <c:axId val="1217112272"/>
        <c:axId val="1217115184"/>
      </c:scatterChart>
      <c:valAx>
        <c:axId val="1217112272"/>
        <c:scaling>
          <c:orientation val="minMax"/>
          <c:max val="25"/>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 Habitat in Range (model prevalence)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115184"/>
        <c:crosses val="autoZero"/>
        <c:crossBetween val="midCat"/>
      </c:valAx>
      <c:valAx>
        <c:axId val="1217115184"/>
        <c:scaling>
          <c:orientation val="minMax"/>
          <c:max val="2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u="none" strike="noStrike" baseline="0">
                    <a:effectLst/>
                  </a:rPr>
                  <a:t>x̅  % Habitat in Point Buffers</a:t>
                </a:r>
                <a:endParaRPr lang="en-US" sz="1200" baseline="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17112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0.75636</cdr:x>
      <cdr:y>0.68937</cdr:y>
    </cdr:from>
    <cdr:to>
      <cdr:x>0.81636</cdr:x>
      <cdr:y>0.79564</cdr:y>
    </cdr:to>
    <cdr:sp macro="" textlink="">
      <cdr:nvSpPr>
        <cdr:cNvPr id="2" name="Text Box 1"/>
        <cdr:cNvSpPr txBox="1"/>
      </cdr:nvSpPr>
      <cdr:spPr>
        <a:xfrm xmlns:a="http://schemas.openxmlformats.org/drawingml/2006/main">
          <a:off x="3962401" y="2409825"/>
          <a:ext cx="314324" cy="3714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600">
              <a:solidFill>
                <a:srgbClr val="FF0000"/>
              </a:solidFill>
            </a:rPr>
            <a:t>x</a:t>
          </a:r>
        </a:p>
      </cdr:txBody>
    </cdr:sp>
  </cdr:relSizeAnchor>
</c:userShapes>
</file>

<file path=word/drawings/drawing2.xml><?xml version="1.0" encoding="utf-8"?>
<c:userShapes xmlns:c="http://schemas.openxmlformats.org/drawingml/2006/chart">
  <cdr:relSizeAnchor xmlns:cdr="http://schemas.openxmlformats.org/drawingml/2006/chartDrawing">
    <cdr:from>
      <cdr:x>0.15737</cdr:x>
      <cdr:y>0.18734</cdr:y>
    </cdr:from>
    <cdr:to>
      <cdr:x>0.43629</cdr:x>
      <cdr:y>0.3562</cdr:y>
    </cdr:to>
    <cdr:sp macro="" textlink="">
      <cdr:nvSpPr>
        <cdr:cNvPr id="2" name="TextBox 1"/>
        <cdr:cNvSpPr txBox="1"/>
      </cdr:nvSpPr>
      <cdr:spPr>
        <a:xfrm xmlns:a="http://schemas.openxmlformats.org/drawingml/2006/main">
          <a:off x="776457" y="676293"/>
          <a:ext cx="1376194" cy="6095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Species models 'better than random'</a:t>
          </a:r>
        </a:p>
      </cdr:txBody>
    </cdr:sp>
  </cdr:relSizeAnchor>
  <cdr:relSizeAnchor xmlns:cdr="http://schemas.openxmlformats.org/drawingml/2006/chartDrawing">
    <cdr:from>
      <cdr:x>0.11197</cdr:x>
      <cdr:y>0.09235</cdr:y>
    </cdr:from>
    <cdr:to>
      <cdr:x>0.92278</cdr:x>
      <cdr:y>0.88654</cdr:y>
    </cdr:to>
    <cdr:cxnSp macro="">
      <cdr:nvCxnSpPr>
        <cdr:cNvPr id="4" name="Straight Connector 3"/>
        <cdr:cNvCxnSpPr/>
      </cdr:nvCxnSpPr>
      <cdr:spPr>
        <a:xfrm xmlns:a="http://schemas.openxmlformats.org/drawingml/2006/main" flipV="1">
          <a:off x="552450" y="333375"/>
          <a:ext cx="4000500" cy="2867026"/>
        </a:xfrm>
        <a:prstGeom xmlns:a="http://schemas.openxmlformats.org/drawingml/2006/main" prst="line">
          <a:avLst/>
        </a:prstGeom>
        <a:ln xmlns:a="http://schemas.openxmlformats.org/drawingml/2006/main">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2808</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75</cp:revision>
  <dcterms:created xsi:type="dcterms:W3CDTF">2018-10-08T18:14:00Z</dcterms:created>
  <dcterms:modified xsi:type="dcterms:W3CDTF">2018-11-29T18:13:00Z</dcterms:modified>
</cp:coreProperties>
</file>