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jc w:val="center"/>
      </w:pPr>
      <w:r>
        <w:rPr>
          <w:b/>
          <w:bCs/>
          <w:color w:val="1B998B"/>
          <w:sz w:val="26"/>
          <w:szCs w:val="26"/>
        </w:rPr>
        <w:t xml:space="preserve">MARKET VIABILITY STUDY</w:t>
      </w:r>
    </w:p>
    <w:p>
      <w:pPr>
        <w:spacing w:after="120"/>
        <w:jc w:val="center"/>
      </w:pPr>
      <w:r>
        <w:rPr>
          <w:b/>
          <w:bCs/>
          <w:color w:val="1F3A5F"/>
          <w:sz w:val="52"/>
          <w:szCs w:val="52"/>
        </w:rPr>
        <w:t xml:space="preserve">A Marketing Data, Reporting &amp; AI Insights Platform</w:t>
      </w:r>
    </w:p>
    <w:p>
      <w:pPr>
        <w:spacing w:after="320"/>
        <w:jc w:val="center"/>
      </w:pPr>
      <w:r>
        <w:rPr>
          <w:i/>
          <w:iCs/>
          <w:color w:val="5A5A5A"/>
          <w:sz w:val="24"/>
          <w:szCs w:val="24"/>
        </w:rPr>
        <w:t xml:space="preserve">Built in New Zealand, for NZ &amp; Australian agencies first — global by design</w:t>
      </w:r>
    </w:p>
    <w:p>
      <w:pPr>
        <w:spacing w:after="40"/>
        <w:jc w:val="center"/>
      </w:pPr>
      <w:r>
        <w:rPr>
          <w:color w:val="2E6CA8"/>
          <w:sz w:val="20"/>
          <w:szCs w:val="20"/>
        </w:rPr>
        <w:t xml:space="preserve">Barriers to Entry  •  SWOT  •  Porter's Five Forces  •  Market Sizing  •  Differentiation  •  Go / No-Go</w:t>
      </w:r>
    </w:p>
    <w:p>
      <w:pPr>
        <w:spacing w:after="20" w:before="900"/>
        <w:jc w:val="center"/>
      </w:pPr>
      <w:r>
        <w:rPr>
          <w:b/>
          <w:bCs/>
          <w:color w:val="1F3A5F"/>
          <w:sz w:val="22"/>
          <w:szCs w:val="22"/>
        </w:rPr>
        <w:t xml:space="preserve">Prepared for: Karan Kumar</w:t>
      </w:r>
    </w:p>
    <w:p>
      <w:pPr>
        <w:spacing w:after="20"/>
        <w:jc w:val="center"/>
      </w:pPr>
      <w:r>
        <w:rPr>
          <w:color w:val="5A5A5A"/>
          <w:sz w:val="20"/>
          <w:szCs w:val="20"/>
        </w:rPr>
        <w:t xml:space="preserve">Date: 29 May 2026</w:t>
      </w:r>
    </w:p>
    <w:p>
      <w:r>
        <w:br w:type="page"/>
      </w:r>
    </w:p>
    <w:p>
      <w:pPr>
        <w:pStyle w:val="Heading1"/>
        <w:spacing w:after="14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Executive Summary</w:t>
      </w:r>
    </w:p>
    <w:p>
      <w:pPr>
        <w:spacing w:after="140" w:line="276"/>
      </w:pPr>
      <w:r>
        <w:t xml:space="preserve">This study assesses the viability of building a marketing data aggregation, reporting and AI insights platform — competing in the same space as Funnel.io, Supermetrics and Catchr — with an initial focus on the New Zealand and Australian agency market and a long-term global ambition.</w:t>
      </w:r>
    </w:p>
    <w:p>
      <w:pPr>
        <w:spacing w:after="140" w:line="276"/>
      </w:pPr>
      <w:r>
        <w:t xml:space="preserve">The market is large and growing. The global marketing SaaS market is projected at roughly USD 80 billion in 2025, growing at about 15% per year. New Zealand online ad spend has passed NZD 2 billion for the first time, and Australia's digital ad market sits at roughly AUD 15–16 billion. Reporting remains one of the single biggest time sinks for agencies, and demand is shifting from "what happened" dashboards to "what should I do next" AI recommendations — exactly the gap this product targets.</w:t>
      </w:r>
    </w:p>
    <w:p>
      <w:pPr>
        <w:spacing w:after="140" w:line="276"/>
      </w:pPr>
      <w:r>
        <w:t xml:space="preserve">The opportunity is real but the category is crowded and maturing. Incumbents are well funded and entrenched, platform API access is the core technical moat, and pricing is under downward pressure from challengers like Catchr and DataSlayer. A new entrant cannot win on "another connector tool." It must win on a sharp wedge: AI-native insights and recommendations, a local NZ/AU trust-and-support advantage, agency-friendly all-inclusive pricing, and a genuinely fast time-to-first-report.</w:t>
      </w:r>
    </w:p>
    <w:tbl>
      <w:tblPr>
        <w:tblW w:type="pct" w:w="100%"/>
        <w:tblBorders>
          <w:top w:val="single" w:color="1B998B" w:sz="1"/>
          <w:left w:val="single" w:color="1B998B" w:sz="1"/>
          <w:bottom w:val="single" w:color="1B998B" w:sz="1"/>
          <w:right w:val="single" w:color="1B998B" w:sz="1"/>
          <w:insideH w:val="single" w:color="auto" w:sz="4"/>
          <w:insideV w:val="single" w:color="auto" w:sz="4"/>
        </w:tblBorders>
      </w:tblPr>
      <w:tblGrid>
        <w:gridCol w:w="100"/>
      </w:tblGrid>
      <w:tr>
        <w:tc>
          <w:tcPr>
            <w:shd w:fill="1B998B" w:val="clear"/>
            <w:tcMar>
              <w:top w:type="dxa" w:w="130"/>
              <w:left w:type="dxa" w:w="160"/>
              <w:bottom w:type="dxa" w:w="130"/>
              <w:right w:type="dxa" w:w="160"/>
            </w:tcMar>
          </w:tcPr>
          <w:p>
            <w:pPr>
              <w:spacing w:after="60"/>
            </w:pPr>
            <w:r>
              <w:rPr>
                <w:b/>
                <w:bCs/>
                <w:color w:val="FFFFFF"/>
                <w:sz w:val="21"/>
                <w:szCs w:val="21"/>
              </w:rPr>
              <w:t xml:space="preserve">Bottom line — conditional GO</w:t>
            </w:r>
          </w:p>
          <w:p>
            <w:pPr>
              <w:spacing w:after="40" w:line="264"/>
            </w:pPr>
            <w:r>
              <w:rPr>
                <w:color w:val="FFFFFF"/>
                <w:sz w:val="20"/>
                <w:szCs w:val="20"/>
              </w:rPr>
              <w:t xml:space="preserve">The market is big, growing and has a clear, under-served pain (turning data into decisions). A focused NZ/AU-first entry with an AI-recommendations wedge and transparent agency pricing is viable as a niche-to-regional play.</w:t>
            </w:r>
          </w:p>
          <w:p>
            <w:pPr>
              <w:spacing w:after="40" w:line="264"/>
            </w:pPr>
            <w:r>
              <w:rPr>
                <w:color w:val="FFFFFF"/>
                <w:sz w:val="20"/>
                <w:szCs w:val="20"/>
              </w:rPr>
              <w:t xml:space="preserve">It is NOT viable as a "me-too" connector ETL tool, and it is not a fundable venture-scale bet on day one. Treat it as a lean, revenue-funded SaaS targeting a defensible regional niche, then expand.</w:t>
            </w:r>
          </w:p>
          <w:p>
            <w:pPr>
              <w:spacing w:after="40" w:line="264"/>
            </w:pPr>
            <w:r>
              <w:rPr>
                <w:color w:val="FFFFFF"/>
                <w:sz w:val="20"/>
                <w:szCs w:val="20"/>
              </w:rPr>
              <w:t xml:space="preserve">Recommended next step: validate with 10–15 NZ/AU agencies and ship a narrow MVP (4–5 connectors + templated reports + AI summary) before any heavy build.</w:t>
            </w:r>
          </w:p>
        </w:tc>
      </w:tr>
    </w:tbl>
    <w:p>
      <w:pPr>
        <w:spacing w:after="80"/>
      </w:pPr>
    </w:p>
    <w:p>
      <w:pPr>
        <w:pStyle w:val="Heading2"/>
        <w:spacing w:after="100" w:before="240"/>
      </w:pPr>
      <w: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56"/>
        <w:gridCol w:w="20"/>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Dimension</w:t>
            </w:r>
          </w:p>
        </w:tc>
        <w:tc>
          <w:tcPr>
            <w:shd w:fill="1F3A5F" w:val="clear"/>
            <w:tcMar>
              <w:top w:type="dxa" w:w="70"/>
              <w:left w:type="dxa" w:w="110"/>
              <w:bottom w:type="dxa" w:w="70"/>
              <w:right w:type="dxa" w:w="110"/>
            </w:tcMar>
          </w:tcPr>
          <w:p>
            <w:pPr>
              <w:spacing w:after="30" w:line="250"/>
            </w:pPr>
            <w:r>
              <w:rPr>
                <w:b/>
                <w:bCs/>
                <w:color w:val="FFFFFF"/>
                <w:sz w:val="19"/>
                <w:szCs w:val="19"/>
              </w:rPr>
              <w:t xml:space="preserve">Finding</w:t>
            </w:r>
          </w:p>
        </w:tc>
        <w:tc>
          <w:tcPr>
            <w:shd w:fill="1F3A5F" w:val="clear"/>
            <w:tcMar>
              <w:top w:type="dxa" w:w="70"/>
              <w:left w:type="dxa" w:w="110"/>
              <w:bottom w:type="dxa" w:w="70"/>
              <w:right w:type="dxa" w:w="110"/>
            </w:tcMar>
          </w:tcPr>
          <w:p>
            <w:pPr>
              <w:spacing w:after="30" w:line="250"/>
            </w:pPr>
            <w:r>
              <w:rPr>
                <w:b/>
                <w:bCs/>
                <w:color w:val="FFFFFF"/>
                <w:sz w:val="19"/>
                <w:szCs w:val="19"/>
              </w:rPr>
              <w:t xml:space="preserve">Signal</w:t>
            </w:r>
          </w:p>
        </w:tc>
      </w:tr>
      <w:tr>
        <w:tc>
          <w:tcPr>
            <w:shd w:fill="FFFFFF" w:val="clear"/>
            <w:tcMar>
              <w:top w:type="dxa" w:w="70"/>
              <w:left w:type="dxa" w:w="110"/>
              <w:bottom w:type="dxa" w:w="70"/>
              <w:right w:type="dxa" w:w="110"/>
            </w:tcMar>
          </w:tcPr>
          <w:p>
            <w:pPr>
              <w:spacing w:after="30" w:line="250"/>
            </w:pPr>
            <w:r>
              <w:rPr>
                <w:sz w:val="19"/>
                <w:szCs w:val="19"/>
              </w:rPr>
              <w:t xml:space="preserve">Market size</w:t>
            </w:r>
          </w:p>
        </w:tc>
        <w:tc>
          <w:tcPr>
            <w:shd w:fill="FFFFFF" w:val="clear"/>
            <w:tcMar>
              <w:top w:type="dxa" w:w="70"/>
              <w:left w:type="dxa" w:w="110"/>
              <w:bottom w:type="dxa" w:w="70"/>
              <w:right w:type="dxa" w:w="110"/>
            </w:tcMar>
          </w:tcPr>
          <w:p>
            <w:pPr>
              <w:spacing w:after="30" w:line="250"/>
            </w:pPr>
            <w:r>
              <w:rPr>
                <w:sz w:val="19"/>
                <w:szCs w:val="19"/>
              </w:rPr>
              <w:t xml:space="preserve">Global marketing SaaS ~USD 80B (2025), ~15% CAGR; NZ online ad spend &gt;NZD 2B; AU digital ~AUD 15–16B.</w:t>
            </w:r>
          </w:p>
        </w:tc>
        <w:tc>
          <w:tcPr>
            <w:shd w:fill="FFFFFF" w:val="clear"/>
            <w:tcMar>
              <w:top w:type="dxa" w:w="70"/>
              <w:left w:type="dxa" w:w="110"/>
              <w:bottom w:type="dxa" w:w="70"/>
              <w:right w:type="dxa" w:w="110"/>
            </w:tcMar>
          </w:tcPr>
          <w:p>
            <w:pPr>
              <w:spacing w:after="30" w:line="250"/>
            </w:pPr>
            <w:r>
              <w:rPr>
                <w:sz w:val="19"/>
                <w:szCs w:val="19"/>
              </w:rPr>
              <w:t xml:space="preserve">Positive</w:t>
            </w:r>
          </w:p>
        </w:tc>
      </w:tr>
      <w:tr>
        <w:tc>
          <w:tcPr>
            <w:shd w:fill="EEF3F8" w:val="clear"/>
            <w:tcMar>
              <w:top w:type="dxa" w:w="70"/>
              <w:left w:type="dxa" w:w="110"/>
              <w:bottom w:type="dxa" w:w="70"/>
              <w:right w:type="dxa" w:w="110"/>
            </w:tcMar>
          </w:tcPr>
          <w:p>
            <w:pPr>
              <w:spacing w:after="30" w:line="250"/>
            </w:pPr>
            <w:r>
              <w:rPr>
                <w:sz w:val="19"/>
                <w:szCs w:val="19"/>
              </w:rPr>
              <w:t xml:space="preserve">Demand / pain</w:t>
            </w:r>
          </w:p>
        </w:tc>
        <w:tc>
          <w:tcPr>
            <w:shd w:fill="EEF3F8" w:val="clear"/>
            <w:tcMar>
              <w:top w:type="dxa" w:w="70"/>
              <w:left w:type="dxa" w:w="110"/>
              <w:bottom w:type="dxa" w:w="70"/>
              <w:right w:type="dxa" w:w="110"/>
            </w:tcMar>
          </w:tcPr>
          <w:p>
            <w:pPr>
              <w:spacing w:after="30" w:line="250"/>
            </w:pPr>
            <w:r>
              <w:rPr>
                <w:sz w:val="19"/>
                <w:szCs w:val="19"/>
              </w:rPr>
              <w:t xml:space="preserve">Reporting is a top agency time sink; clear shift to AI insights &amp; recommendations.</w:t>
            </w:r>
          </w:p>
        </w:tc>
        <w:tc>
          <w:tcPr>
            <w:shd w:fill="EEF3F8" w:val="clear"/>
            <w:tcMar>
              <w:top w:type="dxa" w:w="70"/>
              <w:left w:type="dxa" w:w="110"/>
              <w:bottom w:type="dxa" w:w="70"/>
              <w:right w:type="dxa" w:w="110"/>
            </w:tcMar>
          </w:tcPr>
          <w:p>
            <w:pPr>
              <w:spacing w:after="30" w:line="250"/>
            </w:pPr>
            <w:r>
              <w:rPr>
                <w:sz w:val="19"/>
                <w:szCs w:val="19"/>
              </w:rPr>
              <w:t xml:space="preserve">Positive</w:t>
            </w:r>
          </w:p>
        </w:tc>
      </w:tr>
      <w:tr>
        <w:tc>
          <w:tcPr>
            <w:shd w:fill="FFFFFF" w:val="clear"/>
            <w:tcMar>
              <w:top w:type="dxa" w:w="70"/>
              <w:left w:type="dxa" w:w="110"/>
              <w:bottom w:type="dxa" w:w="70"/>
              <w:right w:type="dxa" w:w="110"/>
            </w:tcMar>
          </w:tcPr>
          <w:p>
            <w:pPr>
              <w:spacing w:after="30" w:line="250"/>
            </w:pPr>
            <w:r>
              <w:rPr>
                <w:sz w:val="19"/>
                <w:szCs w:val="19"/>
              </w:rPr>
              <w:t xml:space="preserve">Competition</w:t>
            </w:r>
          </w:p>
        </w:tc>
        <w:tc>
          <w:tcPr>
            <w:shd w:fill="FFFFFF" w:val="clear"/>
            <w:tcMar>
              <w:top w:type="dxa" w:w="70"/>
              <w:left w:type="dxa" w:w="110"/>
              <w:bottom w:type="dxa" w:w="70"/>
              <w:right w:type="dxa" w:w="110"/>
            </w:tcMar>
          </w:tcPr>
          <w:p>
            <w:pPr>
              <w:spacing w:after="30" w:line="250"/>
            </w:pPr>
            <w:r>
              <w:rPr>
                <w:sz w:val="19"/>
                <w:szCs w:val="19"/>
              </w:rPr>
              <w:t xml:space="preserve">Crowded: Funnel, Supermetrics, Catchr, AgencyAnalytics, Whatagraph, Improvado, DataSlayer, Swydo.</w:t>
            </w:r>
          </w:p>
        </w:tc>
        <w:tc>
          <w:tcPr>
            <w:shd w:fill="FFFFFF" w:val="clear"/>
            <w:tcMar>
              <w:top w:type="dxa" w:w="70"/>
              <w:left w:type="dxa" w:w="110"/>
              <w:bottom w:type="dxa" w:w="70"/>
              <w:right w:type="dxa" w:w="110"/>
            </w:tcMar>
          </w:tcPr>
          <w:p>
            <w:pPr>
              <w:spacing w:after="30" w:line="250"/>
            </w:pPr>
            <w:r>
              <w:rPr>
                <w:sz w:val="19"/>
                <w:szCs w:val="19"/>
              </w:rPr>
              <w:t xml:space="preserve">Caution</w:t>
            </w:r>
          </w:p>
        </w:tc>
      </w:tr>
      <w:tr>
        <w:tc>
          <w:tcPr>
            <w:shd w:fill="EEF3F8" w:val="clear"/>
            <w:tcMar>
              <w:top w:type="dxa" w:w="70"/>
              <w:left w:type="dxa" w:w="110"/>
              <w:bottom w:type="dxa" w:w="70"/>
              <w:right w:type="dxa" w:w="110"/>
            </w:tcMar>
          </w:tcPr>
          <w:p>
            <w:pPr>
              <w:spacing w:after="30" w:line="250"/>
            </w:pPr>
            <w:r>
              <w:rPr>
                <w:sz w:val="19"/>
                <w:szCs w:val="19"/>
              </w:rPr>
              <w:t xml:space="preserve">Barriers to entry</w:t>
            </w:r>
          </w:p>
        </w:tc>
        <w:tc>
          <w:tcPr>
            <w:shd w:fill="EEF3F8" w:val="clear"/>
            <w:tcMar>
              <w:top w:type="dxa" w:w="70"/>
              <w:left w:type="dxa" w:w="110"/>
              <w:bottom w:type="dxa" w:w="70"/>
              <w:right w:type="dxa" w:w="110"/>
            </w:tcMar>
          </w:tcPr>
          <w:p>
            <w:pPr>
              <w:spacing w:after="30" w:line="250"/>
            </w:pPr>
            <w:r>
              <w:rPr>
                <w:sz w:val="19"/>
                <w:szCs w:val="19"/>
              </w:rPr>
              <w:t xml:space="preserve">Moderate-to-high: platform API access, data engineering, switching costs, brand trust.</w:t>
            </w:r>
          </w:p>
        </w:tc>
        <w:tc>
          <w:tcPr>
            <w:shd w:fill="EEF3F8" w:val="clear"/>
            <w:tcMar>
              <w:top w:type="dxa" w:w="70"/>
              <w:left w:type="dxa" w:w="110"/>
              <w:bottom w:type="dxa" w:w="70"/>
              <w:right w:type="dxa" w:w="110"/>
            </w:tcMar>
          </w:tcPr>
          <w:p>
            <w:pPr>
              <w:spacing w:after="30" w:line="250"/>
            </w:pPr>
            <w:r>
              <w:rPr>
                <w:sz w:val="19"/>
                <w:szCs w:val="19"/>
              </w:rPr>
              <w:t xml:space="preserve">Caution</w:t>
            </w:r>
          </w:p>
        </w:tc>
      </w:tr>
      <w:tr>
        <w:tc>
          <w:tcPr>
            <w:shd w:fill="FFFFFF" w:val="clear"/>
            <w:tcMar>
              <w:top w:type="dxa" w:w="70"/>
              <w:left w:type="dxa" w:w="110"/>
              <w:bottom w:type="dxa" w:w="70"/>
              <w:right w:type="dxa" w:w="110"/>
            </w:tcMar>
          </w:tcPr>
          <w:p>
            <w:pPr>
              <w:spacing w:after="30" w:line="250"/>
            </w:pPr>
            <w:r>
              <w:rPr>
                <w:sz w:val="19"/>
                <w:szCs w:val="19"/>
              </w:rPr>
              <w:t xml:space="preserve">Differentiation</w:t>
            </w:r>
          </w:p>
        </w:tc>
        <w:tc>
          <w:tcPr>
            <w:shd w:fill="FFFFFF" w:val="clear"/>
            <w:tcMar>
              <w:top w:type="dxa" w:w="70"/>
              <w:left w:type="dxa" w:w="110"/>
              <w:bottom w:type="dxa" w:w="70"/>
              <w:right w:type="dxa" w:w="110"/>
            </w:tcMar>
          </w:tcPr>
          <w:p>
            <w:pPr>
              <w:spacing w:after="30" w:line="250"/>
            </w:pPr>
            <w:r>
              <w:rPr>
                <w:sz w:val="19"/>
                <w:szCs w:val="19"/>
              </w:rPr>
              <w:t xml:space="preserve">Achievable via AI-native recommendations + local NZ/AU trust + agency-fair pricing.</w:t>
            </w:r>
          </w:p>
        </w:tc>
        <w:tc>
          <w:tcPr>
            <w:shd w:fill="FFFFFF" w:val="clear"/>
            <w:tcMar>
              <w:top w:type="dxa" w:w="70"/>
              <w:left w:type="dxa" w:w="110"/>
              <w:bottom w:type="dxa" w:w="70"/>
              <w:right w:type="dxa" w:w="110"/>
            </w:tcMar>
          </w:tcPr>
          <w:p>
            <w:pPr>
              <w:spacing w:after="30" w:line="250"/>
            </w:pPr>
            <w:r>
              <w:rPr>
                <w:sz w:val="19"/>
                <w:szCs w:val="19"/>
              </w:rPr>
              <w:t xml:space="preserve">Positive</w:t>
            </w:r>
          </w:p>
        </w:tc>
      </w:tr>
      <w:tr>
        <w:tc>
          <w:tcPr>
            <w:shd w:fill="EEF3F8" w:val="clear"/>
            <w:tcMar>
              <w:top w:type="dxa" w:w="70"/>
              <w:left w:type="dxa" w:w="110"/>
              <w:bottom w:type="dxa" w:w="70"/>
              <w:right w:type="dxa" w:w="110"/>
            </w:tcMar>
          </w:tcPr>
          <w:p>
            <w:pPr>
              <w:spacing w:after="30" w:line="250"/>
            </w:pPr>
            <w:r>
              <w:rPr>
                <w:sz w:val="19"/>
                <w:szCs w:val="19"/>
              </w:rPr>
              <w:t xml:space="preserve">Capital intensity</w:t>
            </w:r>
          </w:p>
        </w:tc>
        <w:tc>
          <w:tcPr>
            <w:shd w:fill="EEF3F8" w:val="clear"/>
            <w:tcMar>
              <w:top w:type="dxa" w:w="70"/>
              <w:left w:type="dxa" w:w="110"/>
              <w:bottom w:type="dxa" w:w="70"/>
              <w:right w:type="dxa" w:w="110"/>
            </w:tcMar>
          </w:tcPr>
          <w:p>
            <w:pPr>
              <w:spacing w:after="30" w:line="250"/>
            </w:pPr>
            <w:r>
              <w:rPr>
                <w:sz w:val="19"/>
                <w:szCs w:val="19"/>
              </w:rPr>
              <w:t xml:space="preserve">Lean MVP feasible; scaling data infra &amp; connector maintenance is the ongoing cost.</w:t>
            </w:r>
          </w:p>
        </w:tc>
        <w:tc>
          <w:tcPr>
            <w:shd w:fill="EEF3F8" w:val="clear"/>
            <w:tcMar>
              <w:top w:type="dxa" w:w="70"/>
              <w:left w:type="dxa" w:w="110"/>
              <w:bottom w:type="dxa" w:w="70"/>
              <w:right w:type="dxa" w:w="110"/>
            </w:tcMar>
          </w:tcPr>
          <w:p>
            <w:pPr>
              <w:spacing w:after="30" w:line="250"/>
            </w:pPr>
            <w:r>
              <w:rPr>
                <w:sz w:val="19"/>
                <w:szCs w:val="19"/>
              </w:rPr>
              <w:t xml:space="preserve">Neutral</w:t>
            </w:r>
          </w:p>
        </w:tc>
      </w:tr>
      <w:tr>
        <w:tc>
          <w:tcPr>
            <w:shd w:fill="FFFFFF" w:val="clear"/>
            <w:tcMar>
              <w:top w:type="dxa" w:w="70"/>
              <w:left w:type="dxa" w:w="110"/>
              <w:bottom w:type="dxa" w:w="70"/>
              <w:right w:type="dxa" w:w="110"/>
            </w:tcMar>
          </w:tcPr>
          <w:p>
            <w:pPr>
              <w:spacing w:after="30" w:line="250"/>
            </w:pPr>
            <w:r>
              <w:rPr>
                <w:sz w:val="19"/>
                <w:szCs w:val="19"/>
              </w:rPr>
              <w:t xml:space="preserve">Overall viability</w:t>
            </w:r>
          </w:p>
        </w:tc>
        <w:tc>
          <w:tcPr>
            <w:shd w:fill="FFFFFF" w:val="clear"/>
            <w:tcMar>
              <w:top w:type="dxa" w:w="70"/>
              <w:left w:type="dxa" w:w="110"/>
              <w:bottom w:type="dxa" w:w="70"/>
              <w:right w:type="dxa" w:w="110"/>
            </w:tcMar>
          </w:tcPr>
          <w:p>
            <w:pPr>
              <w:spacing w:after="30" w:line="250"/>
            </w:pPr>
            <w:r>
              <w:rPr>
                <w:sz w:val="19"/>
                <w:szCs w:val="19"/>
              </w:rPr>
              <w:t xml:space="preserve">Viable as a focused regional niche play; high risk as a broad horizontal ETL competitor.</w:t>
            </w:r>
          </w:p>
        </w:tc>
        <w:tc>
          <w:tcPr>
            <w:shd w:fill="FFFFFF" w:val="clear"/>
            <w:tcMar>
              <w:top w:type="dxa" w:w="70"/>
              <w:left w:type="dxa" w:w="110"/>
              <w:bottom w:type="dxa" w:w="70"/>
              <w:right w:type="dxa" w:w="110"/>
            </w:tcMar>
          </w:tcPr>
          <w:p>
            <w:pPr>
              <w:spacing w:after="30" w:line="250"/>
            </w:pPr>
            <w:r>
              <w:rPr>
                <w:sz w:val="19"/>
                <w:szCs w:val="19"/>
              </w:rPr>
              <w:t xml:space="preserve">Conditional GO</w:t>
            </w:r>
          </w:p>
        </w:tc>
      </w:tr>
    </w:tbl>
    <w:p>
      <w:r>
        <w:br w:type="page"/>
      </w:r>
    </w:p>
    <w:p>
      <w:pPr>
        <w:pStyle w:val="Heading1"/>
        <w:spacing w:after="140" w:before="320"/>
      </w:pPr>
      <w:r>
        <w:t xml:space="preserve">2. The Product Concept</w:t>
      </w:r>
    </w:p>
    <w:p>
      <w:pPr>
        <w:spacing w:after="140" w:line="276"/>
      </w:pPr>
      <w:r>
        <w:t xml:space="preserve">The proposed platform pulls marketing performance data from the major paid and organic channels — Facebook / Instagram (Meta), Google Ads, LinkedIn and TikTok — and consolidates it into templated, white-labelled client reports. On top of that data layer sits the differentiator: an AI engine that writes plain-English summaries and concrete optimisation recommendations an agency can act on or forward to a client.</w:t>
      </w:r>
    </w:p>
    <w:p>
      <w:pPr>
        <w:pStyle w:val="Heading2"/>
        <w:spacing w:after="100" w:before="240"/>
      </w:pPr>
      <w:r>
        <w:t xml:space="preserve">Core value proposition</w:t>
      </w:r>
    </w:p>
    <w:p>
      <w:pPr>
        <w:pStyle w:val="ListParagraph"/>
        <w:numPr>
          <w:ilvl w:val="0"/>
          <w:numId w:val="1"/>
        </w:numPr>
        <w:spacing w:after="80" w:line="268"/>
      </w:pPr>
      <w:r>
        <w:rPr>
          <w:b/>
          <w:bCs/>
        </w:rPr>
        <w:t xml:space="preserve">Save time: </w:t>
      </w:r>
      <w:r>
        <w:t xml:space="preserve">automate the manual, repetitive reporting that consumes agency hours every month.</w:t>
      </w:r>
    </w:p>
    <w:p>
      <w:pPr>
        <w:pStyle w:val="ListParagraph"/>
        <w:numPr>
          <w:ilvl w:val="0"/>
          <w:numId w:val="1"/>
        </w:numPr>
        <w:spacing w:after="80" w:line="268"/>
      </w:pPr>
      <w:r>
        <w:rPr>
          <w:b/>
          <w:bCs/>
        </w:rPr>
        <w:t xml:space="preserve">Add intelligence: </w:t>
      </w:r>
      <w:r>
        <w:t xml:space="preserve">go beyond charts to AI-generated narrative, anomaly flags and recommended next actions.</w:t>
      </w:r>
    </w:p>
    <w:p>
      <w:pPr>
        <w:pStyle w:val="ListParagraph"/>
        <w:numPr>
          <w:ilvl w:val="0"/>
          <w:numId w:val="1"/>
        </w:numPr>
        <w:spacing w:after="80" w:line="268"/>
      </w:pPr>
      <w:r>
        <w:rPr>
          <w:b/>
          <w:bCs/>
        </w:rPr>
        <w:t xml:space="preserve">Look professional: </w:t>
      </w:r>
      <w:r>
        <w:t xml:space="preserve">white-label templates an agency can put their own brand on and send to clients.</w:t>
      </w:r>
    </w:p>
    <w:p>
      <w:pPr>
        <w:pStyle w:val="ListParagraph"/>
        <w:numPr>
          <w:ilvl w:val="0"/>
          <w:numId w:val="1"/>
        </w:numPr>
        <w:spacing w:after="80" w:line="268"/>
      </w:pPr>
      <w:r>
        <w:rPr>
          <w:b/>
          <w:bCs/>
        </w:rPr>
        <w:t xml:space="preserve">Stay local: </w:t>
      </w:r>
      <w:r>
        <w:t xml:space="preserve">NZ-built, NZ/AU support, local data-handling assurances and "support a local company" sentiment.</w:t>
      </w:r>
    </w:p>
    <w:p>
      <w:pPr>
        <w:pStyle w:val="Heading2"/>
        <w:spacing w:after="100" w:before="240"/>
      </w:pPr>
      <w:r>
        <w:t xml:space="preserve">Who it is for</w:t>
      </w:r>
    </w:p>
    <w:p>
      <w:pPr>
        <w:spacing w:after="140" w:line="276"/>
      </w:pPr>
      <w:r>
        <w:t xml:space="preserve">The primary buyer is the small-to-mid-size digital / performance marketing agency in NZ and AU that manages multiple client accounts across several ad platforms and currently stitches reports together manually or pays for an expensive incumbent. Secondary buyers are in-house marketing teams and freelancers who manage multiple brands or channels.</w:t>
      </w:r>
    </w:p>
    <w:p>
      <w:r>
        <w:br w:type="page"/>
      </w:r>
    </w:p>
    <w:p>
      <w:pPr>
        <w:pStyle w:val="Heading1"/>
        <w:spacing w:after="140" w:before="320"/>
      </w:pPr>
      <w:r>
        <w:t xml:space="preserve">3. Market Opportunity &amp; Sizing</w:t>
      </w:r>
    </w:p>
    <w:p>
      <w:pPr>
        <w:spacing w:after="140" w:line="276"/>
      </w:pPr>
      <w:r>
        <w:t xml:space="preserve">Market sizing here is directional, not audited. It blends published ad-spend and SaaS market figures with structural estimates of agency counts. Use it to gauge order of magnitude and to frame a realistic share-of-market target, not as a precise forecast.</w:t>
      </w:r>
    </w:p>
    <w:p>
      <w:pPr>
        <w:pStyle w:val="Heading2"/>
        <w:spacing w:after="100" w:before="240"/>
      </w:pPr>
      <w:r>
        <w:t xml:space="preserve">3.1 Macro market</w:t>
      </w:r>
    </w:p>
    <w:p>
      <w:pPr>
        <w:pStyle w:val="ListParagraph"/>
        <w:numPr>
          <w:ilvl w:val="0"/>
          <w:numId w:val="1"/>
        </w:numPr>
        <w:spacing w:after="80" w:line="268"/>
      </w:pPr>
      <w:r>
        <w:rPr>
          <w:b/>
          <w:bCs/>
        </w:rPr>
        <w:t xml:space="preserve">Global marketing SaaS: </w:t>
      </w:r>
      <w:r>
        <w:t xml:space="preserve">~USD 80B in 2025, projected toward ~USD 290B by 2034 (~15.5% CAGR).</w:t>
      </w:r>
    </w:p>
    <w:p>
      <w:pPr>
        <w:pStyle w:val="ListParagraph"/>
        <w:numPr>
          <w:ilvl w:val="0"/>
          <w:numId w:val="1"/>
        </w:numPr>
        <w:spacing w:after="80" w:line="268"/>
      </w:pPr>
      <w:r>
        <w:rPr>
          <w:b/>
          <w:bCs/>
        </w:rPr>
        <w:t xml:space="preserve">New Zealand online ad spend: </w:t>
      </w:r>
      <w:r>
        <w:t xml:space="preserve">passed NZD 2B for the first time (of ~NZD 3.7B total ad spend) — digital is now the majority of spend.</w:t>
      </w:r>
    </w:p>
    <w:p>
      <w:pPr>
        <w:pStyle w:val="ListParagraph"/>
        <w:numPr>
          <w:ilvl w:val="0"/>
          <w:numId w:val="1"/>
        </w:numPr>
        <w:spacing w:after="80" w:line="268"/>
      </w:pPr>
      <w:r>
        <w:rPr>
          <w:b/>
          <w:bCs/>
        </w:rPr>
        <w:t xml:space="preserve">Australia digital ad spend: </w:t>
      </w:r>
      <w:r>
        <w:t xml:space="preserve">roughly AUD 15–16B annually (IAB/PwC), one of the larger APAC markets.</w:t>
      </w:r>
    </w:p>
    <w:p>
      <w:pPr>
        <w:pStyle w:val="ListParagraph"/>
        <w:numPr>
          <w:ilvl w:val="0"/>
          <w:numId w:val="1"/>
        </w:numPr>
        <w:spacing w:after="80" w:line="268"/>
      </w:pPr>
      <w:r>
        <w:rPr>
          <w:b/>
          <w:bCs/>
        </w:rPr>
        <w:t xml:space="preserve">Structural tailwind: </w:t>
      </w:r>
      <w:r>
        <w:t xml:space="preserve">~55% of businesses report difficulty integrating multiple SaaS tools — the exact friction this product removes.</w:t>
      </w:r>
    </w:p>
    <w:p>
      <w:pPr>
        <w:pStyle w:val="Heading2"/>
        <w:spacing w:after="100" w:before="240"/>
      </w:pPr>
      <w:r>
        <w:t xml:space="preserve">3.2 TAM / SAM / SOM (directional)</w:t>
      </w:r>
    </w:p>
    <w:p>
      <w:pPr>
        <w:spacing w:after="140" w:line="276"/>
      </w:pPr>
      <w:r>
        <w:rPr>
          <w:i/>
          <w:iCs/>
          <w:color w:val="5A5A5A"/>
        </w:rPr>
        <w:t xml:space="preserve">The relevant spend is not total ad spend — it is what agencies and in-house teams will pay for reporting and analytics tooling. We model that as a small percentage of managed ad spend plus per-seat/per-client software budgets.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30"/>
        <w:gridCol w:w="48"/>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Layer</w:t>
            </w:r>
          </w:p>
        </w:tc>
        <w:tc>
          <w:tcPr>
            <w:shd w:fill="1F3A5F" w:val="clear"/>
            <w:tcMar>
              <w:top w:type="dxa" w:w="70"/>
              <w:left w:type="dxa" w:w="110"/>
              <w:bottom w:type="dxa" w:w="70"/>
              <w:right w:type="dxa" w:w="110"/>
            </w:tcMar>
          </w:tcPr>
          <w:p>
            <w:pPr>
              <w:spacing w:after="30" w:line="250"/>
            </w:pPr>
            <w:r>
              <w:rPr>
                <w:b/>
                <w:bCs/>
                <w:color w:val="FFFFFF"/>
                <w:sz w:val="19"/>
                <w:szCs w:val="19"/>
              </w:rPr>
              <w:t xml:space="preserve">Estimate</w:t>
            </w:r>
          </w:p>
        </w:tc>
        <w:tc>
          <w:tcPr>
            <w:shd w:fill="1F3A5F" w:val="clear"/>
            <w:tcMar>
              <w:top w:type="dxa" w:w="70"/>
              <w:left w:type="dxa" w:w="110"/>
              <w:bottom w:type="dxa" w:w="70"/>
              <w:right w:type="dxa" w:w="110"/>
            </w:tcMar>
          </w:tcPr>
          <w:p>
            <w:pPr>
              <w:spacing w:after="30" w:line="250"/>
            </w:pPr>
            <w:r>
              <w:rPr>
                <w:b/>
                <w:bCs/>
                <w:color w:val="FFFFFF"/>
                <w:sz w:val="19"/>
                <w:szCs w:val="19"/>
              </w:rPr>
              <w:t xml:space="preserve">Basis &amp; reasoning</w:t>
            </w:r>
          </w:p>
        </w:tc>
      </w:tr>
      <w:tr>
        <w:tc>
          <w:tcPr>
            <w:shd w:fill="FFFFFF" w:val="clear"/>
            <w:tcMar>
              <w:top w:type="dxa" w:w="70"/>
              <w:left w:type="dxa" w:w="110"/>
              <w:bottom w:type="dxa" w:w="70"/>
              <w:right w:type="dxa" w:w="110"/>
            </w:tcMar>
          </w:tcPr>
          <w:p>
            <w:pPr>
              <w:spacing w:after="30" w:line="250"/>
            </w:pPr>
            <w:r>
              <w:rPr>
                <w:sz w:val="19"/>
                <w:szCs w:val="19"/>
              </w:rPr>
              <w:t xml:space="preserve">TAM (global)</w:t>
            </w:r>
          </w:p>
        </w:tc>
        <w:tc>
          <w:tcPr>
            <w:shd w:fill="FFFFFF" w:val="clear"/>
            <w:tcMar>
              <w:top w:type="dxa" w:w="70"/>
              <w:left w:type="dxa" w:w="110"/>
              <w:bottom w:type="dxa" w:w="70"/>
              <w:right w:type="dxa" w:w="110"/>
            </w:tcMar>
          </w:tcPr>
          <w:p>
            <w:pPr>
              <w:spacing w:after="30" w:line="250"/>
            </w:pPr>
            <w:r>
              <w:rPr>
                <w:sz w:val="19"/>
                <w:szCs w:val="19"/>
              </w:rPr>
              <w:t xml:space="preserve">USD 3–6B / yr</w:t>
            </w:r>
          </w:p>
        </w:tc>
        <w:tc>
          <w:tcPr>
            <w:shd w:fill="FFFFFF" w:val="clear"/>
            <w:tcMar>
              <w:top w:type="dxa" w:w="70"/>
              <w:left w:type="dxa" w:w="110"/>
              <w:bottom w:type="dxa" w:w="70"/>
              <w:right w:type="dxa" w:w="110"/>
            </w:tcMar>
          </w:tcPr>
          <w:p>
            <w:pPr>
              <w:spacing w:after="30" w:line="250"/>
            </w:pPr>
            <w:r>
              <w:rPr>
                <w:sz w:val="19"/>
                <w:szCs w:val="19"/>
              </w:rPr>
              <w:t xml:space="preserve">The reporting &amp; analytics slice of the global marketing SaaS market that this category competes for.</w:t>
            </w:r>
          </w:p>
        </w:tc>
      </w:tr>
      <w:tr>
        <w:tc>
          <w:tcPr>
            <w:shd w:fill="EEF3F8" w:val="clear"/>
            <w:tcMar>
              <w:top w:type="dxa" w:w="70"/>
              <w:left w:type="dxa" w:w="110"/>
              <w:bottom w:type="dxa" w:w="70"/>
              <w:right w:type="dxa" w:w="110"/>
            </w:tcMar>
          </w:tcPr>
          <w:p>
            <w:pPr>
              <w:spacing w:after="30" w:line="250"/>
            </w:pPr>
            <w:r>
              <w:rPr>
                <w:sz w:val="19"/>
                <w:szCs w:val="19"/>
              </w:rPr>
              <w:t xml:space="preserve">SAM (NZ + AU)</w:t>
            </w:r>
          </w:p>
        </w:tc>
        <w:tc>
          <w:tcPr>
            <w:shd w:fill="EEF3F8" w:val="clear"/>
            <w:tcMar>
              <w:top w:type="dxa" w:w="70"/>
              <w:left w:type="dxa" w:w="110"/>
              <w:bottom w:type="dxa" w:w="70"/>
              <w:right w:type="dxa" w:w="110"/>
            </w:tcMar>
          </w:tcPr>
          <w:p>
            <w:pPr>
              <w:spacing w:after="30" w:line="250"/>
            </w:pPr>
            <w:r>
              <w:rPr>
                <w:sz w:val="19"/>
                <w:szCs w:val="19"/>
              </w:rPr>
              <w:t xml:space="preserve">~USD 60–120M / yr</w:t>
            </w:r>
          </w:p>
        </w:tc>
        <w:tc>
          <w:tcPr>
            <w:shd w:fill="EEF3F8" w:val="clear"/>
            <w:tcMar>
              <w:top w:type="dxa" w:w="70"/>
              <w:left w:type="dxa" w:w="110"/>
              <w:bottom w:type="dxa" w:w="70"/>
              <w:right w:type="dxa" w:w="110"/>
            </w:tcMar>
          </w:tcPr>
          <w:p>
            <w:pPr>
              <w:spacing w:after="30" w:line="250"/>
            </w:pPr>
            <w:r>
              <w:rPr>
                <w:sz w:val="19"/>
                <w:szCs w:val="19"/>
              </w:rPr>
              <w:t xml:space="preserve">Agencies + multi-brand in-house teams in NZ/AU paying for marketing reporting/ETL tooling. Derived from agency counts × typical $1.5–6k/yr software spend.</w:t>
            </w:r>
          </w:p>
        </w:tc>
      </w:tr>
      <w:tr>
        <w:tc>
          <w:tcPr>
            <w:shd w:fill="FFFFFF" w:val="clear"/>
            <w:tcMar>
              <w:top w:type="dxa" w:w="70"/>
              <w:left w:type="dxa" w:w="110"/>
              <w:bottom w:type="dxa" w:w="70"/>
              <w:right w:type="dxa" w:w="110"/>
            </w:tcMar>
          </w:tcPr>
          <w:p>
            <w:pPr>
              <w:spacing w:after="30" w:line="250"/>
            </w:pPr>
            <w:r>
              <w:rPr>
                <w:sz w:val="19"/>
                <w:szCs w:val="19"/>
              </w:rPr>
              <w:t xml:space="preserve">SOM (3-yr target)</w:t>
            </w:r>
          </w:p>
        </w:tc>
        <w:tc>
          <w:tcPr>
            <w:shd w:fill="FFFFFF" w:val="clear"/>
            <w:tcMar>
              <w:top w:type="dxa" w:w="70"/>
              <w:left w:type="dxa" w:w="110"/>
              <w:bottom w:type="dxa" w:w="70"/>
              <w:right w:type="dxa" w:w="110"/>
            </w:tcMar>
          </w:tcPr>
          <w:p>
            <w:pPr>
              <w:spacing w:after="30" w:line="250"/>
            </w:pPr>
            <w:r>
              <w:rPr>
                <w:sz w:val="19"/>
                <w:szCs w:val="19"/>
              </w:rPr>
              <w:t xml:space="preserve">~USD 1–4M ARR</w:t>
            </w:r>
          </w:p>
        </w:tc>
        <w:tc>
          <w:tcPr>
            <w:shd w:fill="FFFFFF" w:val="clear"/>
            <w:tcMar>
              <w:top w:type="dxa" w:w="70"/>
              <w:left w:type="dxa" w:w="110"/>
              <w:bottom w:type="dxa" w:w="70"/>
              <w:right w:type="dxa" w:w="110"/>
            </w:tcMar>
          </w:tcPr>
          <w:p>
            <w:pPr>
              <w:spacing w:after="30" w:line="250"/>
            </w:pPr>
            <w:r>
              <w:rPr>
                <w:sz w:val="19"/>
                <w:szCs w:val="19"/>
              </w:rPr>
              <w:t xml:space="preserve">A realistic 2–4% capture of the regional SAM as a focused challenger, before global expansion.</w:t>
            </w:r>
          </w:p>
        </w:tc>
      </w:tr>
    </w:tbl>
    <w:p>
      <w:pPr>
        <w:spacing w:after="140" w:line="276"/>
      </w:pPr>
      <w:r>
        <w:rPr>
          <w:i/>
          <w:iCs/>
          <w:color w:val="5A5A5A"/>
        </w:rPr>
        <w:t xml:space="preserve">Even the conservative end of SOM — a few hundred agency accounts at NZ/AU price points — represents a sustainable, profitable software business. The number does not need to be venture-scale to be worth building; it needs to clear your personal/financial threshold for a viable company.</w:t>
      </w:r>
    </w:p>
    <w:p>
      <w:pPr>
        <w:pStyle w:val="Heading2"/>
        <w:spacing w:after="100" w:before="240"/>
      </w:pPr>
      <w:r>
        <w:t xml:space="preserve">3.3 Why NZ + AU first is the right wedge</w:t>
      </w:r>
    </w:p>
    <w:p>
      <w:pPr>
        <w:pStyle w:val="ListParagraph"/>
        <w:numPr>
          <w:ilvl w:val="0"/>
          <w:numId w:val="1"/>
        </w:numPr>
        <w:spacing w:after="80" w:line="268"/>
      </w:pPr>
      <w:r>
        <w:rPr>
          <w:b/>
          <w:bCs/>
        </w:rPr>
        <w:t xml:space="preserve">You know it: </w:t>
      </w:r>
      <w:r>
        <w:t xml:space="preserve">you have worked in the NZ marketing space and understand the buyers, the channels and the price sensitivity.</w:t>
      </w:r>
    </w:p>
    <w:p>
      <w:pPr>
        <w:pStyle w:val="ListParagraph"/>
        <w:numPr>
          <w:ilvl w:val="0"/>
          <w:numId w:val="1"/>
        </w:numPr>
        <w:spacing w:after="80" w:line="268"/>
      </w:pPr>
      <w:r>
        <w:rPr>
          <w:b/>
          <w:bCs/>
        </w:rPr>
        <w:t xml:space="preserve">Under-served by locals: </w:t>
      </w:r>
      <w:r>
        <w:t xml:space="preserve">the dominant tools are US/EU-built; "local, in-timezone support" and "buy local" sentiment are genuine, if modest, differentiators.</w:t>
      </w:r>
    </w:p>
    <w:p>
      <w:pPr>
        <w:pStyle w:val="ListParagraph"/>
        <w:numPr>
          <w:ilvl w:val="0"/>
          <w:numId w:val="1"/>
        </w:numPr>
        <w:spacing w:after="80" w:line="268"/>
      </w:pPr>
      <w:r>
        <w:rPr>
          <w:b/>
          <w:bCs/>
        </w:rPr>
        <w:t xml:space="preserve">Beachhead economics: </w:t>
      </w:r>
      <w:r>
        <w:t xml:space="preserve">a smaller, reachable market lets a solo/small team get to reference customers and word-of-mouth faster than competing head-on in the US.</w:t>
      </w:r>
    </w:p>
    <w:p>
      <w:pPr>
        <w:pStyle w:val="ListParagraph"/>
        <w:numPr>
          <w:ilvl w:val="0"/>
          <w:numId w:val="1"/>
        </w:numPr>
        <w:spacing w:after="80" w:line="268"/>
      </w:pPr>
      <w:r>
        <w:rPr>
          <w:b/>
          <w:bCs/>
        </w:rPr>
        <w:t xml:space="preserve">Expansion path: </w:t>
      </w:r>
      <w:r>
        <w:t xml:space="preserve">the product is global from day one technically; NZ/AU is the go-to-market starting point, not a ceiling.</w:t>
      </w:r>
    </w:p>
    <w:p>
      <w:r>
        <w:br w:type="page"/>
      </w:r>
    </w:p>
    <w:p>
      <w:pPr>
        <w:pStyle w:val="Heading1"/>
        <w:spacing w:after="140" w:before="320"/>
      </w:pPr>
      <w:r>
        <w:t xml:space="preserve">4. Competitive Landscape</w:t>
      </w:r>
    </w:p>
    <w:p>
      <w:pPr>
        <w:spacing w:after="140" w:line="276"/>
      </w:pPr>
      <w:r>
        <w:t xml:space="preserve">The category splits into two overlapping groups: data pipeline / ETL tools that move marketing data into warehouses and BI tools (Funnel, Supermetrics, Improvado, DataSlayer), and agency reporting tools that focus on client-ready dashboards and white-label reports (AgencyAnalytics, Whatagraph, Swydo, Catchr). Your concept straddles both — connectors plus reporting plus AI.</w:t>
      </w:r>
    </w:p>
    <w:p>
      <w:pPr>
        <w:pStyle w:val="Heading2"/>
        <w:spacing w:after="100" w:before="240"/>
      </w:pPr>
      <w:r>
        <w:t xml:space="preserve">4.1 Competitor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
        <w:gridCol w:w="24"/>
        <w:gridCol w:w="22"/>
        <w:gridCol w:w="38"/>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Player</w:t>
            </w:r>
          </w:p>
        </w:tc>
        <w:tc>
          <w:tcPr>
            <w:shd w:fill="1F3A5F" w:val="clear"/>
            <w:tcMar>
              <w:top w:type="dxa" w:w="70"/>
              <w:left w:type="dxa" w:w="110"/>
              <w:bottom w:type="dxa" w:w="70"/>
              <w:right w:type="dxa" w:w="110"/>
            </w:tcMar>
          </w:tcPr>
          <w:p>
            <w:pPr>
              <w:spacing w:after="30" w:line="250"/>
            </w:pPr>
            <w:r>
              <w:rPr>
                <w:b/>
                <w:bCs/>
                <w:color w:val="FFFFFF"/>
                <w:sz w:val="19"/>
                <w:szCs w:val="19"/>
              </w:rPr>
              <w:t xml:space="preserve">Positioning</w:t>
            </w:r>
          </w:p>
        </w:tc>
        <w:tc>
          <w:tcPr>
            <w:shd w:fill="1F3A5F" w:val="clear"/>
            <w:tcMar>
              <w:top w:type="dxa" w:w="70"/>
              <w:left w:type="dxa" w:w="110"/>
              <w:bottom w:type="dxa" w:w="70"/>
              <w:right w:type="dxa" w:w="110"/>
            </w:tcMar>
          </w:tcPr>
          <w:p>
            <w:pPr>
              <w:spacing w:after="30" w:line="250"/>
            </w:pPr>
            <w:r>
              <w:rPr>
                <w:b/>
                <w:bCs/>
                <w:color w:val="FFFFFF"/>
                <w:sz w:val="19"/>
                <w:szCs w:val="19"/>
              </w:rPr>
              <w:t xml:space="preserve">Indicative pricing</w:t>
            </w:r>
          </w:p>
        </w:tc>
        <w:tc>
          <w:tcPr>
            <w:shd w:fill="1F3A5F" w:val="clear"/>
            <w:tcMar>
              <w:top w:type="dxa" w:w="70"/>
              <w:left w:type="dxa" w:w="110"/>
              <w:bottom w:type="dxa" w:w="70"/>
              <w:right w:type="dxa" w:w="110"/>
            </w:tcMar>
          </w:tcPr>
          <w:p>
            <w:pPr>
              <w:spacing w:after="30" w:line="250"/>
            </w:pPr>
            <w:r>
              <w:rPr>
                <w:b/>
                <w:bCs/>
                <w:color w:val="FFFFFF"/>
                <w:sz w:val="19"/>
                <w:szCs w:val="19"/>
              </w:rPr>
              <w:t xml:space="preserve">Notable strength / weakness</w:t>
            </w:r>
          </w:p>
        </w:tc>
      </w:tr>
      <w:tr>
        <w:tc>
          <w:tcPr>
            <w:shd w:fill="FFFFFF" w:val="clear"/>
            <w:tcMar>
              <w:top w:type="dxa" w:w="70"/>
              <w:left w:type="dxa" w:w="110"/>
              <w:bottom w:type="dxa" w:w="70"/>
              <w:right w:type="dxa" w:w="110"/>
            </w:tcMar>
          </w:tcPr>
          <w:p>
            <w:pPr>
              <w:spacing w:after="30" w:line="250"/>
            </w:pPr>
            <w:r>
              <w:rPr>
                <w:sz w:val="19"/>
                <w:szCs w:val="19"/>
              </w:rPr>
              <w:t xml:space="preserve">Funnel.io</w:t>
            </w:r>
          </w:p>
        </w:tc>
        <w:tc>
          <w:tcPr>
            <w:shd w:fill="FFFFFF" w:val="clear"/>
            <w:tcMar>
              <w:top w:type="dxa" w:w="70"/>
              <w:left w:type="dxa" w:w="110"/>
              <w:bottom w:type="dxa" w:w="70"/>
              <w:right w:type="dxa" w:w="110"/>
            </w:tcMar>
          </w:tcPr>
          <w:p>
            <w:pPr>
              <w:spacing w:after="30" w:line="250"/>
            </w:pPr>
            <w:r>
              <w:rPr>
                <w:sz w:val="19"/>
                <w:szCs w:val="19"/>
              </w:rPr>
              <w:t xml:space="preserve">Enterprise data pipeline &amp; transformation</w:t>
            </w:r>
          </w:p>
        </w:tc>
        <w:tc>
          <w:tcPr>
            <w:shd w:fill="FFFFFF" w:val="clear"/>
            <w:tcMar>
              <w:top w:type="dxa" w:w="70"/>
              <w:left w:type="dxa" w:w="110"/>
              <w:bottom w:type="dxa" w:w="70"/>
              <w:right w:type="dxa" w:w="110"/>
            </w:tcMar>
          </w:tcPr>
          <w:p>
            <w:pPr>
              <w:spacing w:after="30" w:line="250"/>
            </w:pPr>
            <w:r>
              <w:rPr>
                <w:sz w:val="19"/>
                <w:szCs w:val="19"/>
              </w:rPr>
              <w:t xml:space="preserve">From ~USD 1,999/mo (by ad spend)</w:t>
            </w:r>
          </w:p>
        </w:tc>
        <w:tc>
          <w:tcPr>
            <w:shd w:fill="FFFFFF" w:val="clear"/>
            <w:tcMar>
              <w:top w:type="dxa" w:w="70"/>
              <w:left w:type="dxa" w:w="110"/>
              <w:bottom w:type="dxa" w:w="70"/>
              <w:right w:type="dxa" w:w="110"/>
            </w:tcMar>
          </w:tcPr>
          <w:p>
            <w:pPr>
              <w:spacing w:after="30" w:line="250"/>
            </w:pPr>
            <w:r>
              <w:rPr>
                <w:sz w:val="19"/>
                <w:szCs w:val="19"/>
              </w:rPr>
              <w:t xml:space="preserve">Strength: ~500 connectors, deep transforms. Weakness: expensive, overkill for small agencies.</w:t>
            </w:r>
          </w:p>
        </w:tc>
      </w:tr>
      <w:tr>
        <w:tc>
          <w:tcPr>
            <w:shd w:fill="EEF3F8" w:val="clear"/>
            <w:tcMar>
              <w:top w:type="dxa" w:w="70"/>
              <w:left w:type="dxa" w:w="110"/>
              <w:bottom w:type="dxa" w:w="70"/>
              <w:right w:type="dxa" w:w="110"/>
            </w:tcMar>
          </w:tcPr>
          <w:p>
            <w:pPr>
              <w:spacing w:after="30" w:line="250"/>
            </w:pPr>
            <w:r>
              <w:rPr>
                <w:sz w:val="19"/>
                <w:szCs w:val="19"/>
              </w:rPr>
              <w:t xml:space="preserve">Supermetrics</w:t>
            </w:r>
          </w:p>
        </w:tc>
        <w:tc>
          <w:tcPr>
            <w:shd w:fill="EEF3F8" w:val="clear"/>
            <w:tcMar>
              <w:top w:type="dxa" w:w="70"/>
              <w:left w:type="dxa" w:w="110"/>
              <w:bottom w:type="dxa" w:w="70"/>
              <w:right w:type="dxa" w:w="110"/>
            </w:tcMar>
          </w:tcPr>
          <w:p>
            <w:pPr>
              <w:spacing w:after="30" w:line="250"/>
            </w:pPr>
            <w:r>
              <w:rPr>
                <w:sz w:val="19"/>
                <w:szCs w:val="19"/>
              </w:rPr>
              <w:t xml:space="preserve">Data into Sheets/Excel/BI; adding AI</w:t>
            </w:r>
          </w:p>
        </w:tc>
        <w:tc>
          <w:tcPr>
            <w:shd w:fill="EEF3F8" w:val="clear"/>
            <w:tcMar>
              <w:top w:type="dxa" w:w="70"/>
              <w:left w:type="dxa" w:w="110"/>
              <w:bottom w:type="dxa" w:w="70"/>
              <w:right w:type="dxa" w:w="110"/>
            </w:tcMar>
          </w:tcPr>
          <w:p>
            <w:pPr>
              <w:spacing w:after="30" w:line="250"/>
            </w:pPr>
            <w:r>
              <w:rPr>
                <w:sz w:val="19"/>
                <w:szCs w:val="19"/>
              </w:rPr>
              <w:t xml:space="preserve">From ~USD 69/user/mo (annual); destination-based add-ons</w:t>
            </w:r>
          </w:p>
        </w:tc>
        <w:tc>
          <w:tcPr>
            <w:shd w:fill="EEF3F8" w:val="clear"/>
            <w:tcMar>
              <w:top w:type="dxa" w:w="70"/>
              <w:left w:type="dxa" w:w="110"/>
              <w:bottom w:type="dxa" w:w="70"/>
              <w:right w:type="dxa" w:w="110"/>
            </w:tcMar>
          </w:tcPr>
          <w:p>
            <w:pPr>
              <w:spacing w:after="30" w:line="250"/>
            </w:pPr>
            <w:r>
              <w:rPr>
                <w:sz w:val="19"/>
                <w:szCs w:val="19"/>
              </w:rPr>
              <w:t xml:space="preserve">Strength: brand, breadth, Supermetrics AI. Weakness: costs stack up by destination/seat.</w:t>
            </w:r>
          </w:p>
        </w:tc>
      </w:tr>
      <w:tr>
        <w:tc>
          <w:tcPr>
            <w:shd w:fill="FFFFFF" w:val="clear"/>
            <w:tcMar>
              <w:top w:type="dxa" w:w="70"/>
              <w:left w:type="dxa" w:w="110"/>
              <w:bottom w:type="dxa" w:w="70"/>
              <w:right w:type="dxa" w:w="110"/>
            </w:tcMar>
          </w:tcPr>
          <w:p>
            <w:pPr>
              <w:spacing w:after="30" w:line="250"/>
            </w:pPr>
            <w:r>
              <w:rPr>
                <w:sz w:val="19"/>
                <w:szCs w:val="19"/>
              </w:rPr>
              <w:t xml:space="preserve">Catchr</w:t>
            </w:r>
          </w:p>
        </w:tc>
        <w:tc>
          <w:tcPr>
            <w:shd w:fill="FFFFFF" w:val="clear"/>
            <w:tcMar>
              <w:top w:type="dxa" w:w="70"/>
              <w:left w:type="dxa" w:w="110"/>
              <w:bottom w:type="dxa" w:w="70"/>
              <w:right w:type="dxa" w:w="110"/>
            </w:tcMar>
          </w:tcPr>
          <w:p>
            <w:pPr>
              <w:spacing w:after="30" w:line="250"/>
            </w:pPr>
            <w:r>
              <w:rPr>
                <w:sz w:val="19"/>
                <w:szCs w:val="19"/>
              </w:rPr>
              <w:t xml:space="preserve">Affordable all-in-one challenger</w:t>
            </w:r>
          </w:p>
        </w:tc>
        <w:tc>
          <w:tcPr>
            <w:shd w:fill="FFFFFF" w:val="clear"/>
            <w:tcMar>
              <w:top w:type="dxa" w:w="70"/>
              <w:left w:type="dxa" w:w="110"/>
              <w:bottom w:type="dxa" w:w="70"/>
              <w:right w:type="dxa" w:w="110"/>
            </w:tcMar>
          </w:tcPr>
          <w:p>
            <w:pPr>
              <w:spacing w:after="30" w:line="250"/>
            </w:pPr>
            <w:r>
              <w:rPr>
                <w:sz w:val="19"/>
                <w:szCs w:val="19"/>
              </w:rPr>
              <w:t xml:space="preserve">Low entry; all connectors/destinations/users on every plan</w:t>
            </w:r>
          </w:p>
        </w:tc>
        <w:tc>
          <w:tcPr>
            <w:shd w:fill="FFFFFF" w:val="clear"/>
            <w:tcMar>
              <w:top w:type="dxa" w:w="70"/>
              <w:left w:type="dxa" w:w="110"/>
              <w:bottom w:type="dxa" w:w="70"/>
              <w:right w:type="dxa" w:w="110"/>
            </w:tcMar>
          </w:tcPr>
          <w:p>
            <w:pPr>
              <w:spacing w:after="30" w:line="250"/>
            </w:pPr>
            <w:r>
              <w:rPr>
                <w:sz w:val="19"/>
                <w:szCs w:val="19"/>
              </w:rPr>
              <w:t xml:space="preserve">Strength: transparent, agency-friendly pricing. Weakness: younger brand, less enterprise depth.</w:t>
            </w:r>
          </w:p>
        </w:tc>
      </w:tr>
      <w:tr>
        <w:tc>
          <w:tcPr>
            <w:shd w:fill="EEF3F8" w:val="clear"/>
            <w:tcMar>
              <w:top w:type="dxa" w:w="70"/>
              <w:left w:type="dxa" w:w="110"/>
              <w:bottom w:type="dxa" w:w="70"/>
              <w:right w:type="dxa" w:w="110"/>
            </w:tcMar>
          </w:tcPr>
          <w:p>
            <w:pPr>
              <w:spacing w:after="30" w:line="250"/>
            </w:pPr>
            <w:r>
              <w:rPr>
                <w:sz w:val="19"/>
                <w:szCs w:val="19"/>
              </w:rPr>
              <w:t xml:space="preserve">AgencyAnalytics</w:t>
            </w:r>
          </w:p>
        </w:tc>
        <w:tc>
          <w:tcPr>
            <w:shd w:fill="EEF3F8" w:val="clear"/>
            <w:tcMar>
              <w:top w:type="dxa" w:w="70"/>
              <w:left w:type="dxa" w:w="110"/>
              <w:bottom w:type="dxa" w:w="70"/>
              <w:right w:type="dxa" w:w="110"/>
            </w:tcMar>
          </w:tcPr>
          <w:p>
            <w:pPr>
              <w:spacing w:after="30" w:line="250"/>
            </w:pPr>
            <w:r>
              <w:rPr>
                <w:sz w:val="19"/>
                <w:szCs w:val="19"/>
              </w:rPr>
              <w:t xml:space="preserve">Purpose-built agency reporting</w:t>
            </w:r>
          </w:p>
        </w:tc>
        <w:tc>
          <w:tcPr>
            <w:shd w:fill="EEF3F8" w:val="clear"/>
            <w:tcMar>
              <w:top w:type="dxa" w:w="70"/>
              <w:left w:type="dxa" w:w="110"/>
              <w:bottom w:type="dxa" w:w="70"/>
              <w:right w:type="dxa" w:w="110"/>
            </w:tcMar>
          </w:tcPr>
          <w:p>
            <w:pPr>
              <w:spacing w:after="30" w:line="250"/>
            </w:pPr>
            <w:r>
              <w:rPr>
                <w:sz w:val="19"/>
                <w:szCs w:val="19"/>
              </w:rPr>
              <w:t xml:space="preserve">~USD 12–15 / campaign / mo (annual)</w:t>
            </w:r>
          </w:p>
        </w:tc>
        <w:tc>
          <w:tcPr>
            <w:shd w:fill="EEF3F8" w:val="clear"/>
            <w:tcMar>
              <w:top w:type="dxa" w:w="70"/>
              <w:left w:type="dxa" w:w="110"/>
              <w:bottom w:type="dxa" w:w="70"/>
              <w:right w:type="dxa" w:w="110"/>
            </w:tcMar>
          </w:tcPr>
          <w:p>
            <w:pPr>
              <w:spacing w:after="30" w:line="250"/>
            </w:pPr>
            <w:r>
              <w:rPr>
                <w:sz w:val="19"/>
                <w:szCs w:val="19"/>
              </w:rPr>
              <w:t xml:space="preserve">Strength: 80+ integrations, white-label, SEO tools. Weakness: per-campaign cost scales with clients.</w:t>
            </w:r>
          </w:p>
        </w:tc>
      </w:tr>
      <w:tr>
        <w:tc>
          <w:tcPr>
            <w:shd w:fill="FFFFFF" w:val="clear"/>
            <w:tcMar>
              <w:top w:type="dxa" w:w="70"/>
              <w:left w:type="dxa" w:w="110"/>
              <w:bottom w:type="dxa" w:w="70"/>
              <w:right w:type="dxa" w:w="110"/>
            </w:tcMar>
          </w:tcPr>
          <w:p>
            <w:pPr>
              <w:spacing w:after="30" w:line="250"/>
            </w:pPr>
            <w:r>
              <w:rPr>
                <w:sz w:val="19"/>
                <w:szCs w:val="19"/>
              </w:rPr>
              <w:t xml:space="preserve">Whatagraph</w:t>
            </w:r>
          </w:p>
        </w:tc>
        <w:tc>
          <w:tcPr>
            <w:shd w:fill="FFFFFF" w:val="clear"/>
            <w:tcMar>
              <w:top w:type="dxa" w:w="70"/>
              <w:left w:type="dxa" w:w="110"/>
              <w:bottom w:type="dxa" w:w="70"/>
              <w:right w:type="dxa" w:w="110"/>
            </w:tcMar>
          </w:tcPr>
          <w:p>
            <w:pPr>
              <w:spacing w:after="30" w:line="250"/>
            </w:pPr>
            <w:r>
              <w:rPr>
                <w:sz w:val="19"/>
                <w:szCs w:val="19"/>
              </w:rPr>
              <w:t xml:space="preserve">Visual, automated cross-channel reports</w:t>
            </w:r>
          </w:p>
        </w:tc>
        <w:tc>
          <w:tcPr>
            <w:shd w:fill="FFFFFF" w:val="clear"/>
            <w:tcMar>
              <w:top w:type="dxa" w:w="70"/>
              <w:left w:type="dxa" w:w="110"/>
              <w:bottom w:type="dxa" w:w="70"/>
              <w:right w:type="dxa" w:w="110"/>
            </w:tcMar>
          </w:tcPr>
          <w:p>
            <w:pPr>
              <w:spacing w:after="30" w:line="250"/>
            </w:pPr>
            <w:r>
              <w:rPr>
                <w:sz w:val="19"/>
                <w:szCs w:val="19"/>
              </w:rPr>
              <w:t xml:space="preserve">~USD 199–299+/mo</w:t>
            </w:r>
          </w:p>
        </w:tc>
        <w:tc>
          <w:tcPr>
            <w:shd w:fill="FFFFFF" w:val="clear"/>
            <w:tcMar>
              <w:top w:type="dxa" w:w="70"/>
              <w:left w:type="dxa" w:w="110"/>
              <w:bottom w:type="dxa" w:w="70"/>
              <w:right w:type="dxa" w:w="110"/>
            </w:tcMar>
          </w:tcPr>
          <w:p>
            <w:pPr>
              <w:spacing w:after="30" w:line="250"/>
            </w:pPr>
            <w:r>
              <w:rPr>
                <w:sz w:val="19"/>
                <w:szCs w:val="19"/>
              </w:rPr>
              <w:t xml:space="preserve">Strength: beautiful reports. Weakness: pricier, source/seat-limited tiers.</w:t>
            </w:r>
          </w:p>
        </w:tc>
      </w:tr>
      <w:tr>
        <w:tc>
          <w:tcPr>
            <w:shd w:fill="EEF3F8" w:val="clear"/>
            <w:tcMar>
              <w:top w:type="dxa" w:w="70"/>
              <w:left w:type="dxa" w:w="110"/>
              <w:bottom w:type="dxa" w:w="70"/>
              <w:right w:type="dxa" w:w="110"/>
            </w:tcMar>
          </w:tcPr>
          <w:p>
            <w:pPr>
              <w:spacing w:after="30" w:line="250"/>
            </w:pPr>
            <w:r>
              <w:rPr>
                <w:sz w:val="19"/>
                <w:szCs w:val="19"/>
              </w:rPr>
              <w:t xml:space="preserve">Improvado</w:t>
            </w:r>
          </w:p>
        </w:tc>
        <w:tc>
          <w:tcPr>
            <w:shd w:fill="EEF3F8" w:val="clear"/>
            <w:tcMar>
              <w:top w:type="dxa" w:w="70"/>
              <w:left w:type="dxa" w:w="110"/>
              <w:bottom w:type="dxa" w:w="70"/>
              <w:right w:type="dxa" w:w="110"/>
            </w:tcMar>
          </w:tcPr>
          <w:p>
            <w:pPr>
              <w:spacing w:after="30" w:line="250"/>
            </w:pPr>
            <w:r>
              <w:rPr>
                <w:sz w:val="19"/>
                <w:szCs w:val="19"/>
              </w:rPr>
              <w:t xml:space="preserve">Enterprise marketing data + AI analytics</w:t>
            </w:r>
          </w:p>
        </w:tc>
        <w:tc>
          <w:tcPr>
            <w:shd w:fill="EEF3F8" w:val="clear"/>
            <w:tcMar>
              <w:top w:type="dxa" w:w="70"/>
              <w:left w:type="dxa" w:w="110"/>
              <w:bottom w:type="dxa" w:w="70"/>
              <w:right w:type="dxa" w:w="110"/>
            </w:tcMar>
          </w:tcPr>
          <w:p>
            <w:pPr>
              <w:spacing w:after="30" w:line="250"/>
            </w:pPr>
            <w:r>
              <w:rPr>
                <w:sz w:val="19"/>
                <w:szCs w:val="19"/>
              </w:rPr>
              <w:t xml:space="preserve">Enterprise / custom</w:t>
            </w:r>
          </w:p>
        </w:tc>
        <w:tc>
          <w:tcPr>
            <w:shd w:fill="EEF3F8" w:val="clear"/>
            <w:tcMar>
              <w:top w:type="dxa" w:w="70"/>
              <w:left w:type="dxa" w:w="110"/>
              <w:bottom w:type="dxa" w:w="70"/>
              <w:right w:type="dxa" w:w="110"/>
            </w:tcMar>
          </w:tcPr>
          <w:p>
            <w:pPr>
              <w:spacing w:after="30" w:line="250"/>
            </w:pPr>
            <w:r>
              <w:rPr>
                <w:sz w:val="19"/>
                <w:szCs w:val="19"/>
              </w:rPr>
              <w:t xml:space="preserve">Strength: enterprise analytics &amp; AI. Weakness: not for SMB agencies; high cost.</w:t>
            </w:r>
          </w:p>
        </w:tc>
      </w:tr>
      <w:tr>
        <w:tc>
          <w:tcPr>
            <w:shd w:fill="FFFFFF" w:val="clear"/>
            <w:tcMar>
              <w:top w:type="dxa" w:w="70"/>
              <w:left w:type="dxa" w:w="110"/>
              <w:bottom w:type="dxa" w:w="70"/>
              <w:right w:type="dxa" w:w="110"/>
            </w:tcMar>
          </w:tcPr>
          <w:p>
            <w:pPr>
              <w:spacing w:after="30" w:line="250"/>
            </w:pPr>
            <w:r>
              <w:rPr>
                <w:sz w:val="19"/>
                <w:szCs w:val="19"/>
              </w:rPr>
              <w:t xml:space="preserve">DataSlayer</w:t>
            </w:r>
          </w:p>
        </w:tc>
        <w:tc>
          <w:tcPr>
            <w:shd w:fill="FFFFFF" w:val="clear"/>
            <w:tcMar>
              <w:top w:type="dxa" w:w="70"/>
              <w:left w:type="dxa" w:w="110"/>
              <w:bottom w:type="dxa" w:w="70"/>
              <w:right w:type="dxa" w:w="110"/>
            </w:tcMar>
          </w:tcPr>
          <w:p>
            <w:pPr>
              <w:spacing w:after="30" w:line="250"/>
            </w:pPr>
            <w:r>
              <w:rPr>
                <w:sz w:val="19"/>
                <w:szCs w:val="19"/>
              </w:rPr>
              <w:t xml:space="preserve">Budget connectors for Sheets/Looker</w:t>
            </w:r>
          </w:p>
        </w:tc>
        <w:tc>
          <w:tcPr>
            <w:shd w:fill="FFFFFF" w:val="clear"/>
            <w:tcMar>
              <w:top w:type="dxa" w:w="70"/>
              <w:left w:type="dxa" w:w="110"/>
              <w:bottom w:type="dxa" w:w="70"/>
              <w:right w:type="dxa" w:w="110"/>
            </w:tcMar>
          </w:tcPr>
          <w:p>
            <w:pPr>
              <w:spacing w:after="30" w:line="250"/>
            </w:pPr>
            <w:r>
              <w:rPr>
                <w:sz w:val="19"/>
                <w:szCs w:val="19"/>
              </w:rPr>
              <w:t xml:space="preserve">Low-cost tiers</w:t>
            </w:r>
          </w:p>
        </w:tc>
        <w:tc>
          <w:tcPr>
            <w:shd w:fill="FFFFFF" w:val="clear"/>
            <w:tcMar>
              <w:top w:type="dxa" w:w="70"/>
              <w:left w:type="dxa" w:w="110"/>
              <w:bottom w:type="dxa" w:w="70"/>
              <w:right w:type="dxa" w:w="110"/>
            </w:tcMar>
          </w:tcPr>
          <w:p>
            <w:pPr>
              <w:spacing w:after="30" w:line="250"/>
            </w:pPr>
            <w:r>
              <w:rPr>
                <w:sz w:val="19"/>
                <w:szCs w:val="19"/>
              </w:rPr>
              <w:t xml:space="preserve">Strength: cheap ETL. Weakness: thin on reporting/AI, narrower scope.</w:t>
            </w:r>
          </w:p>
        </w:tc>
      </w:tr>
      <w:tr>
        <w:tc>
          <w:tcPr>
            <w:shd w:fill="EEF3F8" w:val="clear"/>
            <w:tcMar>
              <w:top w:type="dxa" w:w="70"/>
              <w:left w:type="dxa" w:w="110"/>
              <w:bottom w:type="dxa" w:w="70"/>
              <w:right w:type="dxa" w:w="110"/>
            </w:tcMar>
          </w:tcPr>
          <w:p>
            <w:pPr>
              <w:spacing w:after="30" w:line="250"/>
            </w:pPr>
            <w:r>
              <w:rPr>
                <w:sz w:val="19"/>
                <w:szCs w:val="19"/>
              </w:rPr>
              <w:t xml:space="preserve">Swydo</w:t>
            </w:r>
          </w:p>
        </w:tc>
        <w:tc>
          <w:tcPr>
            <w:shd w:fill="EEF3F8" w:val="clear"/>
            <w:tcMar>
              <w:top w:type="dxa" w:w="70"/>
              <w:left w:type="dxa" w:w="110"/>
              <w:bottom w:type="dxa" w:w="70"/>
              <w:right w:type="dxa" w:w="110"/>
            </w:tcMar>
          </w:tcPr>
          <w:p>
            <w:pPr>
              <w:spacing w:after="30" w:line="250"/>
            </w:pPr>
            <w:r>
              <w:rPr>
                <w:sz w:val="19"/>
                <w:szCs w:val="19"/>
              </w:rPr>
              <w:t xml:space="preserve">Reporting &amp; monitoring for agencies</w:t>
            </w:r>
          </w:p>
        </w:tc>
        <w:tc>
          <w:tcPr>
            <w:shd w:fill="EEF3F8" w:val="clear"/>
            <w:tcMar>
              <w:top w:type="dxa" w:w="70"/>
              <w:left w:type="dxa" w:w="110"/>
              <w:bottom w:type="dxa" w:w="70"/>
              <w:right w:type="dxa" w:w="110"/>
            </w:tcMar>
          </w:tcPr>
          <w:p>
            <w:pPr>
              <w:spacing w:after="30" w:line="250"/>
            </w:pPr>
            <w:r>
              <w:rPr>
                <w:sz w:val="19"/>
                <w:szCs w:val="19"/>
              </w:rPr>
              <w:t xml:space="preserve">Mid-market SaaS pricing</w:t>
            </w:r>
          </w:p>
        </w:tc>
        <w:tc>
          <w:tcPr>
            <w:shd w:fill="EEF3F8" w:val="clear"/>
            <w:tcMar>
              <w:top w:type="dxa" w:w="70"/>
              <w:left w:type="dxa" w:w="110"/>
              <w:bottom w:type="dxa" w:w="70"/>
              <w:right w:type="dxa" w:w="110"/>
            </w:tcMar>
          </w:tcPr>
          <w:p>
            <w:pPr>
              <w:spacing w:after="30" w:line="250"/>
            </w:pPr>
            <w:r>
              <w:rPr>
                <w:sz w:val="19"/>
                <w:szCs w:val="19"/>
              </w:rPr>
              <w:t xml:space="preserve">Strength: solid agency reporting. Weakness: less AI, smaller ecosystem.</w:t>
            </w:r>
          </w:p>
        </w:tc>
      </w:tr>
    </w:tbl>
    <w:p>
      <w:pPr>
        <w:spacing w:after="80"/>
      </w:pPr>
    </w:p>
    <w:p>
      <w:pPr>
        <w:pStyle w:val="Heading2"/>
        <w:spacing w:after="100" w:before="240"/>
      </w:pPr>
      <w:r>
        <w:t xml:space="preserve">4.2 What the incumbents do well</w:t>
      </w:r>
    </w:p>
    <w:p>
      <w:pPr>
        <w:pStyle w:val="ListParagraph"/>
        <w:numPr>
          <w:ilvl w:val="0"/>
          <w:numId w:val="1"/>
        </w:numPr>
        <w:spacing w:after="80" w:line="268"/>
      </w:pPr>
      <w:r>
        <w:rPr>
          <w:b/>
          <w:bCs/>
        </w:rPr>
        <w:t xml:space="preserve">Connector breadth &amp; reliability: </w:t>
      </w:r>
      <w:r>
        <w:t xml:space="preserve">years of engineering on hundreds of integrations and the maintenance to keep them working through API changes.</w:t>
      </w:r>
    </w:p>
    <w:p>
      <w:pPr>
        <w:pStyle w:val="ListParagraph"/>
        <w:numPr>
          <w:ilvl w:val="0"/>
          <w:numId w:val="1"/>
        </w:numPr>
        <w:spacing w:after="80" w:line="268"/>
      </w:pPr>
      <w:r>
        <w:rPr>
          <w:b/>
          <w:bCs/>
        </w:rPr>
        <w:t xml:space="preserve">Brand and trust: </w:t>
      </w:r>
      <w:r>
        <w:t xml:space="preserve">established names that agencies already shortlist; G2 presence and reviews.</w:t>
      </w:r>
    </w:p>
    <w:p>
      <w:pPr>
        <w:pStyle w:val="ListParagraph"/>
        <w:numPr>
          <w:ilvl w:val="0"/>
          <w:numId w:val="1"/>
        </w:numPr>
        <w:spacing w:after="80" w:line="268"/>
      </w:pPr>
      <w:r>
        <w:rPr>
          <w:b/>
          <w:bCs/>
        </w:rPr>
        <w:t xml:space="preserve">Ecosystem lock-in: </w:t>
      </w:r>
      <w:r>
        <w:t xml:space="preserve">deep integrations with Looker Studio, BigQuery, Sheets and BI stacks create switching costs.</w:t>
      </w:r>
    </w:p>
    <w:p>
      <w:pPr>
        <w:pStyle w:val="Heading2"/>
        <w:spacing w:after="100" w:before="240"/>
      </w:pPr>
      <w:r>
        <w:t xml:space="preserve">4.3 Where they leave gaps you can exploit</w:t>
      </w:r>
    </w:p>
    <w:p>
      <w:pPr>
        <w:pStyle w:val="ListParagraph"/>
        <w:numPr>
          <w:ilvl w:val="0"/>
          <w:numId w:val="1"/>
        </w:numPr>
        <w:spacing w:after="80" w:line="268"/>
      </w:pPr>
      <w:r>
        <w:rPr>
          <w:b/>
          <w:bCs/>
        </w:rPr>
        <w:t xml:space="preserve">AI is bolt-on, not native: </w:t>
      </w:r>
      <w:r>
        <w:t xml:space="preserve">most have added AI summaries on top of a dashboard product; few are designed around recommendations and "what to do next" as the core experience.</w:t>
      </w:r>
    </w:p>
    <w:p>
      <w:pPr>
        <w:pStyle w:val="ListParagraph"/>
        <w:numPr>
          <w:ilvl w:val="0"/>
          <w:numId w:val="1"/>
        </w:numPr>
        <w:spacing w:after="80" w:line="268"/>
      </w:pPr>
      <w:r>
        <w:rPr>
          <w:b/>
          <w:bCs/>
        </w:rPr>
        <w:t xml:space="preserve">Pricing pain: </w:t>
      </w:r>
      <w:r>
        <w:t xml:space="preserve">destination-based, per-seat and per-campaign models punish growing agencies; this is the single loudest complaint and Catchr's whole wedge.</w:t>
      </w:r>
    </w:p>
    <w:p>
      <w:pPr>
        <w:pStyle w:val="ListParagraph"/>
        <w:numPr>
          <w:ilvl w:val="0"/>
          <w:numId w:val="1"/>
        </w:numPr>
        <w:spacing w:after="80" w:line="268"/>
      </w:pPr>
      <w:r>
        <w:rPr>
          <w:b/>
          <w:bCs/>
        </w:rPr>
        <w:t xml:space="preserve">Generic, global support: </w:t>
      </w:r>
      <w:r>
        <w:t xml:space="preserve">US/EU timezones and no local presence; little NZ/AU-specific service or data-handling assurance.</w:t>
      </w:r>
    </w:p>
    <w:p>
      <w:pPr>
        <w:pStyle w:val="ListParagraph"/>
        <w:numPr>
          <w:ilvl w:val="0"/>
          <w:numId w:val="1"/>
        </w:numPr>
        <w:spacing w:after="80" w:line="268"/>
      </w:pPr>
      <w:r>
        <w:rPr>
          <w:b/>
          <w:bCs/>
        </w:rPr>
        <w:t xml:space="preserve">Complexity vs. speed: </w:t>
      </w:r>
      <w:r>
        <w:t xml:space="preserve">enterprise tools are powerful but slow to set up; small agencies want a report out the door in minutes.</w:t>
      </w:r>
    </w:p>
    <w:p>
      <w:r>
        <w:br w:type="page"/>
      </w:r>
    </w:p>
    <w:p>
      <w:pPr>
        <w:pStyle w:val="Heading1"/>
        <w:spacing w:after="140" w:before="320"/>
      </w:pPr>
      <w:r>
        <w:t xml:space="preserve">5. Barriers to Entry</w:t>
      </w:r>
    </w:p>
    <w:p>
      <w:pPr>
        <w:spacing w:after="140" w:line="276"/>
      </w:pPr>
      <w:r>
        <w:t xml:space="preserve">Barriers cut both ways: the same hurdles that make this hard to build also protect you once you are in. The honest assessment is that this is a moderate-to-high barrier category — not trivial, but not capital-prohibitive for a focused entrant.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
        <w:gridCol w:w="14"/>
        <w:gridCol w:w="60"/>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Barrier</w:t>
            </w:r>
          </w:p>
        </w:tc>
        <w:tc>
          <w:tcPr>
            <w:shd w:fill="1F3A5F" w:val="clear"/>
            <w:tcMar>
              <w:top w:type="dxa" w:w="70"/>
              <w:left w:type="dxa" w:w="110"/>
              <w:bottom w:type="dxa" w:w="70"/>
              <w:right w:type="dxa" w:w="110"/>
            </w:tcMar>
          </w:tcPr>
          <w:p>
            <w:pPr>
              <w:spacing w:after="30" w:line="250"/>
            </w:pPr>
            <w:r>
              <w:rPr>
                <w:b/>
                <w:bCs/>
                <w:color w:val="FFFFFF"/>
                <w:sz w:val="19"/>
                <w:szCs w:val="19"/>
              </w:rPr>
              <w:t xml:space="preserve">Height</w:t>
            </w:r>
          </w:p>
        </w:tc>
        <w:tc>
          <w:tcPr>
            <w:shd w:fill="1F3A5F" w:val="clear"/>
            <w:tcMar>
              <w:top w:type="dxa" w:w="70"/>
              <w:left w:type="dxa" w:w="110"/>
              <w:bottom w:type="dxa" w:w="70"/>
              <w:right w:type="dxa" w:w="110"/>
            </w:tcMar>
          </w:tcPr>
          <w:p>
            <w:pPr>
              <w:spacing w:after="30" w:line="250"/>
            </w:pPr>
            <w:r>
              <w:rPr>
                <w:b/>
                <w:bCs/>
                <w:color w:val="FFFFFF"/>
                <w:sz w:val="19"/>
                <w:szCs w:val="19"/>
              </w:rPr>
              <w:t xml:space="preserve">What it means for you</w:t>
            </w:r>
          </w:p>
        </w:tc>
      </w:tr>
      <w:tr>
        <w:tc>
          <w:tcPr>
            <w:shd w:fill="FFFFFF" w:val="clear"/>
            <w:tcMar>
              <w:top w:type="dxa" w:w="70"/>
              <w:left w:type="dxa" w:w="110"/>
              <w:bottom w:type="dxa" w:w="70"/>
              <w:right w:type="dxa" w:w="110"/>
            </w:tcMar>
          </w:tcPr>
          <w:p>
            <w:pPr>
              <w:spacing w:after="30" w:line="250"/>
            </w:pPr>
            <w:r>
              <w:rPr>
                <w:sz w:val="19"/>
                <w:szCs w:val="19"/>
              </w:rPr>
              <w:t xml:space="preserve">Platform API access</w:t>
            </w:r>
          </w:p>
        </w:tc>
        <w:tc>
          <w:tcPr>
            <w:shd w:fill="FFFFFF" w:val="clear"/>
            <w:tcMar>
              <w:top w:type="dxa" w:w="70"/>
              <w:left w:type="dxa" w:w="110"/>
              <w:bottom w:type="dxa" w:w="70"/>
              <w:right w:type="dxa" w:w="110"/>
            </w:tcMar>
          </w:tcPr>
          <w:p>
            <w:pPr>
              <w:spacing w:after="30" w:line="250"/>
            </w:pPr>
            <w:r>
              <w:rPr>
                <w:sz w:val="19"/>
                <w:szCs w:val="19"/>
              </w:rPr>
              <w:t xml:space="preserve">High</w:t>
            </w:r>
          </w:p>
        </w:tc>
        <w:tc>
          <w:tcPr>
            <w:shd w:fill="FFFFFF" w:val="clear"/>
            <w:tcMar>
              <w:top w:type="dxa" w:w="70"/>
              <w:left w:type="dxa" w:w="110"/>
              <w:bottom w:type="dxa" w:w="70"/>
              <w:right w:type="dxa" w:w="110"/>
            </w:tcMar>
          </w:tcPr>
          <w:p>
            <w:pPr>
              <w:spacing w:after="30" w:line="250"/>
            </w:pPr>
            <w:r>
              <w:rPr>
                <w:sz w:val="19"/>
                <w:szCs w:val="19"/>
              </w:rPr>
              <w:t xml:space="preserve">Meta, Google, LinkedIn and TikTok each require developer registration, app review, business verification and ongoing compliance. Google Ads needs an approved developer token; Meta needs Standard access via App Review. This is the core gate — plan months, not days.</w:t>
            </w:r>
          </w:p>
        </w:tc>
      </w:tr>
      <w:tr>
        <w:tc>
          <w:tcPr>
            <w:shd w:fill="EEF3F8" w:val="clear"/>
            <w:tcMar>
              <w:top w:type="dxa" w:w="70"/>
              <w:left w:type="dxa" w:w="110"/>
              <w:bottom w:type="dxa" w:w="70"/>
              <w:right w:type="dxa" w:w="110"/>
            </w:tcMar>
          </w:tcPr>
          <w:p>
            <w:pPr>
              <w:spacing w:after="30" w:line="250"/>
            </w:pPr>
            <w:r>
              <w:rPr>
                <w:sz w:val="19"/>
                <w:szCs w:val="19"/>
              </w:rPr>
              <w:t xml:space="preserve">Data engineering &amp; reliability</w:t>
            </w:r>
          </w:p>
        </w:tc>
        <w:tc>
          <w:tcPr>
            <w:shd w:fill="EEF3F8" w:val="clear"/>
            <w:tcMar>
              <w:top w:type="dxa" w:w="70"/>
              <w:left w:type="dxa" w:w="110"/>
              <w:bottom w:type="dxa" w:w="70"/>
              <w:right w:type="dxa" w:w="110"/>
            </w:tcMar>
          </w:tcPr>
          <w:p>
            <w:pPr>
              <w:spacing w:after="30" w:line="250"/>
            </w:pPr>
            <w:r>
              <w:rPr>
                <w:sz w:val="19"/>
                <w:szCs w:val="19"/>
              </w:rPr>
              <w:t xml:space="preserve">High</w:t>
            </w:r>
          </w:p>
        </w:tc>
        <w:tc>
          <w:tcPr>
            <w:shd w:fill="EEF3F8" w:val="clear"/>
            <w:tcMar>
              <w:top w:type="dxa" w:w="70"/>
              <w:left w:type="dxa" w:w="110"/>
              <w:bottom w:type="dxa" w:w="70"/>
              <w:right w:type="dxa" w:w="110"/>
            </w:tcMar>
          </w:tcPr>
          <w:p>
            <w:pPr>
              <w:spacing w:after="30" w:line="250"/>
            </w:pPr>
            <w:r>
              <w:rPr>
                <w:sz w:val="19"/>
                <w:szCs w:val="19"/>
              </w:rPr>
              <w:t xml:space="preserve">Building and maintaining connectors, handling rate limits, schema changes, currency/timezone normalisation and backfills is continuous work. APIs break; you must fix fast or lose trust.</w:t>
            </w:r>
          </w:p>
        </w:tc>
      </w:tr>
      <w:tr>
        <w:tc>
          <w:tcPr>
            <w:shd w:fill="FFFFFF" w:val="clear"/>
            <w:tcMar>
              <w:top w:type="dxa" w:w="70"/>
              <w:left w:type="dxa" w:w="110"/>
              <w:bottom w:type="dxa" w:w="70"/>
              <w:right w:type="dxa" w:w="110"/>
            </w:tcMar>
          </w:tcPr>
          <w:p>
            <w:pPr>
              <w:spacing w:after="30" w:line="250"/>
            </w:pPr>
            <w:r>
              <w:rPr>
                <w:sz w:val="19"/>
                <w:szCs w:val="19"/>
              </w:rPr>
              <w:t xml:space="preserve">Connector breadth expectation</w:t>
            </w:r>
          </w:p>
        </w:tc>
        <w:tc>
          <w:tcPr>
            <w:shd w:fill="FFFFFF" w:val="clear"/>
            <w:tcMar>
              <w:top w:type="dxa" w:w="70"/>
              <w:left w:type="dxa" w:w="110"/>
              <w:bottom w:type="dxa" w:w="70"/>
              <w:right w:type="dxa" w:w="110"/>
            </w:tcMar>
          </w:tcPr>
          <w:p>
            <w:pPr>
              <w:spacing w:after="30" w:line="250"/>
            </w:pPr>
            <w:r>
              <w:rPr>
                <w:sz w:val="19"/>
                <w:szCs w:val="19"/>
              </w:rPr>
              <w:t xml:space="preserve">Medium-High</w:t>
            </w:r>
          </w:p>
        </w:tc>
        <w:tc>
          <w:tcPr>
            <w:shd w:fill="FFFFFF" w:val="clear"/>
            <w:tcMar>
              <w:top w:type="dxa" w:w="70"/>
              <w:left w:type="dxa" w:w="110"/>
              <w:bottom w:type="dxa" w:w="70"/>
              <w:right w:type="dxa" w:w="110"/>
            </w:tcMar>
          </w:tcPr>
          <w:p>
            <w:pPr>
              <w:spacing w:after="30" w:line="250"/>
            </w:pPr>
            <w:r>
              <w:rPr>
                <w:sz w:val="19"/>
                <w:szCs w:val="19"/>
              </w:rPr>
              <w:t xml:space="preserve">Buyers expect many sources. You cannot match 500 connectors on day one — you must win on depth in a chosen few plus AI, not breadth.</w:t>
            </w:r>
          </w:p>
        </w:tc>
      </w:tr>
      <w:tr>
        <w:tc>
          <w:tcPr>
            <w:shd w:fill="EEF3F8" w:val="clear"/>
            <w:tcMar>
              <w:top w:type="dxa" w:w="70"/>
              <w:left w:type="dxa" w:w="110"/>
              <w:bottom w:type="dxa" w:w="70"/>
              <w:right w:type="dxa" w:w="110"/>
            </w:tcMar>
          </w:tcPr>
          <w:p>
            <w:pPr>
              <w:spacing w:after="30" w:line="250"/>
            </w:pPr>
            <w:r>
              <w:rPr>
                <w:sz w:val="19"/>
                <w:szCs w:val="19"/>
              </w:rPr>
              <w:t xml:space="preserve">Brand trust &amp; references</w:t>
            </w:r>
          </w:p>
        </w:tc>
        <w:tc>
          <w:tcPr>
            <w:shd w:fill="EEF3F8" w:val="clear"/>
            <w:tcMar>
              <w:top w:type="dxa" w:w="70"/>
              <w:left w:type="dxa" w:w="110"/>
              <w:bottom w:type="dxa" w:w="70"/>
              <w:right w:type="dxa" w:w="110"/>
            </w:tcMar>
          </w:tcPr>
          <w:p>
            <w:pPr>
              <w:spacing w:after="30" w:line="250"/>
            </w:pPr>
            <w:r>
              <w:rPr>
                <w:sz w:val="19"/>
                <w:szCs w:val="19"/>
              </w:rPr>
              <w:t xml:space="preserve">Medium-High</w:t>
            </w:r>
          </w:p>
        </w:tc>
        <w:tc>
          <w:tcPr>
            <w:shd w:fill="EEF3F8" w:val="clear"/>
            <w:tcMar>
              <w:top w:type="dxa" w:w="70"/>
              <w:left w:type="dxa" w:w="110"/>
              <w:bottom w:type="dxa" w:w="70"/>
              <w:right w:type="dxa" w:w="110"/>
            </w:tcMar>
          </w:tcPr>
          <w:p>
            <w:pPr>
              <w:spacing w:after="30" w:line="250"/>
            </w:pPr>
            <w:r>
              <w:rPr>
                <w:sz w:val="19"/>
                <w:szCs w:val="19"/>
              </w:rPr>
              <w:t xml:space="preserve">Agencies hand you client data; they need to trust you. No brand = no trust = slow first sales. Local presence partly offsets this.</w:t>
            </w:r>
          </w:p>
        </w:tc>
      </w:tr>
      <w:tr>
        <w:tc>
          <w:tcPr>
            <w:shd w:fill="FFFFFF" w:val="clear"/>
            <w:tcMar>
              <w:top w:type="dxa" w:w="70"/>
              <w:left w:type="dxa" w:w="110"/>
              <w:bottom w:type="dxa" w:w="70"/>
              <w:right w:type="dxa" w:w="110"/>
            </w:tcMar>
          </w:tcPr>
          <w:p>
            <w:pPr>
              <w:spacing w:after="30" w:line="250"/>
            </w:pPr>
            <w:r>
              <w:rPr>
                <w:sz w:val="19"/>
                <w:szCs w:val="19"/>
              </w:rPr>
              <w:t xml:space="preserve">Switching costs (incumbent moat)</w:t>
            </w:r>
          </w:p>
        </w:tc>
        <w:tc>
          <w:tcPr>
            <w:shd w:fill="FFFFFF" w:val="clear"/>
            <w:tcMar>
              <w:top w:type="dxa" w:w="70"/>
              <w:left w:type="dxa" w:w="110"/>
              <w:bottom w:type="dxa" w:w="70"/>
              <w:right w:type="dxa" w:w="110"/>
            </w:tcMar>
          </w:tcPr>
          <w:p>
            <w:pPr>
              <w:spacing w:after="30" w:line="250"/>
            </w:pPr>
            <w:r>
              <w:rPr>
                <w:sz w:val="19"/>
                <w:szCs w:val="19"/>
              </w:rPr>
              <w:t xml:space="preserve">Medium</w:t>
            </w:r>
          </w:p>
        </w:tc>
        <w:tc>
          <w:tcPr>
            <w:shd w:fill="FFFFFF" w:val="clear"/>
            <w:tcMar>
              <w:top w:type="dxa" w:w="70"/>
              <w:left w:type="dxa" w:w="110"/>
              <w:bottom w:type="dxa" w:w="70"/>
              <w:right w:type="dxa" w:w="110"/>
            </w:tcMar>
          </w:tcPr>
          <w:p>
            <w:pPr>
              <w:spacing w:after="30" w:line="250"/>
            </w:pPr>
            <w:r>
              <w:rPr>
                <w:sz w:val="19"/>
                <w:szCs w:val="19"/>
              </w:rPr>
              <w:t xml:space="preserve">Existing customers have wired tools into Looker/BigQuery/workflows. You must make migration painless and offer a clear reason to move.</w:t>
            </w:r>
          </w:p>
        </w:tc>
      </w:tr>
      <w:tr>
        <w:tc>
          <w:tcPr>
            <w:shd w:fill="EEF3F8" w:val="clear"/>
            <w:tcMar>
              <w:top w:type="dxa" w:w="70"/>
              <w:left w:type="dxa" w:w="110"/>
              <w:bottom w:type="dxa" w:w="70"/>
              <w:right w:type="dxa" w:w="110"/>
            </w:tcMar>
          </w:tcPr>
          <w:p>
            <w:pPr>
              <w:spacing w:after="30" w:line="250"/>
            </w:pPr>
            <w:r>
              <w:rPr>
                <w:sz w:val="19"/>
                <w:szCs w:val="19"/>
              </w:rPr>
              <w:t xml:space="preserve">Capital</w:t>
            </w:r>
          </w:p>
        </w:tc>
        <w:tc>
          <w:tcPr>
            <w:shd w:fill="EEF3F8" w:val="clear"/>
            <w:tcMar>
              <w:top w:type="dxa" w:w="70"/>
              <w:left w:type="dxa" w:w="110"/>
              <w:bottom w:type="dxa" w:w="70"/>
              <w:right w:type="dxa" w:w="110"/>
            </w:tcMar>
          </w:tcPr>
          <w:p>
            <w:pPr>
              <w:spacing w:after="30" w:line="250"/>
            </w:pPr>
            <w:r>
              <w:rPr>
                <w:sz w:val="19"/>
                <w:szCs w:val="19"/>
              </w:rPr>
              <w:t xml:space="preserve">Medium-Low</w:t>
            </w:r>
          </w:p>
        </w:tc>
        <w:tc>
          <w:tcPr>
            <w:shd w:fill="EEF3F8" w:val="clear"/>
            <w:tcMar>
              <w:top w:type="dxa" w:w="70"/>
              <w:left w:type="dxa" w:w="110"/>
              <w:bottom w:type="dxa" w:w="70"/>
              <w:right w:type="dxa" w:w="110"/>
            </w:tcMar>
          </w:tcPr>
          <w:p>
            <w:pPr>
              <w:spacing w:after="30" w:line="250"/>
            </w:pPr>
            <w:r>
              <w:rPr>
                <w:sz w:val="19"/>
                <w:szCs w:val="19"/>
              </w:rPr>
              <w:t xml:space="preserve">A lean MVP is affordable for a small team. The cost is time and ongoing maintenance, not large upfront capital — though scaling infra and a free trial's API usage add cost.</w:t>
            </w:r>
          </w:p>
        </w:tc>
      </w:tr>
      <w:tr>
        <w:tc>
          <w:tcPr>
            <w:shd w:fill="FFFFFF" w:val="clear"/>
            <w:tcMar>
              <w:top w:type="dxa" w:w="70"/>
              <w:left w:type="dxa" w:w="110"/>
              <w:bottom w:type="dxa" w:w="70"/>
              <w:right w:type="dxa" w:w="110"/>
            </w:tcMar>
          </w:tcPr>
          <w:p>
            <w:pPr>
              <w:spacing w:after="30" w:line="250"/>
            </w:pPr>
            <w:r>
              <w:rPr>
                <w:sz w:val="19"/>
                <w:szCs w:val="19"/>
              </w:rPr>
              <w:t xml:space="preserve">Compliance &amp; privacy</w:t>
            </w:r>
          </w:p>
        </w:tc>
        <w:tc>
          <w:tcPr>
            <w:shd w:fill="FFFFFF" w:val="clear"/>
            <w:tcMar>
              <w:top w:type="dxa" w:w="70"/>
              <w:left w:type="dxa" w:w="110"/>
              <w:bottom w:type="dxa" w:w="70"/>
              <w:right w:type="dxa" w:w="110"/>
            </w:tcMar>
          </w:tcPr>
          <w:p>
            <w:pPr>
              <w:spacing w:after="30" w:line="250"/>
            </w:pPr>
            <w:r>
              <w:rPr>
                <w:sz w:val="19"/>
                <w:szCs w:val="19"/>
              </w:rPr>
              <w:t xml:space="preserve">Medium</w:t>
            </w:r>
          </w:p>
        </w:tc>
        <w:tc>
          <w:tcPr>
            <w:shd w:fill="FFFFFF" w:val="clear"/>
            <w:tcMar>
              <w:top w:type="dxa" w:w="70"/>
              <w:left w:type="dxa" w:w="110"/>
              <w:bottom w:type="dxa" w:w="70"/>
              <w:right w:type="dxa" w:w="110"/>
            </w:tcMar>
          </w:tcPr>
          <w:p>
            <w:pPr>
              <w:spacing w:after="30" w:line="250"/>
            </w:pPr>
            <w:r>
              <w:rPr>
                <w:sz w:val="19"/>
                <w:szCs w:val="19"/>
              </w:rPr>
              <w:t xml:space="preserve">GDPR (for any EU data), NZ Privacy Act 2020, Australian Privacy Act, and each platform's data-use terms. Handling client ad data responsibly is table stakes and a sales point if done well.</w:t>
            </w:r>
          </w:p>
        </w:tc>
      </w:tr>
      <w:tr>
        <w:tc>
          <w:tcPr>
            <w:shd w:fill="EEF3F8" w:val="clear"/>
            <w:tcMar>
              <w:top w:type="dxa" w:w="70"/>
              <w:left w:type="dxa" w:w="110"/>
              <w:bottom w:type="dxa" w:w="70"/>
              <w:right w:type="dxa" w:w="110"/>
            </w:tcMar>
          </w:tcPr>
          <w:p>
            <w:pPr>
              <w:spacing w:after="30" w:line="250"/>
            </w:pPr>
            <w:r>
              <w:rPr>
                <w:sz w:val="19"/>
                <w:szCs w:val="19"/>
              </w:rPr>
              <w:t xml:space="preserve">Talent</w:t>
            </w:r>
          </w:p>
        </w:tc>
        <w:tc>
          <w:tcPr>
            <w:shd w:fill="EEF3F8" w:val="clear"/>
            <w:tcMar>
              <w:top w:type="dxa" w:w="70"/>
              <w:left w:type="dxa" w:w="110"/>
              <w:bottom w:type="dxa" w:w="70"/>
              <w:right w:type="dxa" w:w="110"/>
            </w:tcMar>
          </w:tcPr>
          <w:p>
            <w:pPr>
              <w:spacing w:after="30" w:line="250"/>
            </w:pPr>
            <w:r>
              <w:rPr>
                <w:sz w:val="19"/>
                <w:szCs w:val="19"/>
              </w:rPr>
              <w:t xml:space="preserve">Medium</w:t>
            </w:r>
          </w:p>
        </w:tc>
        <w:tc>
          <w:tcPr>
            <w:shd w:fill="EEF3F8" w:val="clear"/>
            <w:tcMar>
              <w:top w:type="dxa" w:w="70"/>
              <w:left w:type="dxa" w:w="110"/>
              <w:bottom w:type="dxa" w:w="70"/>
              <w:right w:type="dxa" w:w="110"/>
            </w:tcMar>
          </w:tcPr>
          <w:p>
            <w:pPr>
              <w:spacing w:after="30" w:line="250"/>
            </w:pPr>
            <w:r>
              <w:rPr>
                <w:sz w:val="19"/>
                <w:szCs w:val="19"/>
              </w:rPr>
              <w:t xml:space="preserve">You need solid data engineering plus marketing-domain knowledge plus AI/LLM integration. The combination is the scarce part.</w:t>
            </w:r>
          </w:p>
        </w:tc>
      </w:tr>
    </w:tbl>
    <w:p>
      <w:pPr>
        <w:spacing w:after="80"/>
      </w:pPr>
    </w:p>
    <w:tbl>
      <w:tblPr>
        <w:tblW w:type="pct" w:w="100%"/>
        <w:tblBorders>
          <w:top w:val="single" w:color="B07D2B" w:sz="1"/>
          <w:left w:val="single" w:color="B07D2B" w:sz="1"/>
          <w:bottom w:val="single" w:color="B07D2B" w:sz="1"/>
          <w:right w:val="single" w:color="B07D2B" w:sz="1"/>
          <w:insideH w:val="single" w:color="auto" w:sz="4"/>
          <w:insideV w:val="single" w:color="auto" w:sz="4"/>
        </w:tblBorders>
      </w:tblPr>
      <w:tblGrid>
        <w:gridCol w:w="100"/>
      </w:tblGrid>
      <w:tr>
        <w:tc>
          <w:tcPr>
            <w:shd w:fill="B07D2B" w:val="clear"/>
            <w:tcMar>
              <w:top w:type="dxa" w:w="130"/>
              <w:left w:type="dxa" w:w="160"/>
              <w:bottom w:type="dxa" w:w="130"/>
              <w:right w:type="dxa" w:w="160"/>
            </w:tcMar>
          </w:tcPr>
          <w:p>
            <w:pPr>
              <w:spacing w:after="60"/>
            </w:pPr>
            <w:r>
              <w:rPr>
                <w:b/>
                <w:bCs/>
                <w:color w:val="FFFFFF"/>
                <w:sz w:val="21"/>
                <w:szCs w:val="21"/>
              </w:rPr>
              <w:t xml:space="preserve">The single biggest gate: platform API access</w:t>
            </w:r>
          </w:p>
          <w:p>
            <w:pPr>
              <w:spacing w:after="40" w:line="264"/>
            </w:pPr>
            <w:r>
              <w:rPr>
                <w:color w:val="FFFFFF"/>
                <w:sz w:val="20"/>
                <w:szCs w:val="20"/>
              </w:rPr>
              <w:t xml:space="preserve">Every credible competitor lives or dies on stable, approved access to Meta, Google, LinkedIn and TikTok APIs. Approvals take time, require business verification and app review, and impose rate limits and strict data-use rules.</w:t>
            </w:r>
          </w:p>
          <w:p>
            <w:pPr>
              <w:spacing w:after="40" w:line="264"/>
            </w:pPr>
            <w:r>
              <w:rPr>
                <w:color w:val="FFFFFF"/>
                <w:sz w:val="20"/>
                <w:szCs w:val="20"/>
              </w:rPr>
              <w:t xml:space="preserve">Action: begin the Meta App Review and Google Ads developer-token applications early — before the product is finished — because approval timelines, not coding, will be your critical path.</w:t>
            </w:r>
          </w:p>
        </w:tc>
      </w:tr>
    </w:tbl>
    <w:p>
      <w:r>
        <w:br w:type="page"/>
      </w:r>
    </w:p>
    <w:p>
      <w:pPr>
        <w:pStyle w:val="Heading1"/>
        <w:spacing w:after="140" w:before="320"/>
      </w:pPr>
      <w:r>
        <w:t xml:space="preserve">6. Porter's Five Forces</w:t>
      </w:r>
    </w:p>
    <w:p>
      <w:pPr>
        <w:spacing w:after="140" w:line="276"/>
      </w:pPr>
      <w:r>
        <w:t xml:space="preserve">Porter's framework gauges the structural attractiveness of the industry. Overall the category is moderately attractive: growing demand and differentiation room, offset by strong rivalry and powerful platform 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
        <w:gridCol w:w="16"/>
        <w:gridCol w:w="58"/>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Force</w:t>
            </w:r>
          </w:p>
        </w:tc>
        <w:tc>
          <w:tcPr>
            <w:shd w:fill="1F3A5F" w:val="clear"/>
            <w:tcMar>
              <w:top w:type="dxa" w:w="70"/>
              <w:left w:type="dxa" w:w="110"/>
              <w:bottom w:type="dxa" w:w="70"/>
              <w:right w:type="dxa" w:w="110"/>
            </w:tcMar>
          </w:tcPr>
          <w:p>
            <w:pPr>
              <w:spacing w:after="30" w:line="250"/>
            </w:pPr>
            <w:r>
              <w:rPr>
                <w:b/>
                <w:bCs/>
                <w:color w:val="FFFFFF"/>
                <w:sz w:val="19"/>
                <w:szCs w:val="19"/>
              </w:rPr>
              <w:t xml:space="preserve">Intensity</w:t>
            </w:r>
          </w:p>
        </w:tc>
        <w:tc>
          <w:tcPr>
            <w:shd w:fill="1F3A5F" w:val="clear"/>
            <w:tcMar>
              <w:top w:type="dxa" w:w="70"/>
              <w:left w:type="dxa" w:w="110"/>
              <w:bottom w:type="dxa" w:w="70"/>
              <w:right w:type="dxa" w:w="110"/>
            </w:tcMar>
          </w:tcPr>
          <w:p>
            <w:pPr>
              <w:spacing w:after="30" w:line="250"/>
            </w:pPr>
            <w:r>
              <w:rPr>
                <w:b/>
                <w:bCs/>
                <w:color w:val="FFFFFF"/>
                <w:sz w:val="19"/>
                <w:szCs w:val="19"/>
              </w:rPr>
              <w:t xml:space="preserve">Assessment</w:t>
            </w:r>
          </w:p>
        </w:tc>
      </w:tr>
      <w:tr>
        <w:tc>
          <w:tcPr>
            <w:shd w:fill="FFFFFF" w:val="clear"/>
            <w:tcMar>
              <w:top w:type="dxa" w:w="70"/>
              <w:left w:type="dxa" w:w="110"/>
              <w:bottom w:type="dxa" w:w="70"/>
              <w:right w:type="dxa" w:w="110"/>
            </w:tcMar>
          </w:tcPr>
          <w:p>
            <w:pPr>
              <w:spacing w:after="30" w:line="250"/>
            </w:pPr>
            <w:r>
              <w:rPr>
                <w:sz w:val="19"/>
                <w:szCs w:val="19"/>
              </w:rPr>
              <w:t xml:space="preserve">Competitive rivalry</w:t>
            </w:r>
          </w:p>
        </w:tc>
        <w:tc>
          <w:tcPr>
            <w:shd w:fill="FFFFFF" w:val="clear"/>
            <w:tcMar>
              <w:top w:type="dxa" w:w="70"/>
              <w:left w:type="dxa" w:w="110"/>
              <w:bottom w:type="dxa" w:w="70"/>
              <w:right w:type="dxa" w:w="110"/>
            </w:tcMar>
          </w:tcPr>
          <w:p>
            <w:pPr>
              <w:spacing w:after="30" w:line="250"/>
            </w:pPr>
            <w:r>
              <w:rPr>
                <w:sz w:val="19"/>
                <w:szCs w:val="19"/>
              </w:rPr>
              <w:t xml:space="preserve">HIGH</w:t>
            </w:r>
          </w:p>
        </w:tc>
        <w:tc>
          <w:tcPr>
            <w:shd w:fill="FFFFFF" w:val="clear"/>
            <w:tcMar>
              <w:top w:type="dxa" w:w="70"/>
              <w:left w:type="dxa" w:w="110"/>
              <w:bottom w:type="dxa" w:w="70"/>
              <w:right w:type="dxa" w:w="110"/>
            </w:tcMar>
          </w:tcPr>
          <w:p>
            <w:pPr>
              <w:spacing w:after="30" w:line="250"/>
            </w:pPr>
            <w:r>
              <w:rPr>
                <w:sz w:val="19"/>
                <w:szCs w:val="19"/>
              </w:rPr>
              <w:t xml:space="preserve">Many funded players, overlapping features and active price competition (Catchr, DataSlayer undercutting on price). Differentiation is essential to avoid a race to the bottom.</w:t>
            </w:r>
          </w:p>
        </w:tc>
      </w:tr>
      <w:tr>
        <w:tc>
          <w:tcPr>
            <w:shd w:fill="EEF3F8" w:val="clear"/>
            <w:tcMar>
              <w:top w:type="dxa" w:w="70"/>
              <w:left w:type="dxa" w:w="110"/>
              <w:bottom w:type="dxa" w:w="70"/>
              <w:right w:type="dxa" w:w="110"/>
            </w:tcMar>
          </w:tcPr>
          <w:p>
            <w:pPr>
              <w:spacing w:after="30" w:line="250"/>
            </w:pPr>
            <w:r>
              <w:rPr>
                <w:sz w:val="19"/>
                <w:szCs w:val="19"/>
              </w:rPr>
              <w:t xml:space="preserve">Supplier power (the ad platforms)</w:t>
            </w:r>
          </w:p>
        </w:tc>
        <w:tc>
          <w:tcPr>
            <w:shd w:fill="EEF3F8" w:val="clear"/>
            <w:tcMar>
              <w:top w:type="dxa" w:w="70"/>
              <w:left w:type="dxa" w:w="110"/>
              <w:bottom w:type="dxa" w:w="70"/>
              <w:right w:type="dxa" w:w="110"/>
            </w:tcMar>
          </w:tcPr>
          <w:p>
            <w:pPr>
              <w:spacing w:after="30" w:line="250"/>
            </w:pPr>
            <w:r>
              <w:rPr>
                <w:sz w:val="19"/>
                <w:szCs w:val="19"/>
              </w:rPr>
              <w:t xml:space="preserve">HIGH</w:t>
            </w:r>
          </w:p>
        </w:tc>
        <w:tc>
          <w:tcPr>
            <w:shd w:fill="EEF3F8" w:val="clear"/>
            <w:tcMar>
              <w:top w:type="dxa" w:w="70"/>
              <w:left w:type="dxa" w:w="110"/>
              <w:bottom w:type="dxa" w:w="70"/>
              <w:right w:type="dxa" w:w="110"/>
            </w:tcMar>
          </w:tcPr>
          <w:p>
            <w:pPr>
              <w:spacing w:after="30" w:line="250"/>
            </w:pPr>
            <w:r>
              <w:rPr>
                <w:sz w:val="19"/>
                <w:szCs w:val="19"/>
              </w:rPr>
              <w:t xml:space="preserve">Meta, Google, LinkedIn and TikTok control the APIs you depend on. They set terms, rate limits, pricing of access and can change or revoke it. You are structurally dependent on them.</w:t>
            </w:r>
          </w:p>
        </w:tc>
      </w:tr>
      <w:tr>
        <w:tc>
          <w:tcPr>
            <w:shd w:fill="FFFFFF" w:val="clear"/>
            <w:tcMar>
              <w:top w:type="dxa" w:w="70"/>
              <w:left w:type="dxa" w:w="110"/>
              <w:bottom w:type="dxa" w:w="70"/>
              <w:right w:type="dxa" w:w="110"/>
            </w:tcMar>
          </w:tcPr>
          <w:p>
            <w:pPr>
              <w:spacing w:after="30" w:line="250"/>
            </w:pPr>
            <w:r>
              <w:rPr>
                <w:sz w:val="19"/>
                <w:szCs w:val="19"/>
              </w:rPr>
              <w:t xml:space="preserve">Buyer power</w:t>
            </w:r>
          </w:p>
        </w:tc>
        <w:tc>
          <w:tcPr>
            <w:shd w:fill="FFFFFF" w:val="clear"/>
            <w:tcMar>
              <w:top w:type="dxa" w:w="70"/>
              <w:left w:type="dxa" w:w="110"/>
              <w:bottom w:type="dxa" w:w="70"/>
              <w:right w:type="dxa" w:w="110"/>
            </w:tcMar>
          </w:tcPr>
          <w:p>
            <w:pPr>
              <w:spacing w:after="30" w:line="250"/>
            </w:pPr>
            <w:r>
              <w:rPr>
                <w:sz w:val="19"/>
                <w:szCs w:val="19"/>
              </w:rPr>
              <w:t xml:space="preserve">MEDIUM-HIGH</w:t>
            </w:r>
          </w:p>
        </w:tc>
        <w:tc>
          <w:tcPr>
            <w:shd w:fill="FFFFFF" w:val="clear"/>
            <w:tcMar>
              <w:top w:type="dxa" w:w="70"/>
              <w:left w:type="dxa" w:w="110"/>
              <w:bottom w:type="dxa" w:w="70"/>
              <w:right w:type="dxa" w:w="110"/>
            </w:tcMar>
          </w:tcPr>
          <w:p>
            <w:pPr>
              <w:spacing w:after="30" w:line="250"/>
            </w:pPr>
            <w:r>
              <w:rPr>
                <w:sz w:val="19"/>
                <w:szCs w:val="19"/>
              </w:rPr>
              <w:t xml:space="preserve">Agencies are price-sensitive, can switch, and can build basic reporting themselves with Looker Studio. Low switching friction at the low end raises buyer power; deep workflow integration lowers it once embedded.</w:t>
            </w:r>
          </w:p>
        </w:tc>
      </w:tr>
      <w:tr>
        <w:tc>
          <w:tcPr>
            <w:shd w:fill="EEF3F8" w:val="clear"/>
            <w:tcMar>
              <w:top w:type="dxa" w:w="70"/>
              <w:left w:type="dxa" w:w="110"/>
              <w:bottom w:type="dxa" w:w="70"/>
              <w:right w:type="dxa" w:w="110"/>
            </w:tcMar>
          </w:tcPr>
          <w:p>
            <w:pPr>
              <w:spacing w:after="30" w:line="250"/>
            </w:pPr>
            <w:r>
              <w:rPr>
                <w:sz w:val="19"/>
                <w:szCs w:val="19"/>
              </w:rPr>
              <w:t xml:space="preserve">Threat of new entrants</w:t>
            </w:r>
          </w:p>
        </w:tc>
        <w:tc>
          <w:tcPr>
            <w:shd w:fill="EEF3F8" w:val="clear"/>
            <w:tcMar>
              <w:top w:type="dxa" w:w="70"/>
              <w:left w:type="dxa" w:w="110"/>
              <w:bottom w:type="dxa" w:w="70"/>
              <w:right w:type="dxa" w:w="110"/>
            </w:tcMar>
          </w:tcPr>
          <w:p>
            <w:pPr>
              <w:spacing w:after="30" w:line="250"/>
            </w:pPr>
            <w:r>
              <w:rPr>
                <w:sz w:val="19"/>
                <w:szCs w:val="19"/>
              </w:rPr>
              <w:t xml:space="preserve">MEDIUM</w:t>
            </w:r>
          </w:p>
        </w:tc>
        <w:tc>
          <w:tcPr>
            <w:shd w:fill="EEF3F8" w:val="clear"/>
            <w:tcMar>
              <w:top w:type="dxa" w:w="70"/>
              <w:left w:type="dxa" w:w="110"/>
              <w:bottom w:type="dxa" w:w="70"/>
              <w:right w:type="dxa" w:w="110"/>
            </w:tcMar>
          </w:tcPr>
          <w:p>
            <w:pPr>
              <w:spacing w:after="30" w:line="250"/>
            </w:pPr>
            <w:r>
              <w:rPr>
                <w:sz w:val="19"/>
                <w:szCs w:val="19"/>
              </w:rPr>
              <w:t xml:space="preserve">Low-code tools and AI lower the build cost, inviting new entrants — but API approvals, data reliability and trust still gate serious players. The bar is rising on AI and falling on basic ETL.</w:t>
            </w:r>
          </w:p>
        </w:tc>
      </w:tr>
      <w:tr>
        <w:tc>
          <w:tcPr>
            <w:shd w:fill="FFFFFF" w:val="clear"/>
            <w:tcMar>
              <w:top w:type="dxa" w:w="70"/>
              <w:left w:type="dxa" w:w="110"/>
              <w:bottom w:type="dxa" w:w="70"/>
              <w:right w:type="dxa" w:w="110"/>
            </w:tcMar>
          </w:tcPr>
          <w:p>
            <w:pPr>
              <w:spacing w:after="30" w:line="250"/>
            </w:pPr>
            <w:r>
              <w:rPr>
                <w:sz w:val="19"/>
                <w:szCs w:val="19"/>
              </w:rPr>
              <w:t xml:space="preserve">Threat of substitutes</w:t>
            </w:r>
          </w:p>
        </w:tc>
        <w:tc>
          <w:tcPr>
            <w:shd w:fill="FFFFFF" w:val="clear"/>
            <w:tcMar>
              <w:top w:type="dxa" w:w="70"/>
              <w:left w:type="dxa" w:w="110"/>
              <w:bottom w:type="dxa" w:w="70"/>
              <w:right w:type="dxa" w:w="110"/>
            </w:tcMar>
          </w:tcPr>
          <w:p>
            <w:pPr>
              <w:spacing w:after="30" w:line="250"/>
            </w:pPr>
            <w:r>
              <w:rPr>
                <w:sz w:val="19"/>
                <w:szCs w:val="19"/>
              </w:rPr>
              <w:t xml:space="preserve">MEDIUM-HIGH</w:t>
            </w:r>
          </w:p>
        </w:tc>
        <w:tc>
          <w:tcPr>
            <w:shd w:fill="FFFFFF" w:val="clear"/>
            <w:tcMar>
              <w:top w:type="dxa" w:w="70"/>
              <w:left w:type="dxa" w:w="110"/>
              <w:bottom w:type="dxa" w:w="70"/>
              <w:right w:type="dxa" w:w="110"/>
            </w:tcMar>
          </w:tcPr>
          <w:p>
            <w:pPr>
              <w:spacing w:after="30" w:line="250"/>
            </w:pPr>
            <w:r>
              <w:rPr>
                <w:sz w:val="19"/>
                <w:szCs w:val="19"/>
              </w:rPr>
              <w:t xml:space="preserve">Free/cheap substitutes exist: Looker Studio + native platform exports, spreadsheets, or in-house scripts. Your defence is the time saved and the AI insight layer they cannot easily replicate.</w:t>
            </w:r>
          </w:p>
        </w:tc>
      </w:tr>
    </w:tbl>
    <w:p>
      <w:pPr>
        <w:spacing w:after="80"/>
      </w:pPr>
    </w:p>
    <w:p>
      <w:pPr>
        <w:pStyle w:val="Heading2"/>
        <w:spacing w:after="100" w:before="240"/>
      </w:pPr>
      <w:r>
        <w:t xml:space="preserve">Strategic implications</w:t>
      </w:r>
    </w:p>
    <w:p>
      <w:pPr>
        <w:pStyle w:val="ListParagraph"/>
        <w:numPr>
          <w:ilvl w:val="0"/>
          <w:numId w:val="1"/>
        </w:numPr>
        <w:spacing w:after="80" w:line="268"/>
      </w:pPr>
      <w:r>
        <w:rPr>
          <w:b/>
          <w:bCs/>
        </w:rPr>
        <w:t xml:space="preserve">Reduce supplier dependence risk: </w:t>
      </w:r>
      <w:r>
        <w:t xml:space="preserve">build a connector abstraction layer so a single API change does not break everything, and diversify across channels.</w:t>
      </w:r>
    </w:p>
    <w:p>
      <w:pPr>
        <w:pStyle w:val="ListParagraph"/>
        <w:numPr>
          <w:ilvl w:val="0"/>
          <w:numId w:val="1"/>
        </w:numPr>
        <w:spacing w:after="80" w:line="268"/>
      </w:pPr>
      <w:r>
        <w:rPr>
          <w:b/>
          <w:bCs/>
        </w:rPr>
        <w:t xml:space="preserve">Beat substitutes on value, not price alone: </w:t>
      </w:r>
      <w:r>
        <w:t xml:space="preserve">the AI insight layer is what a free Looker Studio template cannot do.</w:t>
      </w:r>
    </w:p>
    <w:p>
      <w:pPr>
        <w:pStyle w:val="ListParagraph"/>
        <w:numPr>
          <w:ilvl w:val="0"/>
          <w:numId w:val="1"/>
        </w:numPr>
        <w:spacing w:after="80" w:line="268"/>
      </w:pPr>
      <w:r>
        <w:rPr>
          <w:b/>
          <w:bCs/>
        </w:rPr>
        <w:t xml:space="preserve">Blunt rivalry with focus: </w:t>
      </w:r>
      <w:r>
        <w:t xml:space="preserve">do not fight on breadth; win a defined segment (NZ/AU agencies) with a sharp wedge.</w:t>
      </w:r>
    </w:p>
    <w:p>
      <w:r>
        <w:br w:type="page"/>
      </w:r>
    </w:p>
    <w:p>
      <w:pPr>
        <w:pStyle w:val="Heading1"/>
        <w:spacing w:after="140" w:before="320"/>
      </w:pPr>
      <w:r>
        <w:t xml:space="preserve">7. SWOT Analysis</w:t>
      </w:r>
    </w:p>
    <w:p>
      <w:pPr>
        <w:spacing w:after="140" w:line="276"/>
      </w:pPr>
      <w:r>
        <w:t xml:space="preserve">The SWOT pulls the internal (strengths, weaknesses) and external (opportunities, threats) factors into one view. Strengths and opportunities cluster around AI and local focus; weaknesses and threats cluster around being a late, small entrant in a platform-dependent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
        <w:gridCol w:w="50"/>
      </w:tblGrid>
      <w:tr>
        <w:tc>
          <w:tcPr>
            <w:tcW w:type="pct" w:w="50%"/>
            <w:shd w:fill="E9F2EC" w:val="clear"/>
            <w:tcMar>
              <w:top w:type="dxa" w:w="130"/>
              <w:left w:type="dxa" w:w="150"/>
              <w:bottom w:type="dxa" w:w="130"/>
              <w:right w:type="dxa" w:w="150"/>
            </w:tcMar>
          </w:tcPr>
          <w:p>
            <w:pPr>
              <w:spacing w:after="80"/>
            </w:pPr>
            <w:r>
              <w:rPr>
                <w:b/>
                <w:bCs/>
                <w:color w:val="2E7D5B"/>
                <w:sz w:val="24"/>
                <w:szCs w:val="24"/>
              </w:rPr>
              <w:t xml:space="preserve">STRENGTHS</w:t>
            </w:r>
          </w:p>
          <w:p>
            <w:pPr>
              <w:pStyle w:val="ListParagraph"/>
              <w:numPr>
                <w:ilvl w:val="0"/>
                <w:numId w:val="1"/>
              </w:numPr>
              <w:spacing w:after="60" w:line="264"/>
            </w:pPr>
            <w:r>
              <w:rPr>
                <w:sz w:val="19"/>
                <w:szCs w:val="19"/>
              </w:rPr>
              <w:t xml:space="preserve">AI-native design: recommendations and narrative as the core, not a bolt-on.</w:t>
            </w:r>
          </w:p>
          <w:p>
            <w:pPr>
              <w:pStyle w:val="ListParagraph"/>
              <w:numPr>
                <w:ilvl w:val="0"/>
                <w:numId w:val="1"/>
              </w:numPr>
              <w:spacing w:after="60" w:line="264"/>
            </w:pPr>
            <w:r>
              <w:rPr>
                <w:sz w:val="19"/>
                <w:szCs w:val="19"/>
              </w:rPr>
              <w:t xml:space="preserve">Local NZ/AU knowledge, timezone-aligned support and 'buy local' positioning.</w:t>
            </w:r>
          </w:p>
          <w:p>
            <w:pPr>
              <w:pStyle w:val="ListParagraph"/>
              <w:numPr>
                <w:ilvl w:val="0"/>
                <w:numId w:val="1"/>
              </w:numPr>
              <w:spacing w:after="60" w:line="264"/>
            </w:pPr>
            <w:r>
              <w:rPr>
                <w:sz w:val="19"/>
                <w:szCs w:val="19"/>
              </w:rPr>
              <w:t xml:space="preserve">Founder domain experience in the NZ marketing space.</w:t>
            </w:r>
          </w:p>
          <w:p>
            <w:pPr>
              <w:pStyle w:val="ListParagraph"/>
              <w:numPr>
                <w:ilvl w:val="0"/>
                <w:numId w:val="1"/>
              </w:numPr>
              <w:spacing w:after="60" w:line="264"/>
            </w:pPr>
            <w:r>
              <w:rPr>
                <w:sz w:val="19"/>
                <w:szCs w:val="19"/>
              </w:rPr>
              <w:t xml:space="preserve">Freedom to design fair, transparent agency pricing without legacy model baggage.</w:t>
            </w:r>
          </w:p>
          <w:p>
            <w:pPr>
              <w:pStyle w:val="ListParagraph"/>
              <w:numPr>
                <w:ilvl w:val="0"/>
                <w:numId w:val="1"/>
              </w:numPr>
              <w:spacing w:after="60" w:line="264"/>
            </w:pPr>
            <w:r>
              <w:rPr>
                <w:sz w:val="19"/>
                <w:szCs w:val="19"/>
              </w:rPr>
              <w:t xml:space="preserve">Lean cost base; can be profitable at modest scale.</w:t>
            </w:r>
          </w:p>
        </w:tc>
        <w:tc>
          <w:tcPr>
            <w:tcW w:type="pct" w:w="50%"/>
            <w:shd w:fill="FBEDEF" w:val="clear"/>
            <w:tcMar>
              <w:top w:type="dxa" w:w="130"/>
              <w:left w:type="dxa" w:w="150"/>
              <w:bottom w:type="dxa" w:w="130"/>
              <w:right w:type="dxa" w:w="150"/>
            </w:tcMar>
          </w:tcPr>
          <w:p>
            <w:pPr>
              <w:spacing w:after="80"/>
            </w:pPr>
            <w:r>
              <w:rPr>
                <w:b/>
                <w:bCs/>
                <w:color w:val="B23A48"/>
                <w:sz w:val="24"/>
                <w:szCs w:val="24"/>
              </w:rPr>
              <w:t xml:space="preserve">WEAKNESSES</w:t>
            </w:r>
          </w:p>
          <w:p>
            <w:pPr>
              <w:pStyle w:val="ListParagraph"/>
              <w:numPr>
                <w:ilvl w:val="0"/>
                <w:numId w:val="1"/>
              </w:numPr>
              <w:spacing w:after="60" w:line="264"/>
            </w:pPr>
            <w:r>
              <w:rPr>
                <w:sz w:val="19"/>
                <w:szCs w:val="19"/>
              </w:rPr>
              <w:t xml:space="preserve">No brand, no references, no track record at launch.</w:t>
            </w:r>
          </w:p>
          <w:p>
            <w:pPr>
              <w:pStyle w:val="ListParagraph"/>
              <w:numPr>
                <w:ilvl w:val="0"/>
                <w:numId w:val="1"/>
              </w:numPr>
              <w:spacing w:after="60" w:line="264"/>
            </w:pPr>
            <w:r>
              <w:rPr>
                <w:sz w:val="19"/>
                <w:szCs w:val="19"/>
              </w:rPr>
              <w:t xml:space="preserve">Small team can't match incumbents' connector breadth or engineering depth.</w:t>
            </w:r>
          </w:p>
          <w:p>
            <w:pPr>
              <w:pStyle w:val="ListParagraph"/>
              <w:numPr>
                <w:ilvl w:val="0"/>
                <w:numId w:val="1"/>
              </w:numPr>
              <w:spacing w:after="60" w:line="264"/>
            </w:pPr>
            <w:r>
              <w:rPr>
                <w:sz w:val="19"/>
                <w:szCs w:val="19"/>
              </w:rPr>
              <w:t xml:space="preserve">Reliant on a handful of channels initially.</w:t>
            </w:r>
          </w:p>
          <w:p>
            <w:pPr>
              <w:pStyle w:val="ListParagraph"/>
              <w:numPr>
                <w:ilvl w:val="0"/>
                <w:numId w:val="1"/>
              </w:numPr>
              <w:spacing w:after="60" w:line="264"/>
            </w:pPr>
            <w:r>
              <w:rPr>
                <w:sz w:val="19"/>
                <w:szCs w:val="19"/>
              </w:rPr>
              <w:t xml:space="preserve">Ongoing connector maintenance burden falls on few people.</w:t>
            </w:r>
          </w:p>
          <w:p>
            <w:pPr>
              <w:pStyle w:val="ListParagraph"/>
              <w:numPr>
                <w:ilvl w:val="0"/>
                <w:numId w:val="1"/>
              </w:numPr>
              <w:spacing w:after="60" w:line="264"/>
            </w:pPr>
            <w:r>
              <w:rPr>
                <w:sz w:val="19"/>
                <w:szCs w:val="19"/>
              </w:rPr>
              <w:t xml:space="preserve">Limited capital and marketing budget vs. funded rivals.</w:t>
            </w:r>
          </w:p>
        </w:tc>
      </w:tr>
      <w:tr>
        <w:tc>
          <w:tcPr>
            <w:tcW w:type="pct" w:w="50%"/>
            <w:shd w:fill="EAF1F8" w:val="clear"/>
            <w:tcMar>
              <w:top w:type="dxa" w:w="130"/>
              <w:left w:type="dxa" w:w="150"/>
              <w:bottom w:type="dxa" w:w="130"/>
              <w:right w:type="dxa" w:w="150"/>
            </w:tcMar>
          </w:tcPr>
          <w:p>
            <w:pPr>
              <w:spacing w:after="80"/>
            </w:pPr>
            <w:r>
              <w:rPr>
                <w:b/>
                <w:bCs/>
                <w:color w:val="2E6CA8"/>
                <w:sz w:val="24"/>
                <w:szCs w:val="24"/>
              </w:rPr>
              <w:t xml:space="preserve">OPPORTUNITIES</w:t>
            </w:r>
          </w:p>
          <w:p>
            <w:pPr>
              <w:pStyle w:val="ListParagraph"/>
              <w:numPr>
                <w:ilvl w:val="0"/>
                <w:numId w:val="1"/>
              </w:numPr>
              <w:spacing w:after="60" w:line="264"/>
            </w:pPr>
            <w:r>
              <w:rPr>
                <w:sz w:val="19"/>
                <w:szCs w:val="19"/>
              </w:rPr>
              <w:t xml:space="preserve">Shift from dashboards to AI 'what to do next' is early and under-served.</w:t>
            </w:r>
          </w:p>
          <w:p>
            <w:pPr>
              <w:pStyle w:val="ListParagraph"/>
              <w:numPr>
                <w:ilvl w:val="0"/>
                <w:numId w:val="1"/>
              </w:numPr>
              <w:spacing w:after="60" w:line="264"/>
            </w:pPr>
            <w:r>
              <w:rPr>
                <w:sz w:val="19"/>
                <w:szCs w:val="19"/>
              </w:rPr>
              <w:t xml:space="preserve">Agency frustration with per-seat/per-destination/per-campaign pricing.</w:t>
            </w:r>
          </w:p>
          <w:p>
            <w:pPr>
              <w:pStyle w:val="ListParagraph"/>
              <w:numPr>
                <w:ilvl w:val="0"/>
                <w:numId w:val="1"/>
              </w:numPr>
              <w:spacing w:after="60" w:line="264"/>
            </w:pPr>
            <w:r>
              <w:rPr>
                <w:sz w:val="19"/>
                <w:szCs w:val="19"/>
              </w:rPr>
              <w:t xml:space="preserve">Growing NZ (&gt;NZD 2B) and AU (~AUD 15–16B) digital ad markets.</w:t>
            </w:r>
          </w:p>
          <w:p>
            <w:pPr>
              <w:pStyle w:val="ListParagraph"/>
              <w:numPr>
                <w:ilvl w:val="0"/>
                <w:numId w:val="1"/>
              </w:numPr>
              <w:spacing w:after="60" w:line="264"/>
            </w:pPr>
            <w:r>
              <w:rPr>
                <w:sz w:val="19"/>
                <w:szCs w:val="19"/>
              </w:rPr>
              <w:t xml:space="preserve">White-label + AI lets small agencies punch above their weight.</w:t>
            </w:r>
          </w:p>
          <w:p>
            <w:pPr>
              <w:pStyle w:val="ListParagraph"/>
              <w:numPr>
                <w:ilvl w:val="0"/>
                <w:numId w:val="1"/>
              </w:numPr>
              <w:spacing w:after="60" w:line="264"/>
            </w:pPr>
            <w:r>
              <w:rPr>
                <w:sz w:val="19"/>
                <w:szCs w:val="19"/>
              </w:rPr>
              <w:t xml:space="preserve">Global expansion once the NZ/AU beachhead is proven.</w:t>
            </w:r>
          </w:p>
        </w:tc>
        <w:tc>
          <w:tcPr>
            <w:tcW w:type="pct" w:w="50%"/>
            <w:shd w:fill="FBF4E6" w:val="clear"/>
            <w:tcMar>
              <w:top w:type="dxa" w:w="130"/>
              <w:left w:type="dxa" w:w="150"/>
              <w:bottom w:type="dxa" w:w="130"/>
              <w:right w:type="dxa" w:w="150"/>
            </w:tcMar>
          </w:tcPr>
          <w:p>
            <w:pPr>
              <w:spacing w:after="80"/>
            </w:pPr>
            <w:r>
              <w:rPr>
                <w:b/>
                <w:bCs/>
                <w:color w:val="B07D2B"/>
                <w:sz w:val="24"/>
                <w:szCs w:val="24"/>
              </w:rPr>
              <w:t xml:space="preserve">THREATS</w:t>
            </w:r>
          </w:p>
          <w:p>
            <w:pPr>
              <w:pStyle w:val="ListParagraph"/>
              <w:numPr>
                <w:ilvl w:val="0"/>
                <w:numId w:val="1"/>
              </w:numPr>
              <w:spacing w:after="60" w:line="264"/>
            </w:pPr>
            <w:r>
              <w:rPr>
                <w:sz w:val="19"/>
                <w:szCs w:val="19"/>
              </w:rPr>
              <w:t xml:space="preserve">Platforms can change API terms, pricing or access at any time.</w:t>
            </w:r>
          </w:p>
          <w:p>
            <w:pPr>
              <w:pStyle w:val="ListParagraph"/>
              <w:numPr>
                <w:ilvl w:val="0"/>
                <w:numId w:val="1"/>
              </w:numPr>
              <w:spacing w:after="60" w:line="264"/>
            </w:pPr>
            <w:r>
              <w:rPr>
                <w:sz w:val="19"/>
                <w:szCs w:val="19"/>
              </w:rPr>
              <w:t xml:space="preserve">Incumbents add comparable AI features and out-market you.</w:t>
            </w:r>
          </w:p>
          <w:p>
            <w:pPr>
              <w:pStyle w:val="ListParagraph"/>
              <w:numPr>
                <w:ilvl w:val="0"/>
                <w:numId w:val="1"/>
              </w:numPr>
              <w:spacing w:after="60" w:line="264"/>
            </w:pPr>
            <w:r>
              <w:rPr>
                <w:sz w:val="19"/>
                <w:szCs w:val="19"/>
              </w:rPr>
              <w:t xml:space="preserve">Price war from low-cost challengers (Catchr, DataSlayer).</w:t>
            </w:r>
          </w:p>
          <w:p>
            <w:pPr>
              <w:pStyle w:val="ListParagraph"/>
              <w:numPr>
                <w:ilvl w:val="0"/>
                <w:numId w:val="1"/>
              </w:numPr>
              <w:spacing w:after="60" w:line="264"/>
            </w:pPr>
            <w:r>
              <w:rPr>
                <w:sz w:val="19"/>
                <w:szCs w:val="19"/>
              </w:rPr>
              <w:t xml:space="preserve">Free substitutes (Looker Studio + native exports) for the budget segment.</w:t>
            </w:r>
          </w:p>
          <w:p>
            <w:pPr>
              <w:pStyle w:val="ListParagraph"/>
              <w:numPr>
                <w:ilvl w:val="0"/>
                <w:numId w:val="1"/>
              </w:numPr>
              <w:spacing w:after="60" w:line="264"/>
            </w:pPr>
            <w:r>
              <w:rPr>
                <w:sz w:val="19"/>
                <w:szCs w:val="19"/>
              </w:rPr>
              <w:t xml:space="preserve">AI accuracy/hallucination risk damaging trust if recommendations mislead.</w:t>
            </w:r>
          </w:p>
        </w:tc>
      </w:tr>
    </w:tbl>
    <w:p>
      <w:pPr>
        <w:spacing w:after="120"/>
      </w:pPr>
    </w:p>
    <w:p>
      <w:pPr>
        <w:pStyle w:val="Heading2"/>
        <w:spacing w:after="100" w:before="240"/>
      </w:pPr>
      <w:r>
        <w:t xml:space="preserve">Turning SWOT into strategy (TOWS)</w:t>
      </w:r>
    </w:p>
    <w:p>
      <w:pPr>
        <w:pStyle w:val="ListParagraph"/>
        <w:numPr>
          <w:ilvl w:val="0"/>
          <w:numId w:val="1"/>
        </w:numPr>
        <w:spacing w:after="80" w:line="268"/>
      </w:pPr>
      <w:r>
        <w:rPr>
          <w:b/>
          <w:bCs/>
        </w:rPr>
        <w:t xml:space="preserve">Strength × Opportunity: </w:t>
      </w:r>
      <w:r>
        <w:t xml:space="preserve">lead every message with AI recommendations + fair agency pricing — the two things incumbents are weakest on.</w:t>
      </w:r>
    </w:p>
    <w:p>
      <w:pPr>
        <w:pStyle w:val="ListParagraph"/>
        <w:numPr>
          <w:ilvl w:val="0"/>
          <w:numId w:val="1"/>
        </w:numPr>
        <w:spacing w:after="80" w:line="268"/>
      </w:pPr>
      <w:r>
        <w:rPr>
          <w:b/>
          <w:bCs/>
        </w:rPr>
        <w:t xml:space="preserve">Strength × Threat: </w:t>
      </w:r>
      <w:r>
        <w:t xml:space="preserve">use local presence and trust to defend against bigger, cheaper, faraway rivals; make data-handling and support a selling point.</w:t>
      </w:r>
    </w:p>
    <w:p>
      <w:pPr>
        <w:pStyle w:val="ListParagraph"/>
        <w:numPr>
          <w:ilvl w:val="0"/>
          <w:numId w:val="1"/>
        </w:numPr>
        <w:spacing w:after="80" w:line="268"/>
      </w:pPr>
      <w:r>
        <w:rPr>
          <w:b/>
          <w:bCs/>
        </w:rPr>
        <w:t xml:space="preserve">Weakness × Opportunity: </w:t>
      </w:r>
      <w:r>
        <w:t xml:space="preserve">offset thin connector breadth by going deep on the 5 channels agencies actually use most, plus best-in-class AI.</w:t>
      </w:r>
    </w:p>
    <w:p>
      <w:pPr>
        <w:pStyle w:val="ListParagraph"/>
        <w:numPr>
          <w:ilvl w:val="0"/>
          <w:numId w:val="1"/>
        </w:numPr>
        <w:spacing w:after="80" w:line="268"/>
      </w:pPr>
      <w:r>
        <w:rPr>
          <w:b/>
          <w:bCs/>
        </w:rPr>
        <w:t xml:space="preserve">Weakness × Threat: </w:t>
      </w:r>
      <w:r>
        <w:t xml:space="preserve">manage API/maintenance risk with an abstraction layer and conservative AI guardrails (cite the data behind every recommendation).</w:t>
      </w:r>
    </w:p>
    <w:p>
      <w:r>
        <w:br w:type="page"/>
      </w:r>
    </w:p>
    <w:p>
      <w:pPr>
        <w:pStyle w:val="Heading1"/>
        <w:spacing w:after="140" w:before="320"/>
      </w:pPr>
      <w:r>
        <w:t xml:space="preserve">8. Point of Difference &amp; Positioning</w:t>
      </w:r>
    </w:p>
    <w:p>
      <w:pPr>
        <w:spacing w:after="140" w:line="276"/>
      </w:pPr>
      <w:r>
        <w:t xml:space="preserve">"Another connector tool" will fail. The product needs two or three sharp, defensible reasons to exist that the incumbents structurally cannot or will not copy quickly. Based on the gap analysis, the strongest candidates are:</w:t>
      </w:r>
    </w:p>
    <w:p>
      <w:pPr>
        <w:pStyle w:val="Heading2"/>
        <w:spacing w:after="100" w:before="240"/>
      </w:pPr>
      <w:r>
        <w:t xml:space="preserve">8.1 The differentiation stack</w:t>
      </w:r>
    </w:p>
    <w:p>
      <w:pPr>
        <w:pStyle w:val="ListParagraph"/>
        <w:numPr>
          <w:ilvl w:val="0"/>
          <w:numId w:val="1"/>
        </w:numPr>
        <w:spacing w:after="80" w:line="268"/>
      </w:pPr>
      <w:r>
        <w:rPr>
          <w:b/>
          <w:bCs/>
        </w:rPr>
        <w:t xml:space="preserve">1. AI-native recommendations, not just summaries. </w:t>
      </w:r>
      <w:r>
        <w:t xml:space="preserve">Position the product around actionable optimisation advice ("shift budget from X to Y", "this campaign's CPA is rising — here's why"), grounded in the client's own data, with the evidence shown so agencies trust it. This is the headline wedge.</w:t>
      </w:r>
    </w:p>
    <w:p>
      <w:pPr>
        <w:pStyle w:val="ListParagraph"/>
        <w:numPr>
          <w:ilvl w:val="0"/>
          <w:numId w:val="1"/>
        </w:numPr>
        <w:spacing w:after="80" w:line="268"/>
      </w:pPr>
      <w:r>
        <w:rPr>
          <w:b/>
          <w:bCs/>
        </w:rPr>
        <w:t xml:space="preserve">2. Agency-fair, transparent pricing. </w:t>
      </w:r>
      <w:r>
        <w:t xml:space="preserve">All connectors and unlimited users included; price on value, not on punishing per-seat/per-destination/per-campaign stacking. Directly attacks the loudest incumbent complaint.</w:t>
      </w:r>
    </w:p>
    <w:p>
      <w:pPr>
        <w:pStyle w:val="ListParagraph"/>
        <w:numPr>
          <w:ilvl w:val="0"/>
          <w:numId w:val="1"/>
        </w:numPr>
        <w:spacing w:after="80" w:line="268"/>
      </w:pPr>
      <w:r>
        <w:rPr>
          <w:b/>
          <w:bCs/>
        </w:rPr>
        <w:t xml:space="preserve">3. Local NZ/AU trust and support. </w:t>
      </w:r>
      <w:r>
        <w:t xml:space="preserve">In-timezone humans, NZ data-handling assurances, and authentic 'support a local company' positioning for regional buyers.</w:t>
      </w:r>
    </w:p>
    <w:p>
      <w:pPr>
        <w:pStyle w:val="ListParagraph"/>
        <w:numPr>
          <w:ilvl w:val="0"/>
          <w:numId w:val="1"/>
        </w:numPr>
        <w:spacing w:after="80" w:line="268"/>
      </w:pPr>
      <w:r>
        <w:rPr>
          <w:b/>
          <w:bCs/>
        </w:rPr>
        <w:t xml:space="preserve">4. Time-to-first-report in minutes. </w:t>
      </w:r>
      <w:r>
        <w:t xml:space="preserve">Templated, white-label reports that a non-technical agency can ship on day one — speed and simplicity over enterprise configurability.</w:t>
      </w:r>
    </w:p>
    <w:p>
      <w:pPr>
        <w:pStyle w:val="Heading2"/>
        <w:spacing w:after="100" w:before="240"/>
      </w:pPr>
      <w:r>
        <w:t xml:space="preserve">8.2 Positioning statement (draft)</w:t>
      </w:r>
    </w:p>
    <w:p>
      <w:pPr>
        <w:pBdr>
          <w:left w:val="single" w:color="1B998B" w:sz="18" w:space="12"/>
        </w:pBdr>
        <w:spacing w:after="160" w:line="288"/>
        <w:ind w:left="200"/>
      </w:pPr>
      <w:r>
        <w:rPr>
          <w:i/>
          <w:iCs/>
          <w:color w:val="1F3A5F"/>
          <w:sz w:val="23"/>
          <w:szCs w:val="23"/>
        </w:rPr>
        <w:t xml:space="preserve">"For NZ and Australian marketing agencies drowning in manual reporting, [Product] is the AI-native reporting platform that doesn't just show what happened — it tells you what to do next, in client-ready reports, with one fair price and real local support."</w:t>
      </w:r>
    </w:p>
    <w:p>
      <w:pPr>
        <w:pStyle w:val="Heading2"/>
        <w:spacing w:after="100" w:before="240"/>
      </w:pPr>
      <w:r>
        <w:t xml:space="preserve">8.3 A note on the 'buy local' angle</w:t>
      </w:r>
    </w:p>
    <w:p>
      <w:pPr>
        <w:spacing w:after="140" w:line="276"/>
      </w:pPr>
      <w:r>
        <w:t xml:space="preserve">The NZ/AU and 'support local' sentiment is a real but secondary lever. It helps open doors, win ties and build community, but few agencies will choose a clearly inferior tool out of patriotism. Treat local as a trust and service multiplier on top of a genuinely better product — not as the primary reason to buy.</w:t>
      </w:r>
    </w:p>
    <w:p>
      <w:r>
        <w:br w:type="page"/>
      </w:r>
    </w:p>
    <w:p>
      <w:pPr>
        <w:pStyle w:val="Heading1"/>
        <w:spacing w:after="140" w:before="320"/>
      </w:pPr>
      <w:r>
        <w:t xml:space="preserve">9. Key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
        <w:gridCol w:w="12"/>
        <w:gridCol w:w="60"/>
      </w:tblGrid>
      <w:tr>
        <w:trPr>
          <w:tblHeader/>
        </w:trPr>
        <w:tc>
          <w:tcPr>
            <w:shd w:fill="1F3A5F" w:val="clear"/>
            <w:tcMar>
              <w:top w:type="dxa" w:w="70"/>
              <w:left w:type="dxa" w:w="110"/>
              <w:bottom w:type="dxa" w:w="70"/>
              <w:right w:type="dxa" w:w="110"/>
            </w:tcMar>
          </w:tcPr>
          <w:p>
            <w:pPr>
              <w:spacing w:after="30" w:line="250"/>
            </w:pPr>
            <w:r>
              <w:rPr>
                <w:b/>
                <w:bCs/>
                <w:color w:val="FFFFFF"/>
                <w:sz w:val="19"/>
                <w:szCs w:val="19"/>
              </w:rPr>
              <w:t xml:space="preserve">Risk</w:t>
            </w:r>
          </w:p>
        </w:tc>
        <w:tc>
          <w:tcPr>
            <w:shd w:fill="1F3A5F" w:val="clear"/>
            <w:tcMar>
              <w:top w:type="dxa" w:w="70"/>
              <w:left w:type="dxa" w:w="110"/>
              <w:bottom w:type="dxa" w:w="70"/>
              <w:right w:type="dxa" w:w="110"/>
            </w:tcMar>
          </w:tcPr>
          <w:p>
            <w:pPr>
              <w:spacing w:after="30" w:line="250"/>
            </w:pPr>
            <w:r>
              <w:rPr>
                <w:b/>
                <w:bCs/>
                <w:color w:val="FFFFFF"/>
                <w:sz w:val="19"/>
                <w:szCs w:val="19"/>
              </w:rPr>
              <w:t xml:space="preserve">Severity</w:t>
            </w:r>
          </w:p>
        </w:tc>
        <w:tc>
          <w:tcPr>
            <w:shd w:fill="1F3A5F" w:val="clear"/>
            <w:tcMar>
              <w:top w:type="dxa" w:w="70"/>
              <w:left w:type="dxa" w:w="110"/>
              <w:bottom w:type="dxa" w:w="70"/>
              <w:right w:type="dxa" w:w="110"/>
            </w:tcMar>
          </w:tcPr>
          <w:p>
            <w:pPr>
              <w:spacing w:after="30" w:line="250"/>
            </w:pPr>
            <w:r>
              <w:rPr>
                <w:b/>
                <w:bCs/>
                <w:color w:val="FFFFFF"/>
                <w:sz w:val="19"/>
                <w:szCs w:val="19"/>
              </w:rPr>
              <w:t xml:space="preserve">Mitigation</w:t>
            </w:r>
          </w:p>
        </w:tc>
      </w:tr>
      <w:tr>
        <w:tc>
          <w:tcPr>
            <w:shd w:fill="FFFFFF" w:val="clear"/>
            <w:tcMar>
              <w:top w:type="dxa" w:w="70"/>
              <w:left w:type="dxa" w:w="110"/>
              <w:bottom w:type="dxa" w:w="70"/>
              <w:right w:type="dxa" w:w="110"/>
            </w:tcMar>
          </w:tcPr>
          <w:p>
            <w:pPr>
              <w:spacing w:after="30" w:line="250"/>
            </w:pPr>
            <w:r>
              <w:rPr>
                <w:sz w:val="19"/>
                <w:szCs w:val="19"/>
              </w:rPr>
              <w:t xml:space="preserve">Platform API change/revocation</w:t>
            </w:r>
          </w:p>
        </w:tc>
        <w:tc>
          <w:tcPr>
            <w:shd w:fill="FFFFFF" w:val="clear"/>
            <w:tcMar>
              <w:top w:type="dxa" w:w="70"/>
              <w:left w:type="dxa" w:w="110"/>
              <w:bottom w:type="dxa" w:w="70"/>
              <w:right w:type="dxa" w:w="110"/>
            </w:tcMar>
          </w:tcPr>
          <w:p>
            <w:pPr>
              <w:spacing w:after="30" w:line="250"/>
            </w:pPr>
            <w:r>
              <w:rPr>
                <w:sz w:val="19"/>
                <w:szCs w:val="19"/>
              </w:rPr>
              <w:t xml:space="preserve">High</w:t>
            </w:r>
          </w:p>
        </w:tc>
        <w:tc>
          <w:tcPr>
            <w:shd w:fill="FFFFFF" w:val="clear"/>
            <w:tcMar>
              <w:top w:type="dxa" w:w="70"/>
              <w:left w:type="dxa" w:w="110"/>
              <w:bottom w:type="dxa" w:w="70"/>
              <w:right w:type="dxa" w:w="110"/>
            </w:tcMar>
          </w:tcPr>
          <w:p>
            <w:pPr>
              <w:spacing w:after="30" w:line="250"/>
            </w:pPr>
            <w:r>
              <w:rPr>
                <w:sz w:val="19"/>
                <w:szCs w:val="19"/>
              </w:rPr>
              <w:t xml:space="preserve">Connector abstraction layer; monitor deprecations; diversify channels; maintain compliance to avoid access loss.</w:t>
            </w:r>
          </w:p>
        </w:tc>
      </w:tr>
      <w:tr>
        <w:tc>
          <w:tcPr>
            <w:shd w:fill="EEF3F8" w:val="clear"/>
            <w:tcMar>
              <w:top w:type="dxa" w:w="70"/>
              <w:left w:type="dxa" w:w="110"/>
              <w:bottom w:type="dxa" w:w="70"/>
              <w:right w:type="dxa" w:w="110"/>
            </w:tcMar>
          </w:tcPr>
          <w:p>
            <w:pPr>
              <w:spacing w:after="30" w:line="250"/>
            </w:pPr>
            <w:r>
              <w:rPr>
                <w:sz w:val="19"/>
                <w:szCs w:val="19"/>
              </w:rPr>
              <w:t xml:space="preserve">AI gives wrong/hallucinated advice</w:t>
            </w:r>
          </w:p>
        </w:tc>
        <w:tc>
          <w:tcPr>
            <w:shd w:fill="EEF3F8" w:val="clear"/>
            <w:tcMar>
              <w:top w:type="dxa" w:w="70"/>
              <w:left w:type="dxa" w:w="110"/>
              <w:bottom w:type="dxa" w:w="70"/>
              <w:right w:type="dxa" w:w="110"/>
            </w:tcMar>
          </w:tcPr>
          <w:p>
            <w:pPr>
              <w:spacing w:after="30" w:line="250"/>
            </w:pPr>
            <w:r>
              <w:rPr>
                <w:sz w:val="19"/>
                <w:szCs w:val="19"/>
              </w:rPr>
              <w:t xml:space="preserve">High</w:t>
            </w:r>
          </w:p>
        </w:tc>
        <w:tc>
          <w:tcPr>
            <w:shd w:fill="EEF3F8" w:val="clear"/>
            <w:tcMar>
              <w:top w:type="dxa" w:w="70"/>
              <w:left w:type="dxa" w:w="110"/>
              <w:bottom w:type="dxa" w:w="70"/>
              <w:right w:type="dxa" w:w="110"/>
            </w:tcMar>
          </w:tcPr>
          <w:p>
            <w:pPr>
              <w:spacing w:after="30" w:line="250"/>
            </w:pPr>
            <w:r>
              <w:rPr>
                <w:sz w:val="19"/>
                <w:szCs w:val="19"/>
              </w:rPr>
              <w:t xml:space="preserve">Ground every recommendation in the client's data; show the evidence; add confidence levels and human-review prompts; never auto-act on spend.</w:t>
            </w:r>
          </w:p>
        </w:tc>
      </w:tr>
      <w:tr>
        <w:tc>
          <w:tcPr>
            <w:shd w:fill="FFFFFF" w:val="clear"/>
            <w:tcMar>
              <w:top w:type="dxa" w:w="70"/>
              <w:left w:type="dxa" w:w="110"/>
              <w:bottom w:type="dxa" w:w="70"/>
              <w:right w:type="dxa" w:w="110"/>
            </w:tcMar>
          </w:tcPr>
          <w:p>
            <w:pPr>
              <w:spacing w:after="30" w:line="250"/>
            </w:pPr>
            <w:r>
              <w:rPr>
                <w:sz w:val="19"/>
                <w:szCs w:val="19"/>
              </w:rPr>
              <w:t xml:space="preserve">Incumbents copy the AI wedge</w:t>
            </w:r>
          </w:p>
        </w:tc>
        <w:tc>
          <w:tcPr>
            <w:shd w:fill="FFFFFF" w:val="clear"/>
            <w:tcMar>
              <w:top w:type="dxa" w:w="70"/>
              <w:left w:type="dxa" w:w="110"/>
              <w:bottom w:type="dxa" w:w="70"/>
              <w:right w:type="dxa" w:w="110"/>
            </w:tcMar>
          </w:tcPr>
          <w:p>
            <w:pPr>
              <w:spacing w:after="30" w:line="250"/>
            </w:pPr>
            <w:r>
              <w:rPr>
                <w:sz w:val="19"/>
                <w:szCs w:val="19"/>
              </w:rPr>
              <w:t xml:space="preserve">Medium-High</w:t>
            </w:r>
          </w:p>
        </w:tc>
        <w:tc>
          <w:tcPr>
            <w:shd w:fill="FFFFFF" w:val="clear"/>
            <w:tcMar>
              <w:top w:type="dxa" w:w="70"/>
              <w:left w:type="dxa" w:w="110"/>
              <w:bottom w:type="dxa" w:w="70"/>
              <w:right w:type="dxa" w:w="110"/>
            </w:tcMar>
          </w:tcPr>
          <w:p>
            <w:pPr>
              <w:spacing w:after="30" w:line="250"/>
            </w:pPr>
            <w:r>
              <w:rPr>
                <w:sz w:val="19"/>
                <w:szCs w:val="19"/>
              </w:rPr>
              <w:t xml:space="preserve">Move fast, build local community and switching-friction via workflow depth; compete on price + service they won't match regionally.</w:t>
            </w:r>
          </w:p>
        </w:tc>
      </w:tr>
      <w:tr>
        <w:tc>
          <w:tcPr>
            <w:shd w:fill="EEF3F8" w:val="clear"/>
            <w:tcMar>
              <w:top w:type="dxa" w:w="70"/>
              <w:left w:type="dxa" w:w="110"/>
              <w:bottom w:type="dxa" w:w="70"/>
              <w:right w:type="dxa" w:w="110"/>
            </w:tcMar>
          </w:tcPr>
          <w:p>
            <w:pPr>
              <w:spacing w:after="30" w:line="250"/>
            </w:pPr>
            <w:r>
              <w:rPr>
                <w:sz w:val="19"/>
                <w:szCs w:val="19"/>
              </w:rPr>
              <w:t xml:space="preserve">Slow first sales (no brand)</w:t>
            </w:r>
          </w:p>
        </w:tc>
        <w:tc>
          <w:tcPr>
            <w:shd w:fill="EEF3F8" w:val="clear"/>
            <w:tcMar>
              <w:top w:type="dxa" w:w="70"/>
              <w:left w:type="dxa" w:w="110"/>
              <w:bottom w:type="dxa" w:w="70"/>
              <w:right w:type="dxa" w:w="110"/>
            </w:tcMar>
          </w:tcPr>
          <w:p>
            <w:pPr>
              <w:spacing w:after="30" w:line="250"/>
            </w:pPr>
            <w:r>
              <w:rPr>
                <w:sz w:val="19"/>
                <w:szCs w:val="19"/>
              </w:rPr>
              <w:t xml:space="preserve">Medium-High</w:t>
            </w:r>
          </w:p>
        </w:tc>
        <w:tc>
          <w:tcPr>
            <w:shd w:fill="EEF3F8" w:val="clear"/>
            <w:tcMar>
              <w:top w:type="dxa" w:w="70"/>
              <w:left w:type="dxa" w:w="110"/>
              <w:bottom w:type="dxa" w:w="70"/>
              <w:right w:type="dxa" w:w="110"/>
            </w:tcMar>
          </w:tcPr>
          <w:p>
            <w:pPr>
              <w:spacing w:after="30" w:line="250"/>
            </w:pPr>
            <w:r>
              <w:rPr>
                <w:sz w:val="19"/>
                <w:szCs w:val="19"/>
              </w:rPr>
              <w:t xml:space="preserve">Design-partner program with 10–15 NZ/AU agencies; case studies; referral incentives; founder-led sales.</w:t>
            </w:r>
          </w:p>
        </w:tc>
      </w:tr>
      <w:tr>
        <w:tc>
          <w:tcPr>
            <w:shd w:fill="FFFFFF" w:val="clear"/>
            <w:tcMar>
              <w:top w:type="dxa" w:w="70"/>
              <w:left w:type="dxa" w:w="110"/>
              <w:bottom w:type="dxa" w:w="70"/>
              <w:right w:type="dxa" w:w="110"/>
            </w:tcMar>
          </w:tcPr>
          <w:p>
            <w:pPr>
              <w:spacing w:after="30" w:line="250"/>
            </w:pPr>
            <w:r>
              <w:rPr>
                <w:sz w:val="19"/>
                <w:szCs w:val="19"/>
              </w:rPr>
              <w:t xml:space="preserve">Price war erodes margins</w:t>
            </w:r>
          </w:p>
        </w:tc>
        <w:tc>
          <w:tcPr>
            <w:shd w:fill="FFFFFF" w:val="clear"/>
            <w:tcMar>
              <w:top w:type="dxa" w:w="70"/>
              <w:left w:type="dxa" w:w="110"/>
              <w:bottom w:type="dxa" w:w="70"/>
              <w:right w:type="dxa" w:w="110"/>
            </w:tcMar>
          </w:tcPr>
          <w:p>
            <w:pPr>
              <w:spacing w:after="30" w:line="250"/>
            </w:pPr>
            <w:r>
              <w:rPr>
                <w:sz w:val="19"/>
                <w:szCs w:val="19"/>
              </w:rPr>
              <w:t xml:space="preserve">Medium</w:t>
            </w:r>
          </w:p>
        </w:tc>
        <w:tc>
          <w:tcPr>
            <w:shd w:fill="FFFFFF" w:val="clear"/>
            <w:tcMar>
              <w:top w:type="dxa" w:w="70"/>
              <w:left w:type="dxa" w:w="110"/>
              <w:bottom w:type="dxa" w:w="70"/>
              <w:right w:type="dxa" w:w="110"/>
            </w:tcMar>
          </w:tcPr>
          <w:p>
            <w:pPr>
              <w:spacing w:after="30" w:line="250"/>
            </w:pPr>
            <w:r>
              <w:rPr>
                <w:sz w:val="19"/>
                <w:szCs w:val="19"/>
              </w:rPr>
              <w:t xml:space="preserve">Differentiate on AI value so you're not the cheapest; protect margin with efficient infra and clear tiering.</w:t>
            </w:r>
          </w:p>
        </w:tc>
      </w:tr>
      <w:tr>
        <w:tc>
          <w:tcPr>
            <w:shd w:fill="EEF3F8" w:val="clear"/>
            <w:tcMar>
              <w:top w:type="dxa" w:w="70"/>
              <w:left w:type="dxa" w:w="110"/>
              <w:bottom w:type="dxa" w:w="70"/>
              <w:right w:type="dxa" w:w="110"/>
            </w:tcMar>
          </w:tcPr>
          <w:p>
            <w:pPr>
              <w:spacing w:after="30" w:line="250"/>
            </w:pPr>
            <w:r>
              <w:rPr>
                <w:sz w:val="19"/>
                <w:szCs w:val="19"/>
              </w:rPr>
              <w:t xml:space="preserve">Connector maintenance overload</w:t>
            </w:r>
          </w:p>
        </w:tc>
        <w:tc>
          <w:tcPr>
            <w:shd w:fill="EEF3F8" w:val="clear"/>
            <w:tcMar>
              <w:top w:type="dxa" w:w="70"/>
              <w:left w:type="dxa" w:w="110"/>
              <w:bottom w:type="dxa" w:w="70"/>
              <w:right w:type="dxa" w:w="110"/>
            </w:tcMar>
          </w:tcPr>
          <w:p>
            <w:pPr>
              <w:spacing w:after="30" w:line="250"/>
            </w:pPr>
            <w:r>
              <w:rPr>
                <w:sz w:val="19"/>
                <w:szCs w:val="19"/>
              </w:rPr>
              <w:t xml:space="preserve">Medium</w:t>
            </w:r>
          </w:p>
        </w:tc>
        <w:tc>
          <w:tcPr>
            <w:shd w:fill="EEF3F8" w:val="clear"/>
            <w:tcMar>
              <w:top w:type="dxa" w:w="70"/>
              <w:left w:type="dxa" w:w="110"/>
              <w:bottom w:type="dxa" w:w="70"/>
              <w:right w:type="dxa" w:w="110"/>
            </w:tcMar>
          </w:tcPr>
          <w:p>
            <w:pPr>
              <w:spacing w:after="30" w:line="250"/>
            </w:pPr>
            <w:r>
              <w:rPr>
                <w:sz w:val="19"/>
                <w:szCs w:val="19"/>
              </w:rPr>
              <w:t xml:space="preserve">Limit initial scope to 5 channels; automate testing/alerting on connectors; consider partnering for niche sources later.</w:t>
            </w:r>
          </w:p>
        </w:tc>
      </w:tr>
      <w:tr>
        <w:tc>
          <w:tcPr>
            <w:shd w:fill="FFFFFF" w:val="clear"/>
            <w:tcMar>
              <w:top w:type="dxa" w:w="70"/>
              <w:left w:type="dxa" w:w="110"/>
              <w:bottom w:type="dxa" w:w="70"/>
              <w:right w:type="dxa" w:w="110"/>
            </w:tcMar>
          </w:tcPr>
          <w:p>
            <w:pPr>
              <w:spacing w:after="30" w:line="250"/>
            </w:pPr>
            <w:r>
              <w:rPr>
                <w:sz w:val="19"/>
                <w:szCs w:val="19"/>
              </w:rPr>
              <w:t xml:space="preserve">Founder/key-person concentration</w:t>
            </w:r>
          </w:p>
        </w:tc>
        <w:tc>
          <w:tcPr>
            <w:shd w:fill="FFFFFF" w:val="clear"/>
            <w:tcMar>
              <w:top w:type="dxa" w:w="70"/>
              <w:left w:type="dxa" w:w="110"/>
              <w:bottom w:type="dxa" w:w="70"/>
              <w:right w:type="dxa" w:w="110"/>
            </w:tcMar>
          </w:tcPr>
          <w:p>
            <w:pPr>
              <w:spacing w:after="30" w:line="250"/>
            </w:pPr>
            <w:r>
              <w:rPr>
                <w:sz w:val="19"/>
                <w:szCs w:val="19"/>
              </w:rPr>
              <w:t xml:space="preserve">Medium</w:t>
            </w:r>
          </w:p>
        </w:tc>
        <w:tc>
          <w:tcPr>
            <w:shd w:fill="FFFFFF" w:val="clear"/>
            <w:tcMar>
              <w:top w:type="dxa" w:w="70"/>
              <w:left w:type="dxa" w:w="110"/>
              <w:bottom w:type="dxa" w:w="70"/>
              <w:right w:type="dxa" w:w="110"/>
            </w:tcMar>
          </w:tcPr>
          <w:p>
            <w:pPr>
              <w:spacing w:after="30" w:line="250"/>
            </w:pPr>
            <w:r>
              <w:rPr>
                <w:sz w:val="19"/>
                <w:szCs w:val="19"/>
              </w:rPr>
              <w:t xml:space="preserve">Document systems early; plan first technical hire; avoid single points of failure.</w:t>
            </w:r>
          </w:p>
        </w:tc>
      </w:tr>
      <w:tr>
        <w:tc>
          <w:tcPr>
            <w:shd w:fill="EEF3F8" w:val="clear"/>
            <w:tcMar>
              <w:top w:type="dxa" w:w="70"/>
              <w:left w:type="dxa" w:w="110"/>
              <w:bottom w:type="dxa" w:w="70"/>
              <w:right w:type="dxa" w:w="110"/>
            </w:tcMar>
          </w:tcPr>
          <w:p>
            <w:pPr>
              <w:spacing w:after="30" w:line="250"/>
            </w:pPr>
            <w:r>
              <w:rPr>
                <w:sz w:val="19"/>
                <w:szCs w:val="19"/>
              </w:rPr>
              <w:t xml:space="preserve">Data privacy/compliance breach</w:t>
            </w:r>
          </w:p>
        </w:tc>
        <w:tc>
          <w:tcPr>
            <w:shd w:fill="EEF3F8" w:val="clear"/>
            <w:tcMar>
              <w:top w:type="dxa" w:w="70"/>
              <w:left w:type="dxa" w:w="110"/>
              <w:bottom w:type="dxa" w:w="70"/>
              <w:right w:type="dxa" w:w="110"/>
            </w:tcMar>
          </w:tcPr>
          <w:p>
            <w:pPr>
              <w:spacing w:after="30" w:line="250"/>
            </w:pPr>
            <w:r>
              <w:rPr>
                <w:sz w:val="19"/>
                <w:szCs w:val="19"/>
              </w:rPr>
              <w:t xml:space="preserve">Medium-High</w:t>
            </w:r>
          </w:p>
        </w:tc>
        <w:tc>
          <w:tcPr>
            <w:shd w:fill="EEF3F8" w:val="clear"/>
            <w:tcMar>
              <w:top w:type="dxa" w:w="70"/>
              <w:left w:type="dxa" w:w="110"/>
              <w:bottom w:type="dxa" w:w="70"/>
              <w:right w:type="dxa" w:w="110"/>
            </w:tcMar>
          </w:tcPr>
          <w:p>
            <w:pPr>
              <w:spacing w:after="30" w:line="250"/>
            </w:pPr>
            <w:r>
              <w:rPr>
                <w:sz w:val="19"/>
                <w:szCs w:val="19"/>
              </w:rPr>
              <w:t xml:space="preserve">NZ Privacy Act + AU Privacy Act + GDPR alignment; encryption; least-privilege access; clear DPA with customers.</w:t>
            </w:r>
          </w:p>
        </w:tc>
      </w:tr>
    </w:tbl>
    <w:p>
      <w:r>
        <w:br w:type="page"/>
      </w:r>
    </w:p>
    <w:p>
      <w:pPr>
        <w:pStyle w:val="Heading1"/>
        <w:spacing w:after="140" w:before="320"/>
      </w:pPr>
      <w:r>
        <w:t xml:space="preserve">10. Go-to-Market &amp; Pricing Notes</w:t>
      </w:r>
    </w:p>
    <w:p>
      <w:pPr>
        <w:pStyle w:val="Heading2"/>
        <w:spacing w:after="100" w:before="240"/>
      </w:pPr>
      <w:r>
        <w:t xml:space="preserve">10.1 Pricing approach</w:t>
      </w:r>
    </w:p>
    <w:p>
      <w:pPr>
        <w:spacing w:after="140" w:line="276"/>
      </w:pPr>
      <w:r>
        <w:t xml:space="preserve">The incumbent pricing landscape ranges from low-cost ETL (DataSlayer), through per-campaign agency tools (AgencyAnalytics ~USD 12–15/campaign), to enterprise pipelines (Funnel from ~USD 1,999/mo). The gap to exploit is transparent, all-inclusive agency pricing with the AI layer included rather than upsold.</w:t>
      </w:r>
    </w:p>
    <w:p>
      <w:pPr>
        <w:pStyle w:val="ListParagraph"/>
        <w:numPr>
          <w:ilvl w:val="0"/>
          <w:numId w:val="1"/>
        </w:numPr>
        <w:spacing w:after="80" w:line="268"/>
      </w:pPr>
      <w:r>
        <w:rPr>
          <w:b/>
          <w:bCs/>
        </w:rPr>
        <w:t xml:space="preserve">Recommended model: </w:t>
      </w:r>
      <w:r>
        <w:t xml:space="preserve">tiered by number of client accounts / data volume, with all connectors and unlimited users included on every tier — mirroring Catchr's wedge but adding AI as standard.</w:t>
      </w:r>
    </w:p>
    <w:p>
      <w:pPr>
        <w:pStyle w:val="ListParagraph"/>
        <w:numPr>
          <w:ilvl w:val="0"/>
          <w:numId w:val="1"/>
        </w:numPr>
        <w:spacing w:after="80" w:line="268"/>
      </w:pPr>
      <w:r>
        <w:rPr>
          <w:b/>
          <w:bCs/>
        </w:rPr>
        <w:t xml:space="preserve">Anchor on value: </w:t>
      </w:r>
      <w:r>
        <w:t xml:space="preserve">price against the hours saved + the AI insight, not against the cheapest ETL tool.</w:t>
      </w:r>
    </w:p>
    <w:p>
      <w:pPr>
        <w:pStyle w:val="ListParagraph"/>
        <w:numPr>
          <w:ilvl w:val="0"/>
          <w:numId w:val="1"/>
        </w:numPr>
        <w:spacing w:after="80" w:line="268"/>
      </w:pPr>
      <w:r>
        <w:rPr>
          <w:b/>
          <w:bCs/>
        </w:rPr>
        <w:t xml:space="preserve">Local pricing: </w:t>
      </w:r>
      <w:r>
        <w:t xml:space="preserve">offer NZD/AUD billing — a small but real friction-remover vs. USD-only rivals.</w:t>
      </w:r>
    </w:p>
    <w:p>
      <w:pPr>
        <w:pStyle w:val="Heading2"/>
        <w:spacing w:after="100" w:before="240"/>
      </w:pPr>
      <w:r>
        <w:t xml:space="preserve">10.2 Go-to-market sequence</w:t>
      </w:r>
    </w:p>
    <w:p>
      <w:pPr>
        <w:pStyle w:val="ListParagraph"/>
        <w:numPr>
          <w:ilvl w:val="0"/>
          <w:numId w:val="1"/>
        </w:numPr>
        <w:spacing w:after="80" w:line="268"/>
      </w:pPr>
      <w:r>
        <w:rPr>
          <w:b/>
          <w:bCs/>
        </w:rPr>
        <w:t xml:space="preserve">Phase 0 — Validate: </w:t>
      </w:r>
      <w:r>
        <w:t xml:space="preserve">interview 10–15 NZ/AU agencies; confirm the pain, the willingness to pay and the must-have channels before heavy build.</w:t>
      </w:r>
    </w:p>
    <w:p>
      <w:pPr>
        <w:pStyle w:val="ListParagraph"/>
        <w:numPr>
          <w:ilvl w:val="0"/>
          <w:numId w:val="1"/>
        </w:numPr>
        <w:spacing w:after="80" w:line="268"/>
      </w:pPr>
      <w:r>
        <w:rPr>
          <w:b/>
          <w:bCs/>
        </w:rPr>
        <w:t xml:space="preserve">Phase 1 — Design partners: </w:t>
      </w:r>
      <w:r>
        <w:t xml:space="preserve">ship a narrow MVP (Meta, Google Ads, plus one more) to 3–5 friendly agencies for free/discounted in exchange for feedback and case studies.</w:t>
      </w:r>
    </w:p>
    <w:p>
      <w:pPr>
        <w:pStyle w:val="ListParagraph"/>
        <w:numPr>
          <w:ilvl w:val="0"/>
          <w:numId w:val="1"/>
        </w:numPr>
        <w:spacing w:after="80" w:line="268"/>
      </w:pPr>
      <w:r>
        <w:rPr>
          <w:b/>
          <w:bCs/>
        </w:rPr>
        <w:t xml:space="preserve">Phase 2 — Regional launch: </w:t>
      </w:r>
      <w:r>
        <w:t xml:space="preserve">founder-led sales into NZ then AU; lean on local community, events and 'buy local' channels; build referral loops.</w:t>
      </w:r>
    </w:p>
    <w:p>
      <w:pPr>
        <w:pStyle w:val="ListParagraph"/>
        <w:numPr>
          <w:ilvl w:val="0"/>
          <w:numId w:val="1"/>
        </w:numPr>
        <w:spacing w:after="80" w:line="268"/>
      </w:pPr>
      <w:r>
        <w:rPr>
          <w:b/>
          <w:bCs/>
        </w:rPr>
        <w:t xml:space="preserve">Phase 3 — Expand: </w:t>
      </w:r>
      <w:r>
        <w:t xml:space="preserve">add channels and connectors, then open to global self-serve once the engine and economics are proven.</w:t>
      </w:r>
    </w:p>
    <w:p>
      <w:pPr>
        <w:pStyle w:val="Heading2"/>
        <w:spacing w:after="100" w:before="240"/>
      </w:pPr>
      <w:r>
        <w:t xml:space="preserve">10.3 Minimum viable scope</w:t>
      </w:r>
    </w:p>
    <w:p>
      <w:pPr>
        <w:spacing w:after="140" w:line="276"/>
      </w:pPr>
      <w:r>
        <w:t xml:space="preserve">Resist the urge to match incumbents' breadth. A credible MVP is: connectors for Meta (FB/IG) + Google Ads + one of LinkedIn/TikTok; a handful of white-label report templates; scheduled delivery; and the AI summary + recommendations layer. That is enough to test the core hypothesis without years of connector engineering.</w:t>
      </w:r>
    </w:p>
    <w:p>
      <w:r>
        <w:br w:type="page"/>
      </w:r>
    </w:p>
    <w:p>
      <w:pPr>
        <w:pStyle w:val="Heading1"/>
        <w:spacing w:after="140" w:before="320"/>
      </w:pPr>
      <w:r>
        <w:t xml:space="preserve">11. Viability Verdict &amp; Recommendation</w:t>
      </w:r>
    </w:p>
    <w:p>
      <w:pPr>
        <w:spacing w:after="140" w:line="276"/>
      </w:pPr>
      <w:r>
        <w:t xml:space="preserve">Weighing market size, demand, competition and barriers, the verdict is a conditional GO.</w:t>
      </w:r>
    </w:p>
    <w:tbl>
      <w:tblPr>
        <w:tblW w:type="pct" w:w="100%"/>
        <w:tblBorders>
          <w:top w:val="single" w:color="1B998B" w:sz="1"/>
          <w:left w:val="single" w:color="1B998B" w:sz="1"/>
          <w:bottom w:val="single" w:color="1B998B" w:sz="1"/>
          <w:right w:val="single" w:color="1B998B" w:sz="1"/>
          <w:insideH w:val="single" w:color="auto" w:sz="4"/>
          <w:insideV w:val="single" w:color="auto" w:sz="4"/>
        </w:tblBorders>
      </w:tblPr>
      <w:tblGrid>
        <w:gridCol w:w="100"/>
      </w:tblGrid>
      <w:tr>
        <w:tc>
          <w:tcPr>
            <w:shd w:fill="1B998B" w:val="clear"/>
            <w:tcMar>
              <w:top w:type="dxa" w:w="130"/>
              <w:left w:type="dxa" w:w="160"/>
              <w:bottom w:type="dxa" w:w="130"/>
              <w:right w:type="dxa" w:w="160"/>
            </w:tcMar>
          </w:tcPr>
          <w:p>
            <w:pPr>
              <w:spacing w:after="60"/>
            </w:pPr>
            <w:r>
              <w:rPr>
                <w:b/>
                <w:bCs/>
                <w:color w:val="FFFFFF"/>
                <w:sz w:val="21"/>
                <w:szCs w:val="21"/>
              </w:rPr>
              <w:t xml:space="preserve">Recommendation</w:t>
            </w:r>
          </w:p>
          <w:p>
            <w:pPr>
              <w:spacing w:after="40" w:line="264"/>
            </w:pPr>
            <w:r>
              <w:rPr>
                <w:color w:val="FFFFFF"/>
                <w:sz w:val="20"/>
                <w:szCs w:val="20"/>
              </w:rPr>
              <w:t xml:space="preserve">BUILD — but as a focused, lean, regionally-anchored challenger, not a broad ETL competitor and not (yet) a venture-scale bet.</w:t>
            </w:r>
          </w:p>
          <w:p>
            <w:pPr>
              <w:spacing w:after="40" w:line="264"/>
            </w:pPr>
            <w:r>
              <w:rPr>
                <w:color w:val="FFFFFF"/>
                <w:sz w:val="20"/>
                <w:szCs w:val="20"/>
              </w:rPr>
              <w:t xml:space="preserve">The defensible path: AI-native recommendations + agency-fair pricing + local NZ/AU trust, sold founder-first into a market you already understand, then expanded globally once proven.</w:t>
            </w:r>
          </w:p>
          <w:p>
            <w:pPr>
              <w:spacing w:after="40" w:line="264"/>
            </w:pPr>
            <w:r>
              <w:rPr>
                <w:color w:val="FFFFFF"/>
                <w:sz w:val="20"/>
                <w:szCs w:val="20"/>
              </w:rPr>
              <w:t xml:space="preserve">Gate the build behind validation: only commit to heavy engineering after 10–15 agency interviews confirm pain and willingness to pay, and after you've started the Meta/Google API approval clock.</w:t>
            </w:r>
          </w:p>
        </w:tc>
      </w:tr>
    </w:tbl>
    <w:p>
      <w:pPr>
        <w:spacing w:after="80"/>
      </w:pPr>
    </w:p>
    <w:p>
      <w:pPr>
        <w:pStyle w:val="Heading2"/>
        <w:spacing w:after="100" w:before="240"/>
      </w:pPr>
      <w:r>
        <w:t xml:space="preserve">Why GO</w:t>
      </w:r>
    </w:p>
    <w:p>
      <w:pPr>
        <w:pStyle w:val="ListParagraph"/>
        <w:numPr>
          <w:ilvl w:val="0"/>
          <w:numId w:val="1"/>
        </w:numPr>
        <w:spacing w:after="70" w:line="268"/>
      </w:pPr>
      <w:r>
        <w:t xml:space="preserve">Large, growing market with a clear, under-served pain (data-to-decisions).</w:t>
      </w:r>
    </w:p>
    <w:p>
      <w:pPr>
        <w:pStyle w:val="ListParagraph"/>
        <w:numPr>
          <w:ilvl w:val="0"/>
          <w:numId w:val="1"/>
        </w:numPr>
        <w:spacing w:after="70" w:line="268"/>
      </w:pPr>
      <w:r>
        <w:t xml:space="preserve">A genuine, timely wedge (AI recommendations) where incumbents are weak.</w:t>
      </w:r>
    </w:p>
    <w:p>
      <w:pPr>
        <w:pStyle w:val="ListParagraph"/>
        <w:numPr>
          <w:ilvl w:val="0"/>
          <w:numId w:val="1"/>
        </w:numPr>
        <w:spacing w:after="70" w:line="268"/>
      </w:pPr>
      <w:r>
        <w:t xml:space="preserve">A reachable beachhead market you personally understand.</w:t>
      </w:r>
    </w:p>
    <w:p>
      <w:pPr>
        <w:pStyle w:val="ListParagraph"/>
        <w:numPr>
          <w:ilvl w:val="0"/>
          <w:numId w:val="1"/>
        </w:numPr>
        <w:spacing w:after="70" w:line="268"/>
      </w:pPr>
      <w:r>
        <w:t xml:space="preserve">Lean enough to start without large capital.</w:t>
      </w:r>
    </w:p>
    <w:p>
      <w:pPr>
        <w:pStyle w:val="Heading2"/>
        <w:spacing w:after="100" w:before="240"/>
      </w:pPr>
      <w:r>
        <w:t xml:space="preserve">Why 'conditional'</w:t>
      </w:r>
    </w:p>
    <w:p>
      <w:pPr>
        <w:pStyle w:val="ListParagraph"/>
        <w:numPr>
          <w:ilvl w:val="0"/>
          <w:numId w:val="1"/>
        </w:numPr>
        <w:spacing w:after="70" w:line="268"/>
      </w:pPr>
      <w:r>
        <w:t xml:space="preserve">Crowded category with funded, entrenched rivals and active price competition.</w:t>
      </w:r>
    </w:p>
    <w:p>
      <w:pPr>
        <w:pStyle w:val="ListParagraph"/>
        <w:numPr>
          <w:ilvl w:val="0"/>
          <w:numId w:val="1"/>
        </w:numPr>
        <w:spacing w:after="70" w:line="268"/>
      </w:pPr>
      <w:r>
        <w:t xml:space="preserve">Structural dependence on platform APIs you don't control.</w:t>
      </w:r>
    </w:p>
    <w:p>
      <w:pPr>
        <w:pStyle w:val="ListParagraph"/>
        <w:numPr>
          <w:ilvl w:val="0"/>
          <w:numId w:val="1"/>
        </w:numPr>
        <w:spacing w:after="70" w:line="268"/>
      </w:pPr>
      <w:r>
        <w:t xml:space="preserve">Trust and connector-breadth disadvantages as a new, small entrant.</w:t>
      </w:r>
    </w:p>
    <w:p>
      <w:pPr>
        <w:pStyle w:val="ListParagraph"/>
        <w:numPr>
          <w:ilvl w:val="0"/>
          <w:numId w:val="1"/>
        </w:numPr>
        <w:spacing w:after="70" w:line="268"/>
      </w:pPr>
      <w:r>
        <w:t xml:space="preserve">AI accuracy must be tightly managed or it becomes a liability, not a feature.</w:t>
      </w:r>
    </w:p>
    <w:p>
      <w:pPr>
        <w:pStyle w:val="Heading2"/>
        <w:spacing w:after="100" w:before="240"/>
      </w:pPr>
      <w:r>
        <w:t xml:space="preserve">Immediate next steps</w:t>
      </w:r>
    </w:p>
    <w:p>
      <w:pPr>
        <w:pStyle w:val="ListParagraph"/>
        <w:numPr>
          <w:ilvl w:val="0"/>
          <w:numId w:val="1"/>
        </w:numPr>
        <w:spacing w:after="80" w:line="268"/>
      </w:pPr>
      <w:r>
        <w:rPr>
          <w:b/>
          <w:bCs/>
        </w:rPr>
        <w:t xml:space="preserve">1. </w:t>
      </w:r>
      <w:r>
        <w:t xml:space="preserve">Run 10–15 structured agency interviews (NZ first) to validate pain, channels and pricing.</w:t>
      </w:r>
    </w:p>
    <w:p>
      <w:pPr>
        <w:pStyle w:val="ListParagraph"/>
        <w:numPr>
          <w:ilvl w:val="0"/>
          <w:numId w:val="1"/>
        </w:numPr>
        <w:spacing w:after="80" w:line="268"/>
      </w:pPr>
      <w:r>
        <w:rPr>
          <w:b/>
          <w:bCs/>
        </w:rPr>
        <w:t xml:space="preserve">2. </w:t>
      </w:r>
      <w:r>
        <w:t xml:space="preserve">Start Meta App Review and Google Ads developer-token applications now — approvals are the critical path.</w:t>
      </w:r>
    </w:p>
    <w:p>
      <w:pPr>
        <w:pStyle w:val="ListParagraph"/>
        <w:numPr>
          <w:ilvl w:val="0"/>
          <w:numId w:val="1"/>
        </w:numPr>
        <w:spacing w:after="80" w:line="268"/>
      </w:pPr>
      <w:r>
        <w:rPr>
          <w:b/>
          <w:bCs/>
        </w:rPr>
        <w:t xml:space="preserve">3. </w:t>
      </w:r>
      <w:r>
        <w:t xml:space="preserve">Define the narrowest MVP that tests the AI-recommendation hypothesis.</w:t>
      </w:r>
    </w:p>
    <w:p>
      <w:pPr>
        <w:pStyle w:val="ListParagraph"/>
        <w:numPr>
          <w:ilvl w:val="0"/>
          <w:numId w:val="1"/>
        </w:numPr>
        <w:spacing w:after="80" w:line="268"/>
      </w:pPr>
      <w:r>
        <w:rPr>
          <w:b/>
          <w:bCs/>
        </w:rPr>
        <w:t xml:space="preserve">4. </w:t>
      </w:r>
      <w:r>
        <w:t xml:space="preserve">Line up 3–5 design-partner agencies before building.</w:t>
      </w:r>
    </w:p>
    <w:p>
      <w:pPr>
        <w:pStyle w:val="ListParagraph"/>
        <w:numPr>
          <w:ilvl w:val="0"/>
          <w:numId w:val="1"/>
        </w:numPr>
        <w:spacing w:after="80" w:line="268"/>
      </w:pPr>
      <w:r>
        <w:rPr>
          <w:b/>
          <w:bCs/>
        </w:rPr>
        <w:t xml:space="preserve">5. </w:t>
      </w:r>
      <w:r>
        <w:t xml:space="preserve">Draft the pricing and positioning, then pressure-test it in those interviews.</w:t>
      </w:r>
    </w:p>
    <w:p>
      <w:r>
        <w:br w:type="page"/>
      </w:r>
    </w:p>
    <w:p>
      <w:pPr>
        <w:pStyle w:val="Heading1"/>
        <w:spacing w:after="140" w:before="320"/>
      </w:pPr>
      <w:r>
        <w:t xml:space="preserve">Appendix — Sources &amp; Notes</w:t>
      </w:r>
    </w:p>
    <w:p>
      <w:pPr>
        <w:spacing w:after="140" w:line="276"/>
      </w:pPr>
      <w:r>
        <w:rPr>
          <w:i/>
          <w:iCs/>
          <w:color w:val="5A5A5A"/>
        </w:rPr>
        <w:t xml:space="preserve">Figures are drawn from publicly available market and competitor sources gathered during research (May 2026) and are directional. Validate key numbers before using them in investor or financial materials.</w:t>
      </w:r>
    </w:p>
    <w:p>
      <w:pPr>
        <w:pStyle w:val="ListParagraph"/>
        <w:numPr>
          <w:ilvl w:val="0"/>
          <w:numId w:val="1"/>
        </w:numPr>
        <w:spacing w:after="60" w:line="264"/>
      </w:pPr>
      <w:r>
        <w:rPr>
          <w:sz w:val="19"/>
          <w:szCs w:val="19"/>
        </w:rPr>
        <w:t xml:space="preserve">Funnel vs Supermetrics comparison — </w:t>
      </w:r>
      <w:hyperlink w:history="1" r:id="rIdvfks9phl7xs3ermqd99q2">
        <w:r>
          <w:rPr>
            <w:rStyle w:val="Hyperlink"/>
            <w:sz w:val="18"/>
            <w:szCs w:val="18"/>
          </w:rPr>
          <w:t xml:space="preserve">https://improvado.io/vs/supermetrics-funnel-io</w:t>
        </w:r>
      </w:hyperlink>
    </w:p>
    <w:p>
      <w:pPr>
        <w:pStyle w:val="ListParagraph"/>
        <w:numPr>
          <w:ilvl w:val="0"/>
          <w:numId w:val="1"/>
        </w:numPr>
        <w:spacing w:after="60" w:line="264"/>
      </w:pPr>
      <w:r>
        <w:rPr>
          <w:sz w:val="19"/>
          <w:szCs w:val="19"/>
        </w:rPr>
        <w:t xml:space="preserve">Catchr — Supermetrics alternative (pricing/positioning) — </w:t>
      </w:r>
      <w:hyperlink w:history="1" r:id="rIdkpxzajkwhhfc9a4qq0zcv">
        <w:r>
          <w:rPr>
            <w:rStyle w:val="Hyperlink"/>
            <w:sz w:val="18"/>
            <w:szCs w:val="18"/>
          </w:rPr>
          <w:t xml:space="preserve">https://www.catchr.io/post/supermetrics-alternative-features-pricing-pros-and-cons</w:t>
        </w:r>
      </w:hyperlink>
    </w:p>
    <w:p>
      <w:pPr>
        <w:pStyle w:val="ListParagraph"/>
        <w:numPr>
          <w:ilvl w:val="0"/>
          <w:numId w:val="1"/>
        </w:numPr>
        <w:spacing w:after="60" w:line="264"/>
      </w:pPr>
      <w:r>
        <w:rPr>
          <w:sz w:val="19"/>
          <w:szCs w:val="19"/>
        </w:rPr>
        <w:t xml:space="preserve">Funnel vs Supermetrics (SelectHub) — </w:t>
      </w:r>
      <w:hyperlink w:history="1" r:id="rId0mnndsijwqexksgzanci4">
        <w:r>
          <w:rPr>
            <w:rStyle w:val="Hyperlink"/>
            <w:sz w:val="18"/>
            <w:szCs w:val="18"/>
          </w:rPr>
          <w:t xml:space="preserve">https://www.selecthub.com/marketing-analytics-software/funnel-io-vs-supermetrics/</w:t>
        </w:r>
      </w:hyperlink>
    </w:p>
    <w:p>
      <w:pPr>
        <w:pStyle w:val="ListParagraph"/>
        <w:numPr>
          <w:ilvl w:val="0"/>
          <w:numId w:val="1"/>
        </w:numPr>
        <w:spacing w:after="60" w:line="264"/>
      </w:pPr>
      <w:r>
        <w:rPr>
          <w:sz w:val="19"/>
          <w:szCs w:val="19"/>
        </w:rPr>
        <w:t xml:space="preserve">Funnel.io alternatives (Whatagraph) — </w:t>
      </w:r>
      <w:hyperlink w:history="1" r:id="rIdu-ut3-hrsiluot0qplrg4">
        <w:r>
          <w:rPr>
            <w:rStyle w:val="Hyperlink"/>
            <w:sz w:val="18"/>
            <w:szCs w:val="18"/>
          </w:rPr>
          <w:t xml:space="preserve">https://whatagraph.com/blog/articles/funnel-io-alternatives-and-competitors</w:t>
        </w:r>
      </w:hyperlink>
    </w:p>
    <w:p>
      <w:pPr>
        <w:pStyle w:val="ListParagraph"/>
        <w:numPr>
          <w:ilvl w:val="0"/>
          <w:numId w:val="1"/>
        </w:numPr>
        <w:spacing w:after="60" w:line="264"/>
      </w:pPr>
      <w:r>
        <w:rPr>
          <w:sz w:val="19"/>
          <w:szCs w:val="19"/>
        </w:rPr>
        <w:t xml:space="preserve">AgencyAnalytics — agency reporting — </w:t>
      </w:r>
      <w:hyperlink w:history="1" r:id="rIdvebdl9g4mjmb3x2xa5our">
        <w:r>
          <w:rPr>
            <w:rStyle w:val="Hyperlink"/>
            <w:sz w:val="18"/>
            <w:szCs w:val="18"/>
          </w:rPr>
          <w:t xml:space="preserve">https://agencyanalytics.com/</w:t>
        </w:r>
      </w:hyperlink>
    </w:p>
    <w:p>
      <w:pPr>
        <w:pStyle w:val="ListParagraph"/>
        <w:numPr>
          <w:ilvl w:val="0"/>
          <w:numId w:val="1"/>
        </w:numPr>
        <w:spacing w:after="60" w:line="264"/>
      </w:pPr>
      <w:r>
        <w:rPr>
          <w:sz w:val="19"/>
          <w:szCs w:val="19"/>
        </w:rPr>
        <w:t xml:space="preserve">AgencyAnalytics pricing — </w:t>
      </w:r>
      <w:hyperlink w:history="1" r:id="rIdsojdhy2ygliwkalmiejko">
        <w:r>
          <w:rPr>
            <w:rStyle w:val="Hyperlink"/>
            <w:sz w:val="18"/>
            <w:szCs w:val="18"/>
          </w:rPr>
          <w:t xml:space="preserve">https://www.spotsaas.com/product/agencyanalytics/pricing</w:t>
        </w:r>
      </w:hyperlink>
    </w:p>
    <w:p>
      <w:pPr>
        <w:pStyle w:val="ListParagraph"/>
        <w:numPr>
          <w:ilvl w:val="0"/>
          <w:numId w:val="1"/>
        </w:numPr>
        <w:spacing w:after="60" w:line="264"/>
      </w:pPr>
      <w:r>
        <w:rPr>
          <w:sz w:val="19"/>
          <w:szCs w:val="19"/>
        </w:rPr>
        <w:t xml:space="preserve">Whatagraph pricing — </w:t>
      </w:r>
      <w:hyperlink w:history="1" r:id="rIdigzxuukf9nmtff1wcoyzk">
        <w:r>
          <w:rPr>
            <w:rStyle w:val="Hyperlink"/>
            <w:sz w:val="18"/>
            <w:szCs w:val="18"/>
          </w:rPr>
          <w:t xml:space="preserve">https://www.spotsaas.com/product/whatagraph/pricing</w:t>
        </w:r>
      </w:hyperlink>
    </w:p>
    <w:p>
      <w:pPr>
        <w:pStyle w:val="ListParagraph"/>
        <w:numPr>
          <w:ilvl w:val="0"/>
          <w:numId w:val="1"/>
        </w:numPr>
        <w:spacing w:after="60" w:line="264"/>
      </w:pPr>
      <w:r>
        <w:rPr>
          <w:sz w:val="19"/>
          <w:szCs w:val="19"/>
        </w:rPr>
        <w:t xml:space="preserve">DataSlayer pricing (Catchr) — </w:t>
      </w:r>
      <w:hyperlink w:history="1" r:id="rIdmy8bdfmm48mfjimzeko97">
        <w:r>
          <w:rPr>
            <w:rStyle w:val="Hyperlink"/>
            <w:sz w:val="18"/>
            <w:szCs w:val="18"/>
          </w:rPr>
          <w:t xml:space="preserve">https://www.catchr.io/post/dataslayer-pricing-is-it-worth-it</w:t>
        </w:r>
      </w:hyperlink>
    </w:p>
    <w:p>
      <w:pPr>
        <w:pStyle w:val="ListParagraph"/>
        <w:numPr>
          <w:ilvl w:val="0"/>
          <w:numId w:val="1"/>
        </w:numPr>
        <w:spacing w:after="60" w:line="264"/>
      </w:pPr>
      <w:r>
        <w:rPr>
          <w:sz w:val="19"/>
          <w:szCs w:val="19"/>
        </w:rPr>
        <w:t xml:space="preserve">Marketing SaaS market size &amp; forecast — </w:t>
      </w:r>
      <w:hyperlink w:history="1" r:id="rIdt9j2q4fj7oro85cdbo2cq">
        <w:r>
          <w:rPr>
            <w:rStyle w:val="Hyperlink"/>
            <w:sz w:val="18"/>
            <w:szCs w:val="18"/>
          </w:rPr>
          <w:t xml:space="preserve">https://www.businessresearchinsights.com/market-reports/marketing-saas-market-113465</w:t>
        </w:r>
      </w:hyperlink>
    </w:p>
    <w:p>
      <w:pPr>
        <w:pStyle w:val="ListParagraph"/>
        <w:numPr>
          <w:ilvl w:val="0"/>
          <w:numId w:val="1"/>
        </w:numPr>
        <w:spacing w:after="60" w:line="264"/>
      </w:pPr>
      <w:r>
        <w:rPr>
          <w:sz w:val="19"/>
          <w:szCs w:val="19"/>
        </w:rPr>
        <w:t xml:space="preserve">NZ online ad spend tops $2B — </w:t>
      </w:r>
      <w:hyperlink w:history="1" r:id="rIdbasqxchm0e-n3xbldpnjm">
        <w:r>
          <w:rPr>
            <w:rStyle w:val="Hyperlink"/>
            <w:sz w:val="18"/>
            <w:szCs w:val="18"/>
          </w:rPr>
          <w:t xml:space="preserve">https://stoppress.co.nz/news/online-ad-spend-new-zealand-tops-2-billion-first-time/</w:t>
        </w:r>
      </w:hyperlink>
    </w:p>
    <w:p>
      <w:pPr>
        <w:pStyle w:val="ListParagraph"/>
        <w:numPr>
          <w:ilvl w:val="0"/>
          <w:numId w:val="1"/>
        </w:numPr>
        <w:spacing w:after="60" w:line="264"/>
      </w:pPr>
      <w:r>
        <w:rPr>
          <w:sz w:val="19"/>
          <w:szCs w:val="19"/>
        </w:rPr>
        <w:t xml:space="preserve">NZ digital ad spend record (ANZA) — </w:t>
      </w:r>
      <w:hyperlink w:history="1" r:id="rId5zjpy-x5n6lecklrpa1fu">
        <w:r>
          <w:rPr>
            <w:rStyle w:val="Hyperlink"/>
            <w:sz w:val="18"/>
            <w:szCs w:val="18"/>
          </w:rPr>
          <w:t xml:space="preserve">https://www.advertising.org.nz/digital-ad-spend-climbs</w:t>
        </w:r>
      </w:hyperlink>
    </w:p>
    <w:p>
      <w:pPr>
        <w:pStyle w:val="ListParagraph"/>
        <w:numPr>
          <w:ilvl w:val="0"/>
          <w:numId w:val="1"/>
        </w:numPr>
        <w:spacing w:after="60" w:line="264"/>
      </w:pPr>
      <w:r>
        <w:rPr>
          <w:sz w:val="19"/>
          <w:szCs w:val="19"/>
        </w:rPr>
        <w:t xml:space="preserve">Australia digital advertising market (Grand View) — </w:t>
      </w:r>
      <w:hyperlink w:history="1" r:id="rIdu8fkshznhhmknjhy4nwge">
        <w:r>
          <w:rPr>
            <w:rStyle w:val="Hyperlink"/>
            <w:sz w:val="18"/>
            <w:szCs w:val="18"/>
          </w:rPr>
          <w:t xml:space="preserve">https://www.grandviewresearch.com/industry-analysis/australia-online-advertising-market</w:t>
        </w:r>
      </w:hyperlink>
    </w:p>
    <w:p>
      <w:pPr>
        <w:pStyle w:val="ListParagraph"/>
        <w:numPr>
          <w:ilvl w:val="0"/>
          <w:numId w:val="1"/>
        </w:numPr>
        <w:spacing w:after="60" w:line="264"/>
      </w:pPr>
      <w:r>
        <w:rPr>
          <w:sz w:val="19"/>
          <w:szCs w:val="19"/>
        </w:rPr>
        <w:t xml:space="preserve">IAB Australia online ad expenditure report — </w:t>
      </w:r>
      <w:hyperlink w:history="1" r:id="rId5uvxkeggjla4uj2ddk_xq">
        <w:r>
          <w:rPr>
            <w:rStyle w:val="Hyperlink"/>
            <w:sz w:val="18"/>
            <w:szCs w:val="18"/>
          </w:rPr>
          <w:t xml:space="preserve">https://iabaustralia.com.au/online-advertising-expenditure-report/</w:t>
        </w:r>
      </w:hyperlink>
    </w:p>
    <w:p>
      <w:pPr>
        <w:pStyle w:val="ListParagraph"/>
        <w:numPr>
          <w:ilvl w:val="0"/>
          <w:numId w:val="1"/>
        </w:numPr>
        <w:spacing w:after="60" w:line="264"/>
      </w:pPr>
      <w:r>
        <w:rPr>
          <w:sz w:val="19"/>
          <w:szCs w:val="19"/>
        </w:rPr>
        <w:t xml:space="preserve">Meta Marketing API access &amp; rate limits — </w:t>
      </w:r>
      <w:hyperlink w:history="1" r:id="rIdu9jnarlmcw1fslof0__de">
        <w:r>
          <w:rPr>
            <w:rStyle w:val="Hyperlink"/>
            <w:sz w:val="18"/>
            <w:szCs w:val="18"/>
          </w:rPr>
          <w:t xml:space="preserve">https://developers.facebook.com/docs/marketing-api/access/</w:t>
        </w:r>
      </w:hyperlink>
    </w:p>
    <w:p>
      <w:pPr>
        <w:pStyle w:val="ListParagraph"/>
        <w:numPr>
          <w:ilvl w:val="0"/>
          <w:numId w:val="1"/>
        </w:numPr>
        <w:spacing w:after="60" w:line="264"/>
      </w:pPr>
      <w:r>
        <w:rPr>
          <w:sz w:val="19"/>
          <w:szCs w:val="19"/>
        </w:rPr>
        <w:t xml:space="preserve">Google Ads API access levels — </w:t>
      </w:r>
      <w:hyperlink w:history="1" r:id="rIdnrbd0dyi_ar_sowmvuwh5">
        <w:r>
          <w:rPr>
            <w:rStyle w:val="Hyperlink"/>
            <w:sz w:val="18"/>
            <w:szCs w:val="18"/>
          </w:rPr>
          <w:t xml:space="preserve">https://developers.google.com/google-ads/api/docs/access-levels</w:t>
        </w:r>
      </w:hyperlink>
    </w:p>
    <w:p>
      <w:pPr>
        <w:pStyle w:val="ListParagraph"/>
        <w:numPr>
          <w:ilvl w:val="0"/>
          <w:numId w:val="1"/>
        </w:numPr>
        <w:spacing w:after="60" w:line="264"/>
      </w:pPr>
      <w:r>
        <w:rPr>
          <w:sz w:val="19"/>
          <w:szCs w:val="19"/>
        </w:rPr>
        <w:t xml:space="preserve">Improvado — AI marketing analytics — </w:t>
      </w:r>
      <w:hyperlink w:history="1" r:id="rIdhfmkmxnpm1nzoygru-lds">
        <w:r>
          <w:rPr>
            <w:rStyle w:val="Hyperlink"/>
            <w:sz w:val="18"/>
            <w:szCs w:val="18"/>
          </w:rPr>
          <w:t xml:space="preserve">https://www.improvado.io/blog/ai-marketing-analytics</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Marketing Data &amp; AI Reporting Platform — Viability Study   |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A5F"/>
      <w:sz w:val="52"/>
      <w:szCs w:val="52"/>
    </w:rPr>
  </w:style>
  <w:style w:type="paragraph" w:styleId="Heading1">
    <w:name w:val="Heading 1"/>
    <w:basedOn w:val="Normal"/>
    <w:next w:val="Normal"/>
    <w:qFormat/>
    <w:pPr>
      <w:pBdr>
        <w:bottom w:val="single" w:color="1B998B" w:sz="10" w:space="4"/>
      </w:pBdr>
      <w:spacing w:after="140" w:before="320"/>
    </w:pPr>
    <w:rPr>
      <w:b/>
      <w:bCs/>
      <w:color w:val="1F3A5F"/>
      <w:sz w:val="30"/>
      <w:szCs w:val="30"/>
    </w:rPr>
  </w:style>
  <w:style w:type="paragraph" w:styleId="Heading2">
    <w:name w:val="Heading 2"/>
    <w:basedOn w:val="Normal"/>
    <w:next w:val="Normal"/>
    <w:qFormat/>
    <w:pPr>
      <w:spacing w:after="100" w:before="240"/>
    </w:pPr>
    <w:rPr>
      <w:b/>
      <w:bCs/>
      <w:color w:val="2E6CA8"/>
      <w:sz w:val="25"/>
      <w:szCs w:val="25"/>
    </w:rPr>
  </w:style>
  <w:style w:type="paragraph" w:styleId="Heading3">
    <w:name w:val="Heading 3"/>
    <w:basedOn w:val="Normal"/>
    <w:next w:val="Normal"/>
    <w:qFormat/>
    <w:pPr>
      <w:spacing w:after="70" w:before="160"/>
    </w:pPr>
    <w:rPr>
      <w:b/>
      <w:bCs/>
      <w:color w:val="1B9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fks9phl7xs3ermqd99q2" Type="http://schemas.openxmlformats.org/officeDocument/2006/relationships/hyperlink" Target="https://improvado.io/vs/supermetrics-funnel-io" TargetMode="External"/><Relationship Id="rIdkpxzajkwhhfc9a4qq0zcv" Type="http://schemas.openxmlformats.org/officeDocument/2006/relationships/hyperlink" Target="https://www.catchr.io/post/supermetrics-alternative-features-pricing-pros-and-cons" TargetMode="External"/><Relationship Id="rId0mnndsijwqexksgzanci4" Type="http://schemas.openxmlformats.org/officeDocument/2006/relationships/hyperlink" Target="https://www.selecthub.com/marketing-analytics-software/funnel-io-vs-supermetrics/" TargetMode="External"/><Relationship Id="rIdu-ut3-hrsiluot0qplrg4" Type="http://schemas.openxmlformats.org/officeDocument/2006/relationships/hyperlink" Target="https://whatagraph.com/blog/articles/funnel-io-alternatives-and-competitors" TargetMode="External"/><Relationship Id="rIdvebdl9g4mjmb3x2xa5our" Type="http://schemas.openxmlformats.org/officeDocument/2006/relationships/hyperlink" Target="https://agencyanalytics.com/" TargetMode="External"/><Relationship Id="rIdsojdhy2ygliwkalmiejko" Type="http://schemas.openxmlformats.org/officeDocument/2006/relationships/hyperlink" Target="https://www.spotsaas.com/product/agencyanalytics/pricing" TargetMode="External"/><Relationship Id="rIdigzxuukf9nmtff1wcoyzk" Type="http://schemas.openxmlformats.org/officeDocument/2006/relationships/hyperlink" Target="https://www.spotsaas.com/product/whatagraph/pricing" TargetMode="External"/><Relationship Id="rIdmy8bdfmm48mfjimzeko97" Type="http://schemas.openxmlformats.org/officeDocument/2006/relationships/hyperlink" Target="https://www.catchr.io/post/dataslayer-pricing-is-it-worth-it" TargetMode="External"/><Relationship Id="rIdt9j2q4fj7oro85cdbo2cq" Type="http://schemas.openxmlformats.org/officeDocument/2006/relationships/hyperlink" Target="https://www.businessresearchinsights.com/market-reports/marketing-saas-market-113465" TargetMode="External"/><Relationship Id="rIdbasqxchm0e-n3xbldpnjm" Type="http://schemas.openxmlformats.org/officeDocument/2006/relationships/hyperlink" Target="https://stoppress.co.nz/news/online-ad-spend-new-zealand-tops-2-billion-first-time/" TargetMode="External"/><Relationship Id="rId5zjpy-x5n6lecklrpa1fu" Type="http://schemas.openxmlformats.org/officeDocument/2006/relationships/hyperlink" Target="https://www.advertising.org.nz/digital-ad-spend-climbs" TargetMode="External"/><Relationship Id="rIdu8fkshznhhmknjhy4nwge" Type="http://schemas.openxmlformats.org/officeDocument/2006/relationships/hyperlink" Target="https://www.grandviewresearch.com/industry-analysis/australia-online-advertising-market" TargetMode="External"/><Relationship Id="rId5uvxkeggjla4uj2ddk_xq" Type="http://schemas.openxmlformats.org/officeDocument/2006/relationships/hyperlink" Target="https://iabaustralia.com.au/online-advertising-expenditure-report/" TargetMode="External"/><Relationship Id="rIdu9jnarlmcw1fslof0__de" Type="http://schemas.openxmlformats.org/officeDocument/2006/relationships/hyperlink" Target="https://developers.facebook.com/docs/marketing-api/access/" TargetMode="External"/><Relationship Id="rIdnrbd0dyi_ar_sowmvuwh5" Type="http://schemas.openxmlformats.org/officeDocument/2006/relationships/hyperlink" Target="https://developers.google.com/google-ads/api/docs/access-levels" TargetMode="External"/><Relationship Id="rIdhfmkmxnpm1nzoygru-lds" Type="http://schemas.openxmlformats.org/officeDocument/2006/relationships/hyperlink" Target="https://www.improvado.io/blog/ai-marketing-analytics"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Data &amp; AI Reporting Platform — Viability Study</dc:title>
  <dc:creator>Viability Study</dc:creator>
  <dc:description>Market viability study</dc:description>
  <cp:lastModifiedBy>Un-named</cp:lastModifiedBy>
  <cp:revision>1</cp:revision>
  <dcterms:created xsi:type="dcterms:W3CDTF">2026-05-28T22:30:13.086Z</dcterms:created>
  <dcterms:modified xsi:type="dcterms:W3CDTF">2026-05-28T22:30:13.086Z</dcterms:modified>
</cp:coreProperties>
</file>

<file path=docProps/custom.xml><?xml version="1.0" encoding="utf-8"?>
<Properties xmlns="http://schemas.openxmlformats.org/officeDocument/2006/custom-properties" xmlns:vt="http://schemas.openxmlformats.org/officeDocument/2006/docPropsVTypes"/>
</file>