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ANEXO A — ALCANCE DEL PROYECTO</w:t>
      </w:r>
    </w:p>
    <w:p>
      <w:pPr>
        <w:pStyle w:val="Heading2"/>
        <w:keepNext w:val="true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Proyecto 1: Sitio Web Corporativo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>Parte integrante del Contrato de Prestación de Servicios Profesionales.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1. Descripción y Alcance del Proyecto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Desarrollo de un sitio web para presencia profesional en internet, conformado por </w:t>
      </w:r>
      <w:r>
        <w:rPr>
          <w:rStyle w:val="Strong"/>
        </w:rPr>
        <w:t>6 secciones</w:t>
      </w:r>
      <w:r>
        <w:rPr/>
        <w:t xml:space="preserve"> (Inicio, Nosotros, Servicios, Promociones, Indicaciones, Contacto) más una página independiente para el Aviso de Privacidad. Se presentarán 2 opciones de diseño visual para la elección del cliente.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>El alcance incluye los siguientes componentes y características: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Sección Contacto:</w:t>
      </w:r>
      <w:r>
        <w:rPr/>
        <w:t xml:space="preserve"> Integración de un mapa de ubicación interactivo (Google Maps), así como botones de enlace directo a los canales oficiales de WhatsApp y Facebook.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Adaptabilidad y Compatibilidad:</w:t>
      </w:r>
      <w:r>
        <w:rPr/>
        <w:t xml:space="preserve"> Diseño visual con visualización fluida (desde 1280px de ancho hasta monitores 4K) y 100% responsivo para pantallas de computadoras y teléfonos móviles.</w:t>
        <w:br/>
        <w:t>Este alcance está sujeto a los estándares de compatibilidad de sistemas operativos, navegadores y exclusiones de entorno (sin soporte a tabletas ni Apps/PWAs) definidos con detalle en la Cláusula Segunda del Contrato Marco.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Posicionamiento Orgánico:</w:t>
      </w:r>
      <w:r>
        <w:rPr/>
        <w:t xml:space="preserve"> Optimización técnica básica en motores de búsqueda (SEO local) para favorecer la indexación y visibilidad natural del sitio.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Anuncios Pagados:</w:t>
      </w:r>
      <w:r>
        <w:rPr/>
        <w:t xml:space="preserve"> Configuración e implementación de una campaña inicial en la plataforma Google Ads, acompañada de una sesión de capacitación para su gestión. El presupuesto de inversión en clics será cubierto y administrado directamente por "EL CLIENTE".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Contenidos Actualizables (Panel de Administración):</w:t>
      </w:r>
      <w:r>
        <w:rPr/>
        <w:t xml:space="preserve"> Integración de un panel de administración (operado a través del portal de recepción del Proyecto 2, ubicado en </w:t>
      </w:r>
      <w:r>
        <w:rPr>
          <w:rStyle w:val="SourceText"/>
        </w:rPr>
        <w:t>laesh.mx/labadmin</w:t>
      </w:r>
      <w:r>
        <w:rPr/>
        <w:t>) para que el personal pueda editar y actualizar la información de forma autónoma.</w:t>
        <w:br/>
        <w:t>Este panel permitirá actualizar los siguientes contenidos del sitio web público: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Imágenes y textos del banner principal (sección de Inicio).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Paquetes de servicios de salud (sección de Servicios / Consultas Preventivas).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Detalles y vigencias de ofertas activas (sección de Promociones).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ind w:hanging="283" w:start="1418"/>
        <w:rPr/>
      </w:pPr>
      <w:r>
        <w:rPr/>
        <w:t xml:space="preserve">Información comercial sobre Membresías Familiares. 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2. Fuera de Alcance y Obligaciones del Cliente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Servicios Excluidos (Fuera de Alcance):</w:t>
      </w:r>
      <w:r>
        <w:rPr/>
        <w:t xml:space="preserve"> No incluye la redacción ni la corrección de estilo de textos, la producción de contenido fotográfico o videográfico, portales personalizados para pacientes, ni el envío automatizado de resultados clínicos.</w:t>
        <w:br/>
        <w:t>La instalación, despliegue y puesta a punto técnica en la infraestructura del cliente sí forman parte de las responsabilidades del prestador, mientras que los cargos por licencias, hosting o dominios de terceros y los aspectos legales del Aviso de Privacidad se regirán conforme a los términos del Contrato Marco.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Obligación de Entrega de Información:</w:t>
      </w:r>
      <w:r>
        <w:rPr/>
        <w:t xml:space="preserve"> "EL CLIENTE" se compromete a proporcionar al prestador los logotipos, paleta de colores sugerida, textos definitivos e insumos de información en un plazo máximo de </w:t>
      </w:r>
      <w:r>
        <w:rPr>
          <w:rStyle w:val="Strong"/>
        </w:rPr>
        <w:t>10 días</w:t>
      </w:r>
      <w:r>
        <w:rPr/>
        <w:t xml:space="preserve"> naturales posteriores a la firma de este anexo.</w:t>
        <w:br/>
        <w:t>En caso de presentarse retrasos en la entrega de dicho material, "EL PRESTADOR" podrá publicar la estructura web con textos e imágenes de relleno a fin de cumplir con el calendario establecido, comprometiéndose a realizar la sustitución de los contenidos definitivos sin costo alguno para el cliente durante el Periodo de Garantía.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3. Tiempos y Garantía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Plazo de Entrega y Puesta en Producción:</w:t>
      </w:r>
      <w:r>
        <w:rPr/>
        <w:t xml:space="preserve"> Se establece un periodo de </w:t>
      </w:r>
      <w:r>
        <w:rPr>
          <w:rStyle w:val="Strong"/>
        </w:rPr>
        <w:t>1 mes (30 días naturales)</w:t>
      </w:r>
      <w:r>
        <w:rPr/>
        <w:t xml:space="preserve"> para el desarrollo, despliegue en servidor e inicio del Periodo de Estabilización de la plataforma.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Estabilización y Capacitación:</w:t>
      </w:r>
      <w:r>
        <w:rPr/>
        <w:t xml:space="preserve"> Un periodo de </w:t>
      </w:r>
      <w:r>
        <w:rPr>
          <w:rStyle w:val="Strong"/>
        </w:rPr>
        <w:t>10 días naturales</w:t>
      </w:r>
      <w:r>
        <w:rPr/>
        <w:t xml:space="preserve"> de acompañamiento técnico continuo que comprende la capacitación del personal para la gestión del panel de contenidos y el entrenamiento en la administración (creación, publicación, activación, pausa y cancelación) de la campaña inicial de Google Ads.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Periodo de Garantía:</w:t>
      </w:r>
      <w:r>
        <w:rPr/>
        <w:t xml:space="preserve"> Un plazo de </w:t>
      </w:r>
      <w:r>
        <w:rPr>
          <w:rStyle w:val="Strong"/>
        </w:rPr>
        <w:t>10 días naturales</w:t>
      </w:r>
      <w:r>
        <w:rPr/>
        <w:t xml:space="preserve"> para reportar y corregir fallas o discrepancias del software respecto a lo estipulado. Esta garantía entrará en vigor inmediatamente después de la firma del Acta de Aceptación y una vez liquidado el saldo total del proyecto.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4. Presupuesto y Pagos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El costo total asignado para el desarrollo de este proyecto es de </w:t>
      </w:r>
      <w:r>
        <w:rPr>
          <w:rStyle w:val="Strong"/>
        </w:rPr>
        <w:t>$12,000.00 MXN (Netos)</w:t>
      </w:r>
      <w:r>
        <w:rPr/>
        <w:t>.</w:t>
        <w:br/>
      </w:r>
      <w:r>
        <w:rPr>
          <w:rStyle w:val="Emphasis"/>
        </w:rPr>
        <w:t>(Se aclara que los porcentajes y condiciones de anticipo de este anexo sustituyen y prevalecen sobre las condiciones generales establecidas en la Cláusula Tercera del Contrato Marco).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>El esquema de pago se distribuirá de la siguiente manera: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70"/>
        <w:gridCol w:w="1354"/>
        <w:gridCol w:w="2070"/>
        <w:gridCol w:w="4778"/>
      </w:tblGrid>
      <w:tr>
        <w:trPr>
          <w:tblHeader w:val="true"/>
        </w:trPr>
        <w:tc>
          <w:tcPr>
            <w:tcW w:w="177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Hito de Pago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center"/>
              <w:rPr/>
            </w:pPr>
            <w:r>
              <w:rPr/>
              <w:t>Porcentaje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Monto a Facturar</w:t>
            </w:r>
          </w:p>
        </w:tc>
        <w:tc>
          <w:tcPr>
            <w:tcW w:w="4778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Condición de Cobro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Pago 1: Anticipo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50%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$6,000.00 MXN (Netos)</w:t>
            </w:r>
          </w:p>
        </w:tc>
        <w:tc>
          <w:tcPr>
            <w:tcW w:w="4778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 la firma del anexo y entrega de recursos.</w:t>
            </w:r>
          </w:p>
        </w:tc>
      </w:tr>
      <w:tr>
        <w:trPr/>
        <w:tc>
          <w:tcPr>
            <w:tcW w:w="177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Pago 2: Pago Final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center"/>
              <w:rPr/>
            </w:pPr>
            <w:r>
              <w:rPr/>
              <w:t>50%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$6,000.00 MXN (Netos)</w:t>
            </w:r>
          </w:p>
        </w:tc>
        <w:tc>
          <w:tcPr>
            <w:tcW w:w="477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Contra firma del Acta de Aceptación (Fin de Estabilización).</w:t>
            </w:r>
          </w:p>
        </w:tc>
      </w:tr>
    </w:tbl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EL PRESTADOR</w:t>
      </w:r>
      <w:r>
        <w:rPr/>
        <w:t xml:space="preserve"> — CARLOS MARCELO BENAVIDES MARTÍNEZ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EL CLIENTE</w:t>
      </w:r>
      <w:r>
        <w:rPr/>
        <w:t xml:space="preserve"> — [NOMBRE O RAZÓN SOCIAL]</w:t>
        <w:br/>
      </w:r>
      <w:r>
        <w:rPr>
          <w:rStyle w:val="Strong"/>
        </w:rPr>
        <w:t>Firma del Representante Legal:</w:t>
      </w:r>
      <w:r>
        <w:rPr/>
        <w:t xml:space="preserve"> [NOMBRE DEL REPRESENTANTE LEGAL]</w:t>
      </w:r>
    </w:p>
    <w:sectPr>
      <w:type w:val="nextPage"/>
      <w:pgSz w:w="12240" w:h="15840"/>
      <w:pgMar w:left="1134" w:right="1134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nter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Inter;Arial;sans-serif" w:hAnsi="Inter;Arial;sans-serif" w:eastAsia="Inter;Arial;sans-serif" w:cs="Inter;Arial;sans-serif"/>
      <w:color w:val="1A202C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pBdr>
        <w:bottom w:val="single" w:sz="12" w:space="4" w:color="0D9488"/>
      </w:pBdr>
      <w:spacing w:before="240" w:after="120"/>
      <w:jc w:val="center"/>
      <w:outlineLvl w:val="0"/>
    </w:pPr>
    <w:rPr>
      <w:rFonts w:ascii="Liberation Serif" w:hAnsi="Liberation Serif" w:eastAsia="Noto Serif CJK SC" w:cs="Lohit Devanagari"/>
      <w:b/>
      <w:bCs/>
      <w:color w:val="0F766E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pBdr>
        <w:bottom w:val="single" w:sz="2" w:space="2" w:color="CCFBF1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0F766E"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15E59"/>
      <w:sz w:val="28"/>
      <w:szCs w:val="28"/>
    </w:rPr>
  </w:style>
  <w:style w:type="character" w:styleId="Emphasis">
    <w:name w:val="Emphasis"/>
    <w:qFormat/>
    <w:rPr>
      <w:i/>
      <w:iCs/>
      <w:color w:val="4A5568"/>
    </w:rPr>
  </w:style>
  <w:style w:type="character" w:styleId="Strong">
    <w:name w:val="Strong"/>
    <w:qFormat/>
    <w:rPr>
      <w:b/>
      <w:bCs/>
      <w:color w:val="1A202C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strike w:val="false"/>
      <w:dstrike w:val="false"/>
      <w:color w:val="0D9488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0D9488"/>
      <w:u w:val="none"/>
      <w:effect w:val="none"/>
    </w:rPr>
  </w:style>
  <w:style w:type="paragraph" w:styleId="BodyText">
    <w:name w:val="Body Text"/>
    <w:basedOn w:val="Normal"/>
    <w:pPr>
      <w:spacing w:lineRule="auto" w:line="276" w:before="0" w:after="283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 w:eastAsia="Noto Sans CJK SC" w:cs="Lohit Devanagari"/>
      <w:sz w:val="28"/>
      <w:szCs w:val="28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Quotation">
    <w:name w:val="Block Quotation"/>
    <w:basedOn w:val="Normal"/>
    <w:qFormat/>
    <w:pPr>
      <w:pBdr>
        <w:left w:val="single" w:sz="24" w:space="1" w:color="0D9488"/>
      </w:pBd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15E59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738</Words>
  <Characters>4160</Characters>
  <CharactersWithSpaces>4852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 A Sitio 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