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CONTRATO DE PRESTACIÓN DE SERVICIOS PROFESIONALES</w:t>
      </w:r>
    </w:p>
    <w:p>
      <w:pPr>
        <w:pStyle w:val="Heading2"/>
        <w:keepNext w:val="true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PARA EL DESARROLLO DE SOFTWARE / PROYECTO WEB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 xml:space="preserve">Contrato que celebran </w:t>
      </w:r>
      <w:r>
        <w:rPr>
          <w:rStyle w:val="Strong"/>
        </w:rPr>
        <w:t>CARLOS MARCELO BENAVIDES MARTÍNEZ</w:t>
      </w:r>
      <w:r>
        <w:rPr/>
        <w:t xml:space="preserve"> (RFC: </w:t>
      </w:r>
      <w:r>
        <w:rPr>
          <w:rStyle w:val="Strong"/>
        </w:rPr>
        <w:t>BEMC740404EE2</w:t>
      </w:r>
      <w:r>
        <w:rPr/>
        <w:t xml:space="preserve">, domicilio en </w:t>
      </w:r>
      <w:r>
        <w:rPr>
          <w:rStyle w:val="Strong"/>
        </w:rPr>
        <w:t>Calle Chapultepec 12, Col. Aviación 1ra Sección, C.P. 69007, Huajuapan de León, Oaxaca</w:t>
      </w:r>
      <w:r>
        <w:rPr/>
        <w:t xml:space="preserve">), en lo sucesivo </w:t>
      </w:r>
      <w:r>
        <w:rPr>
          <w:rStyle w:val="Strong"/>
        </w:rPr>
        <w:t>"EL PRESTADOR"</w:t>
      </w:r>
      <w:r>
        <w:rPr/>
        <w:t xml:space="preserve">; y </w:t>
      </w:r>
      <w:r>
        <w:rPr>
          <w:rStyle w:val="Strong"/>
        </w:rPr>
        <w:t>[NOMBRE O RAZÓN SOCIAL DEL CLIENTE]</w:t>
      </w:r>
      <w:r>
        <w:rPr/>
        <w:t xml:space="preserve"> (RFC: </w:t>
      </w:r>
      <w:r>
        <w:rPr>
          <w:rStyle w:val="Strong"/>
        </w:rPr>
        <w:t>[RFC DEL CLIENTE]</w:t>
      </w:r>
      <w:r>
        <w:rPr/>
        <w:t xml:space="preserve">, domicilio en </w:t>
      </w:r>
      <w:r>
        <w:rPr>
          <w:rStyle w:val="Strong"/>
        </w:rPr>
        <w:t>[DOMICILIO DEL CLIENTE]</w:t>
      </w:r>
      <w:r>
        <w:rPr/>
        <w:t xml:space="preserve">), representada en este acto por </w:t>
      </w:r>
      <w:r>
        <w:rPr>
          <w:rStyle w:val="Strong"/>
        </w:rPr>
        <w:t>[NOMBRE DEL REPRESENTANTE LEGAL]</w:t>
      </w:r>
      <w:r>
        <w:rPr/>
        <w:t xml:space="preserve">, en lo sucesivo </w:t>
      </w:r>
      <w:r>
        <w:rPr>
          <w:rStyle w:val="Strong"/>
        </w:rPr>
        <w:t>"EL CLIENTE"</w:t>
      </w:r>
      <w:r>
        <w:rPr/>
        <w:t>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DECLARACIONES:</w:t>
      </w:r>
      <w:r>
        <w:rPr/>
        <w:t xml:space="preserve"> Ambas partes declaran contar con la capacidad legal y técnica, y los recursos necesarios para celebrar y cumplir las obligaciones del presente contrato, reconociendo "EL PRESTADOR" su dedicación al desarrollo de sistemas, y "EL CLIENTE" su requerimiento tecnológico conforme al(los) </w:t>
      </w:r>
      <w:r>
        <w:rPr>
          <w:rStyle w:val="Strong"/>
        </w:rPr>
        <w:t>Anexo(s) A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keepNext w:val="true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CLÁUSULAS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PRIMERA. Objeto (Contrato Marco) y Alcance</w:t>
      </w:r>
      <w:r>
        <w:rPr/>
        <w:t xml:space="preserve"> "EL PRESTADOR" se obliga a diseñar, desarrollar e implementar a favor de "EL CLIENTE" los proyectos tecnológicos descritos en el(los) </w:t>
      </w:r>
      <w:r>
        <w:rPr>
          <w:rStyle w:val="Strong"/>
        </w:rPr>
        <w:t>Anexo(s) A</w:t>
      </w:r>
      <w:r>
        <w:rPr/>
        <w:t>, comprendiendo todas sus fases hasta el despliegue y garantía. Cada anexo forma parte de este contrato y sus entregables, garantías e hitos operan independientemente. Las funcionalidades no incluidas expresamente en los anexos se considerarán fuera de alcance. Los servicios de mantenimiento, pólizas y hospedaje web (hosting) post-garantía se formalizarán en un contrato independiente durante la estabilización.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SEGUNDA. Exclusiones</w:t>
      </w:r>
      <w:r>
        <w:rPr/>
        <w:t xml:space="preserve"> Quedan estrictamente excluidos del alcance de este contrato: 1. </w:t>
      </w:r>
      <w:r>
        <w:rPr>
          <w:rStyle w:val="Strong"/>
        </w:rPr>
        <w:t>Módulos Financieros y Fiscales:</w:t>
      </w:r>
      <w:r>
        <w:rPr/>
        <w:t xml:space="preserve"> Facturación electrónica (CFDI), nóminas, contabilidad o cálculo de comisiones. 2. </w:t>
      </w:r>
      <w:r>
        <w:rPr>
          <w:rStyle w:val="Strong"/>
        </w:rPr>
        <w:t>Servicios de Terceros:</w:t>
      </w:r>
      <w:r>
        <w:rPr/>
        <w:t xml:space="preserve"> Pagos de servidores web (hospedaje/VPS), dominios o servicios en la nube. Estos son responsabilidad directa de "EL CLIENTE", quien deberá utilizar una tarjeta de crédito o débito (ya sea corporativa o personal de un miembro autorizado) para realizar los pagos directos a dichos proveedores, deslindando a "EL PRESTADOR" de cortes de servicio por falta de fondos. 3. </w:t>
      </w:r>
      <w:r>
        <w:rPr>
          <w:rStyle w:val="Strong"/>
        </w:rPr>
        <w:t>Captura Masiva de Datos:</w:t>
      </w:r>
      <w:r>
        <w:rPr/>
        <w:t xml:space="preserve"> Migración o vaciado de expedientes/resultados previos, salvo la importación inicial de catálogos si el anexo lo marca. 4. </w:t>
      </w:r>
      <w:r>
        <w:rPr>
          <w:rStyle w:val="Strong"/>
        </w:rPr>
        <w:t>Aspectos Legales (INAI):</w:t>
      </w:r>
      <w:r>
        <w:rPr/>
        <w:t xml:space="preserve"> Redacción jurídica del Aviso de Privacidad. 5. </w:t>
      </w:r>
      <w:r>
        <w:rPr>
          <w:rStyle w:val="Strong"/>
        </w:rPr>
        <w:t>Requisitos Operativos:</w:t>
      </w:r>
      <w:r>
        <w:rPr/>
        <w:t xml:space="preserve"> Todos los elementos, hardware, conexiones a internet y servicios asumibles para la correcta operación del sistema son responsabilidad exclusiva de "EL CLIENTE". 6. </w:t>
      </w:r>
      <w:r>
        <w:rPr>
          <w:rStyle w:val="Strong"/>
        </w:rPr>
        <w:t>Compatibilidad y Entorno Tecnológico:</w:t>
      </w:r>
      <w:r>
        <w:rPr/>
        <w:t xml:space="preserve"> Los proyectos operan en un ecosistema exclusivamente web. Se garantiza el diseño 100% responsivo para computadoras (Windows 10/11 y macOS 12+, abarcando desde resoluciones de 1280px hasta monitores 4K) y teléfonos móviles (Android 12+ e iOS 16+). Se excluye explícitamente el soporte para tabletas (ej. iPad) y la entrega de aplicaciones nativas o PWAs instalables. La compatibilidad se garantiza nativamente en Safari 17+, Chrome 115+ y Edge 115+.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TERCERA. Precio y Forma de Pago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 xml:space="preserve">Las cantidades en el(los) </w:t>
      </w:r>
      <w:r>
        <w:rPr>
          <w:rStyle w:val="Strong"/>
        </w:rPr>
        <w:t>Anexo(s) A</w:t>
      </w:r>
      <w:r>
        <w:rPr/>
        <w:t xml:space="preserve"> son </w:t>
      </w:r>
      <w:r>
        <w:rPr>
          <w:rStyle w:val="Strong"/>
        </w:rPr>
        <w:t>netas</w:t>
      </w:r>
      <w:r>
        <w:rPr/>
        <w:t xml:space="preserve">. "EL CLIENTE" (Persona Moral) realizará el cálculo de neto a bruto contemplando el 16% de IVA y las retenciones legales para "EL PRESTADOR" (RESICO Persona Física). Los pagos se realizarán en pesos mexicanos vía transferencia dentro de los </w:t>
      </w:r>
      <w:r>
        <w:rPr>
          <w:rStyle w:val="Strong"/>
        </w:rPr>
        <w:t>3 días naturales</w:t>
      </w:r>
      <w:r>
        <w:rPr/>
        <w:t xml:space="preserve"> tras la presentación del CFDI. Existe un periodo de gracia de </w:t>
      </w:r>
      <w:r>
        <w:rPr>
          <w:rStyle w:val="Strong"/>
        </w:rPr>
        <w:t>2 días naturales</w:t>
      </w:r>
      <w:r>
        <w:rPr/>
        <w:t>. Posteriormente, se causarán intereses moratorios del 2% mensual sobre el saldo insoluto (tope del 10% del hito).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CUARTA. Plazos, Estabilización y Garantía</w:t>
      </w:r>
      <w:r>
        <w:rPr/>
        <w:t xml:space="preserve"> El desarrollo concluirá conforme al </w:t>
      </w:r>
      <w:r>
        <w:rPr>
          <w:rStyle w:val="Strong"/>
        </w:rPr>
        <w:t>Anexo A</w:t>
      </w:r>
      <w:r>
        <w:rPr/>
        <w:t xml:space="preserve">. Tras el despliegue iniciará un </w:t>
      </w:r>
      <w:r>
        <w:rPr>
          <w:rStyle w:val="Strong"/>
        </w:rPr>
        <w:t>Periodo de Estabilización</w:t>
      </w:r>
      <w:r>
        <w:rPr/>
        <w:t xml:space="preserve"> de pruebas en vivo. </w:t>
      </w:r>
      <w:r>
        <w:rPr>
          <w:rStyle w:val="Emphasis"/>
        </w:rPr>
        <w:t>Protección de Tiempos:</w:t>
      </w:r>
      <w:r>
        <w:rPr/>
        <w:t xml:space="preserve"> Si en los últimos 3 días de estabilización se reporta una falla Crítica, el periodo se extenderá automáticamente hasta su resolución. Al concluir, se firma el </w:t>
      </w:r>
      <w:r>
        <w:rPr>
          <w:rStyle w:val="Strong"/>
        </w:rPr>
        <w:t>Acta de Aceptación</w:t>
      </w:r>
      <w:r>
        <w:rPr/>
        <w:t xml:space="preserve">, detonando el </w:t>
      </w:r>
      <w:r>
        <w:rPr>
          <w:rStyle w:val="Strong"/>
        </w:rPr>
        <w:t>Pago Final</w:t>
      </w:r>
      <w:r>
        <w:rPr/>
        <w:t xml:space="preserve"> (o se aceptará tácitamente tras 7 días sin reportes). A partir del día siguiente a la firma y liquidación total, inicia el </w:t>
      </w:r>
      <w:r>
        <w:rPr>
          <w:rStyle w:val="Strong"/>
        </w:rPr>
        <w:t>Periodo de Garantía</w:t>
      </w:r>
      <w:r>
        <w:rPr/>
        <w:t xml:space="preserve"> para corrección de defectos de programación atribuibles al código, con tiempos de respuesta: </w:t>
      </w:r>
      <w:r>
        <w:rPr>
          <w:rStyle w:val="Strong"/>
        </w:rPr>
        <w:t>Crítica</w:t>
      </w:r>
      <w:r>
        <w:rPr/>
        <w:t xml:space="preserve"> (inoperante, 24h hábiles), </w:t>
      </w:r>
      <w:r>
        <w:rPr>
          <w:rStyle w:val="Strong"/>
        </w:rPr>
        <w:t>Alta</w:t>
      </w:r>
      <w:r>
        <w:rPr/>
        <w:t xml:space="preserve"> (falla parcial con vía alterna, 48h hábiles), </w:t>
      </w:r>
      <w:r>
        <w:rPr>
          <w:rStyle w:val="Strong"/>
        </w:rPr>
        <w:t>Menor</w:t>
      </w:r>
      <w:r>
        <w:rPr/>
        <w:t xml:space="preserve"> (visual/estético, próximo mantenimiento).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QUINTA. Propiedad Intelectual y Confidencialidad</w:t>
      </w:r>
      <w:r>
        <w:rPr/>
        <w:t xml:space="preserve"> Una vez pagado el total, "EL PRESTADOR" otorga a "EL CLIENTE" una </w:t>
      </w:r>
      <w:r>
        <w:rPr>
          <w:rStyle w:val="Strong"/>
        </w:rPr>
        <w:t>Licencia de Uso Perpetua e Intransferible</w:t>
      </w:r>
      <w:r>
        <w:rPr/>
        <w:t xml:space="preserve"> para su negocio, reteniendo "EL PRESTADOR" los derechos patrimoniales sobre el código y algoritmos. Toda la información ingresada (bases de datos, pacientes) y los diseños visuales de sitios web informativos son propiedad exclusiva y confidencial de "EL CLIENTE". "LAS PARTES" guardarán estricta confidencialidad de la información técnica y comercial por 3 años post-terminación.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SEXTA. Disposiciones Generales</w:t>
      </w:r>
      <w:r>
        <w:rPr/>
        <w:t xml:space="preserve"> 1. </w:t>
      </w:r>
      <w:r>
        <w:rPr>
          <w:rStyle w:val="Strong"/>
        </w:rPr>
        <w:t>Cambios:</w:t>
      </w:r>
      <w:r>
        <w:rPr/>
        <w:t xml:space="preserve"> Cualquier requerimiento adicional se cotizará y documentará por separado. 2. </w:t>
      </w:r>
      <w:r>
        <w:rPr>
          <w:rStyle w:val="Strong"/>
        </w:rPr>
        <w:t>Terminación:</w:t>
      </w:r>
      <w:r>
        <w:rPr/>
        <w:t xml:space="preserve"> Puede terminarse con 7 días de aviso; "EL PRESTADOR" retendrá los anticipos cobrados si la terminación es imputable al cliente, entregando los avances desarrollados. 3. </w:t>
      </w:r>
      <w:r>
        <w:rPr>
          <w:rStyle w:val="Strong"/>
        </w:rPr>
        <w:t>Relación Legal:</w:t>
      </w:r>
      <w:r>
        <w:rPr/>
        <w:t xml:space="preserve"> El contrato es civil/mercantil, sin generar relación laboral. 4. </w:t>
      </w:r>
      <w:r>
        <w:rPr>
          <w:rStyle w:val="Strong"/>
        </w:rPr>
        <w:t>Responsabilidad:</w:t>
      </w:r>
      <w:r>
        <w:rPr/>
        <w:t xml:space="preserve"> Limitada al monto efectivamente pagado. "EL PRESTADOR" no se responsabiliza de cortes por parte del proveedor de hospedaje web (Hostinger). 5. </w:t>
      </w:r>
      <w:r>
        <w:rPr>
          <w:rStyle w:val="Strong"/>
        </w:rPr>
        <w:t>Jurisdicción:</w:t>
      </w:r>
      <w:r>
        <w:rPr/>
        <w:t xml:space="preserve"> Leyes y tribunales de la </w:t>
      </w:r>
      <w:r>
        <w:rPr>
          <w:rStyle w:val="Strong"/>
        </w:rPr>
        <w:t>Heroica Ciudad de Huajuapan de León, Oaxaca</w:t>
      </w:r>
      <w:r>
        <w:rPr/>
        <w:t>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 xml:space="preserve">Leído que fue el presente contrato y enteradas las partes de su contenido y alcance legal, lo firman en </w:t>
      </w:r>
      <w:r>
        <w:rPr>
          <w:rStyle w:val="Strong"/>
        </w:rPr>
        <w:t>dos tantos</w:t>
      </w:r>
      <w:r>
        <w:rPr/>
        <w:t xml:space="preserve"> en la Heroica Ciudad de Huajuapan de León, Oaxaca, el día </w:t>
      </w:r>
      <w:r>
        <w:rPr>
          <w:rStyle w:val="Strong"/>
        </w:rPr>
        <w:t>Lunes 3 de Agosto de 2026</w:t>
      </w:r>
      <w:r>
        <w:rPr/>
        <w:t>.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EL PRESTADOR</w:t>
      </w:r>
      <w:r>
        <w:rPr/>
        <w:t xml:space="preserve"> — CARLOS MARCELO BENAVIDES MARTÍNEZ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>
          <w:rStyle w:val="Strong"/>
        </w:rPr>
        <w:t>EL CLIENTE</w:t>
      </w:r>
      <w:r>
        <w:rPr/>
        <w:t xml:space="preserve"> — [NOMBRE O RAZÓN SOCIAL]</w:t>
        <w:br/>
      </w:r>
      <w:r>
        <w:rPr>
          <w:rStyle w:val="Strong"/>
        </w:rPr>
        <w:t>Firma del Representante Legal:</w:t>
      </w:r>
      <w:r>
        <w:rPr/>
        <w:t xml:space="preserve"> [NOMBRE DEL REPRESENTANTE LEGAL]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keepNext w:val="true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ANEXOS APLICABLES</w:t>
      </w:r>
    </w:p>
    <w:p>
      <w:pPr>
        <w:pStyle w:val="BodyText"/>
        <w:bidi w:val="0"/>
        <w:spacing w:lineRule="auto" w:line="276" w:before="0" w:after="283"/>
        <w:jc w:val="both"/>
        <w:rPr/>
      </w:pPr>
      <w:r>
        <w:rPr/>
        <w:t xml:space="preserve">[ X ] </w:t>
      </w:r>
      <w:r>
        <w:rPr>
          <w:rStyle w:val="Strong"/>
        </w:rPr>
        <w:t>Anexo A — Proyecto 1: Sitio Web Corporativo</w:t>
      </w:r>
      <w:r>
        <w:rPr/>
        <w:t xml:space="preserve"> [ X ] </w:t>
      </w:r>
      <w:r>
        <w:rPr>
          <w:rStyle w:val="Strong"/>
        </w:rPr>
        <w:t>Anexo A — Proyecto 2: Bloc Digital via Internet</w:t>
      </w:r>
    </w:p>
    <w:sectPr>
      <w:type w:val="nextPage"/>
      <w:pgSz w:w="12240" w:h="15840"/>
      <w:pgMar w:left="1134" w:right="1134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Inter">
    <w:altName w:val="Arial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Inter;Arial;sans-serif" w:hAnsi="Inter;Arial;sans-serif" w:eastAsia="Inter;Arial;sans-serif" w:cs="Inter;Arial;sans-serif"/>
      <w:color w:val="1A202C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pBdr>
        <w:bottom w:val="single" w:sz="12" w:space="4" w:color="0D9488"/>
      </w:pBdr>
      <w:spacing w:before="240" w:after="120"/>
      <w:jc w:val="center"/>
      <w:outlineLvl w:val="0"/>
    </w:pPr>
    <w:rPr>
      <w:rFonts w:ascii="Liberation Serif" w:hAnsi="Liberation Serif" w:eastAsia="Noto Serif CJK SC" w:cs="Lohit Devanagari"/>
      <w:b/>
      <w:bCs/>
      <w:color w:val="0F766E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pBdr>
        <w:bottom w:val="single" w:sz="2" w:space="2" w:color="CCFBF1"/>
      </w:pBd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0F766E"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color w:val="115E59"/>
      <w:sz w:val="28"/>
      <w:szCs w:val="28"/>
    </w:rPr>
  </w:style>
  <w:style w:type="character" w:styleId="Emphasis">
    <w:name w:val="Emphasis"/>
    <w:qFormat/>
    <w:rPr>
      <w:i/>
      <w:iCs/>
      <w:color w:val="4A5568"/>
    </w:rPr>
  </w:style>
  <w:style w:type="character" w:styleId="Strong">
    <w:name w:val="Strong"/>
    <w:qFormat/>
    <w:rPr>
      <w:b/>
      <w:bCs/>
      <w:color w:val="1A202C"/>
    </w:rPr>
  </w:style>
  <w:style w:type="character" w:styleId="Hyperlink">
    <w:name w:val="Hyperlink"/>
    <w:rPr>
      <w:strike w:val="false"/>
      <w:dstrike w:val="false"/>
      <w:color w:val="0D9488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0D9488"/>
      <w:u w:val="none"/>
      <w:effect w:val="none"/>
    </w:rPr>
  </w:style>
  <w:style w:type="paragraph" w:styleId="BodyText">
    <w:name w:val="Body Text"/>
    <w:basedOn w:val="Normal"/>
    <w:pPr>
      <w:spacing w:lineRule="auto" w:line="276" w:before="0" w:after="283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 w:eastAsia="Noto Sans CJK SC" w:cs="Lohit Devanagari"/>
      <w:sz w:val="28"/>
      <w:szCs w:val="28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lockQuotation">
    <w:name w:val="Block Quotation"/>
    <w:basedOn w:val="Normal"/>
    <w:qFormat/>
    <w:pPr>
      <w:pBdr>
        <w:left w:val="single" w:sz="24" w:space="1" w:color="0D9488"/>
      </w:pBd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start"/>
    </w:pPr>
    <w:rPr/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15E5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859</Words>
  <Characters>4965</Characters>
  <CharactersWithSpaces>5811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Contrato Marco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