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ACTA DE ACEPTACIÓN DE ENTREGA Y ADENDA DE ADICIONALES</w:t>
      </w:r>
    </w:p>
    <w:p>
      <w:pPr>
        <w:pStyle w:val="Heading2"/>
        <w:keepNext w:val="true"/>
        <w:numPr>
          <w:ilvl w:val="0"/>
          <w:numId w:val="0"/>
        </w:numPr>
        <w:bidi w:val="0"/>
        <w:spacing w:before="200" w:after="120"/>
        <w:ind w:hanging="0" w:start="0"/>
        <w:jc w:val="start"/>
        <w:rPr/>
      </w:pPr>
      <w:r>
        <w:rPr/>
        <w:t>PROYECTO: SITIO WEB CORPORATIVO (ANEXO A)</w:t>
      </w:r>
    </w:p>
    <w:p>
      <w:pPr>
        <w:pStyle w:val="BodyText"/>
        <w:bidi w:val="0"/>
        <w:spacing w:lineRule="auto" w:line="276" w:before="0" w:after="283"/>
        <w:jc w:val="both"/>
        <w:rPr/>
      </w:pPr>
      <w:r>
        <w:rPr/>
        <w:t xml:space="preserve">En la Heroica Ciudad de Huajuapan de León, Oaxaca, a </w:t>
      </w:r>
      <w:r>
        <w:rPr>
          <w:rStyle w:val="Strong"/>
        </w:rPr>
        <w:t>12</w:t>
      </w:r>
      <w:r>
        <w:rPr>
          <w:rStyle w:val="Strong"/>
        </w:rPr>
        <w:t xml:space="preserve"> de </w:t>
      </w:r>
      <w:r>
        <w:rPr>
          <w:rStyle w:val="Strong"/>
        </w:rPr>
        <w:t xml:space="preserve">Octubre </w:t>
      </w:r>
      <w:r>
        <w:rPr>
          <w:rStyle w:val="Strong"/>
        </w:rPr>
        <w:t>de 2026</w:t>
      </w:r>
      <w:r>
        <w:rPr/>
        <w:t xml:space="preserve">, se reúnen </w:t>
      </w:r>
      <w:r>
        <w:rPr>
          <w:rStyle w:val="Strong"/>
        </w:rPr>
        <w:t>CARLOS MARCELO BENAVIDES MARTÍNEZ</w:t>
      </w:r>
      <w:r>
        <w:rPr/>
        <w:t xml:space="preserve"> ("EL PRESTADOR") y </w:t>
      </w:r>
      <w:r>
        <w:rPr>
          <w:rStyle w:val="Strong"/>
        </w:rPr>
        <w:t>[NOMBRE O RAZÓN SOCIAL DEL CLIENTE]</w:t>
      </w:r>
      <w:r>
        <w:rPr/>
        <w:t xml:space="preserve">, representada por </w:t>
      </w:r>
      <w:r>
        <w:rPr>
          <w:rStyle w:val="Strong"/>
        </w:rPr>
        <w:t>[NOMBRE DEL REPRESENTANTE LEGAL]</w:t>
      </w:r>
      <w:r>
        <w:rPr/>
        <w:t xml:space="preserve"> ("EL CLIENTE"), para formalizar la entrega y aceptación del proyecto </w:t>
      </w:r>
      <w:r>
        <w:rPr>
          <w:rStyle w:val="Strong"/>
        </w:rPr>
        <w:t>Sitio Web (Anexo A)</w:t>
      </w:r>
      <w:r>
        <w:rPr/>
        <w:t>.</w:t>
      </w:r>
    </w:p>
    <w:p>
      <w:pPr>
        <w:pStyle w:val="HorizontalLine"/>
        <w:suppressLineNumbers/>
        <w:pBdr>
          <w:bottom w:val="double" w:sz="2" w:space="0" w:color="808080"/>
        </w:pBdr>
        <w:bidi w:val="0"/>
        <w:spacing w:before="0" w:after="283"/>
        <w:jc w:val="start"/>
        <w:rPr/>
      </w:pPr>
      <w:r>
        <w:rPr/>
      </w:r>
    </w:p>
    <w:p>
      <w:pPr>
        <w:pStyle w:val="Heading3"/>
        <w:keepNext w:val="true"/>
        <w:numPr>
          <w:ilvl w:val="0"/>
          <w:numId w:val="0"/>
        </w:numPr>
        <w:bidi w:val="0"/>
        <w:spacing w:before="140" w:after="120"/>
        <w:ind w:hanging="0" w:start="0"/>
        <w:jc w:val="start"/>
        <w:rPr/>
      </w:pPr>
      <w:r>
        <w:rPr/>
        <w:t>1. DECLARACIÓN DE ENTREGA Y CONFORMIDAD</w:t>
      </w:r>
    </w:p>
    <w:p>
      <w:pPr>
        <w:pStyle w:val="BodyText"/>
        <w:bidi w:val="0"/>
        <w:spacing w:lineRule="auto" w:line="276" w:before="0" w:after="283"/>
        <w:jc w:val="both"/>
        <w:rPr/>
      </w:pPr>
      <w:r>
        <w:rPr/>
        <w:t>"EL CLIENTE" declara haber recibido a entera satisfacción el desarrollo, despliegue en servidor (</w:t>
      </w:r>
      <w:r>
        <w:rPr>
          <w:rStyle w:val="SourceText"/>
        </w:rPr>
        <w:t>laesh.mx</w:t>
      </w:r>
      <w:r>
        <w:rPr/>
        <w:t xml:space="preserve">) y la capacitación del personal respecto al </w:t>
      </w:r>
      <w:r>
        <w:rPr>
          <w:rStyle w:val="Strong"/>
        </w:rPr>
        <w:t>Sitio Web laesh.mx (Anexo A)</w:t>
      </w:r>
      <w:r>
        <w:rPr/>
        <w:t xml:space="preserve">, habiendo concluido satisfactoriamente el periodo de estabilización. Asimismo, se hace constar que "EL CLIENTE" realizó el pago del </w:t>
      </w:r>
      <w:r>
        <w:rPr>
          <w:rStyle w:val="Strong"/>
        </w:rPr>
        <w:t>100% del importe base del proyecto ($12,000.00 MXN Netos)</w:t>
      </w:r>
      <w:r>
        <w:rPr/>
        <w:t xml:space="preserve"> al inicio del mismo.</w:t>
      </w:r>
    </w:p>
    <w:p>
      <w:pPr>
        <w:pStyle w:val="Heading3"/>
        <w:keepNext w:val="true"/>
        <w:numPr>
          <w:ilvl w:val="0"/>
          <w:numId w:val="0"/>
        </w:numPr>
        <w:bidi w:val="0"/>
        <w:spacing w:before="140" w:after="120"/>
        <w:ind w:hanging="0" w:start="0"/>
        <w:jc w:val="start"/>
        <w:rPr/>
      </w:pPr>
      <w:r>
        <w:rPr/>
        <w:t>2. ADENDA DE CARACTERÍSTICAS EXTRAS</w:t>
      </w:r>
    </w:p>
    <w:p>
      <w:pPr>
        <w:pStyle w:val="BodyText"/>
        <w:bidi w:val="0"/>
        <w:spacing w:lineRule="auto" w:line="276" w:before="0" w:after="283"/>
        <w:jc w:val="both"/>
        <w:rPr/>
      </w:pPr>
      <w:r>
        <w:rPr/>
        <w:t xml:space="preserve">Ambas partes acuerdan la incorporación formal de </w:t>
      </w:r>
      <w:r>
        <w:rPr>
          <w:rStyle w:val="Strong"/>
        </w:rPr>
        <w:t>4 características funcionales adicionales</w:t>
      </w:r>
      <w:r>
        <w:rPr/>
        <w:t xml:space="preserve"> solicitadas fuera del alcance original:</w:t>
      </w:r>
    </w:p>
    <w:tbl>
      <w:tblPr>
        <w:tblW w:w="9972" w:type="dxa"/>
        <w:jc w:val="start"/>
        <w:tblInd w:w="0" w:type="dxa"/>
        <w:tblLayout w:type="fixed"/>
        <w:tblCellMar>
          <w:top w:w="28" w:type="dxa"/>
          <w:start w:w="28" w:type="dxa"/>
          <w:bottom w:w="28" w:type="dxa"/>
          <w:end w:w="28" w:type="dxa"/>
        </w:tblCellMar>
      </w:tblPr>
      <w:tblGrid>
        <w:gridCol w:w="2879"/>
        <w:gridCol w:w="7093"/>
      </w:tblGrid>
      <w:tr>
        <w:trPr>
          <w:tblHeader w:val="true"/>
        </w:trPr>
        <w:tc>
          <w:tcPr>
            <w:tcW w:w="2879" w:type="dxa"/>
            <w:tcBorders/>
            <w:vAlign w:val="center"/>
          </w:tcPr>
          <w:p>
            <w:pPr>
              <w:pStyle w:val="TableHeading"/>
              <w:bidi w:val="0"/>
              <w:ind w:hanging="0" w:start="0" w:end="0"/>
              <w:jc w:val="start"/>
              <w:rPr/>
            </w:pPr>
            <w:r>
              <w:rPr/>
              <w:t>Módulo / Característica</w:t>
            </w:r>
          </w:p>
        </w:tc>
        <w:tc>
          <w:tcPr>
            <w:tcW w:w="7093" w:type="dxa"/>
            <w:tcBorders/>
            <w:vAlign w:val="center"/>
          </w:tcPr>
          <w:p>
            <w:pPr>
              <w:pStyle w:val="TableHeading"/>
              <w:bidi w:val="0"/>
              <w:ind w:hanging="0" w:start="0" w:end="0"/>
              <w:jc w:val="start"/>
              <w:rPr/>
            </w:pPr>
            <w:r>
              <w:rPr/>
              <w:t>Descripción Funcional</w:t>
            </w:r>
          </w:p>
        </w:tc>
      </w:tr>
      <w:tr>
        <w:trPr/>
        <w:tc>
          <w:tcPr>
            <w:tcW w:w="2879" w:type="dxa"/>
            <w:tcBorders/>
            <w:vAlign w:val="center"/>
          </w:tcPr>
          <w:p>
            <w:pPr>
              <w:pStyle w:val="TableContents"/>
              <w:bidi w:val="0"/>
              <w:ind w:hanging="0" w:start="0" w:end="0"/>
              <w:jc w:val="start"/>
              <w:rPr/>
            </w:pPr>
            <w:r>
              <w:rPr>
                <w:rStyle w:val="Strong"/>
              </w:rPr>
              <w:t>1. Sección Multimedia</w:t>
            </w:r>
          </w:p>
        </w:tc>
        <w:tc>
          <w:tcPr>
            <w:tcW w:w="7093" w:type="dxa"/>
            <w:tcBorders/>
            <w:vAlign w:val="center"/>
          </w:tcPr>
          <w:p>
            <w:pPr>
              <w:pStyle w:val="TableContents"/>
              <w:bidi w:val="0"/>
              <w:ind w:hanging="0" w:start="0" w:end="0"/>
              <w:jc w:val="start"/>
              <w:rPr/>
            </w:pPr>
            <w:r>
              <w:rPr/>
              <w:t>Módulo administrable para incluir videos de YouTube o Podcasts de Spotify.</w:t>
            </w:r>
          </w:p>
        </w:tc>
      </w:tr>
      <w:tr>
        <w:trPr/>
        <w:tc>
          <w:tcPr>
            <w:tcW w:w="2879" w:type="dxa"/>
            <w:tcBorders/>
            <w:vAlign w:val="center"/>
          </w:tcPr>
          <w:p>
            <w:pPr>
              <w:pStyle w:val="TableContents"/>
              <w:bidi w:val="0"/>
              <w:ind w:hanging="0" w:start="0" w:end="0"/>
              <w:jc w:val="start"/>
              <w:rPr/>
            </w:pPr>
            <w:r>
              <w:rPr>
                <w:rStyle w:val="Strong"/>
              </w:rPr>
              <w:t>2. Fuente Única de Catálogo (SSOT)</w:t>
            </w:r>
          </w:p>
        </w:tc>
        <w:tc>
          <w:tcPr>
            <w:tcW w:w="7093" w:type="dxa"/>
            <w:tcBorders/>
            <w:vAlign w:val="center"/>
          </w:tcPr>
          <w:p>
            <w:pPr>
              <w:pStyle w:val="TableContents"/>
              <w:bidi w:val="0"/>
              <w:ind w:hanging="0" w:start="0" w:end="0"/>
              <w:jc w:val="start"/>
              <w:rPr/>
            </w:pPr>
            <w:r>
              <w:rPr/>
              <w:t>Centralización del catálogo de estudios clínicos administrables en un solo lugar para alimentar de forma unificada tanto al Sitio Web como al Bloc Digital, busquedas de estudios clínicos  desde el Sitio Web.</w:t>
            </w:r>
          </w:p>
        </w:tc>
      </w:tr>
      <w:tr>
        <w:trPr/>
        <w:tc>
          <w:tcPr>
            <w:tcW w:w="2879" w:type="dxa"/>
            <w:tcBorders/>
            <w:vAlign w:val="center"/>
          </w:tcPr>
          <w:p>
            <w:pPr>
              <w:pStyle w:val="TableContents"/>
              <w:bidi w:val="0"/>
              <w:ind w:hanging="0" w:start="0" w:end="0"/>
              <w:jc w:val="start"/>
              <w:rPr/>
            </w:pPr>
            <w:r>
              <w:rPr>
                <w:rStyle w:val="Strong"/>
              </w:rPr>
              <w:t>3. Reorganización Estructural Vertical</w:t>
            </w:r>
          </w:p>
        </w:tc>
        <w:tc>
          <w:tcPr>
            <w:tcW w:w="7093" w:type="dxa"/>
            <w:tcBorders/>
            <w:vAlign w:val="center"/>
          </w:tcPr>
          <w:p>
            <w:pPr>
              <w:pStyle w:val="TableContents"/>
              <w:bidi w:val="0"/>
              <w:ind w:hanging="0" w:start="0" w:end="0"/>
              <w:jc w:val="start"/>
              <w:rPr/>
            </w:pPr>
            <w:r>
              <w:rPr/>
              <w:t>Restructuración del diseño visual de secciones del sitio en flujo vertical.</w:t>
            </w:r>
          </w:p>
        </w:tc>
      </w:tr>
      <w:tr>
        <w:trPr/>
        <w:tc>
          <w:tcPr>
            <w:tcW w:w="2879" w:type="dxa"/>
            <w:tcBorders/>
            <w:vAlign w:val="center"/>
          </w:tcPr>
          <w:p>
            <w:pPr>
              <w:pStyle w:val="TableContents"/>
              <w:bidi w:val="0"/>
              <w:ind w:hanging="0" w:start="0" w:end="0"/>
              <w:jc w:val="start"/>
              <w:rPr/>
            </w:pPr>
            <w:r>
              <w:rPr>
                <w:rStyle w:val="Strong"/>
              </w:rPr>
              <w:t>4. Pausa Independiente de Banner</w:t>
            </w:r>
          </w:p>
        </w:tc>
        <w:tc>
          <w:tcPr>
            <w:tcW w:w="7093" w:type="dxa"/>
            <w:tcBorders/>
            <w:vAlign w:val="center"/>
          </w:tcPr>
          <w:p>
            <w:pPr>
              <w:pStyle w:val="TableContents"/>
              <w:bidi w:val="0"/>
              <w:jc w:val="start"/>
              <w:rPr/>
            </w:pPr>
            <w:r>
              <w:rPr/>
              <w:t>Control de pausa manual del carrusel de imágenes de portada sin detener la rotación del banner de avisos/mensajes.</w:t>
            </w:r>
          </w:p>
        </w:tc>
      </w:tr>
    </w:tbl>
    <w:p>
      <w:pPr>
        <w:pStyle w:val="Heading3"/>
        <w:keepNext w:val="true"/>
        <w:numPr>
          <w:ilvl w:val="0"/>
          <w:numId w:val="0"/>
        </w:numPr>
        <w:bidi w:val="0"/>
        <w:spacing w:before="140" w:after="120"/>
        <w:ind w:hanging="0" w:start="0"/>
        <w:jc w:val="start"/>
        <w:rPr/>
      </w:pPr>
      <w:r>
        <w:rPr/>
        <w:t>3. RESUMEN FINANCIERO DE LIQUIDACIÓN</w:t>
      </w:r>
    </w:p>
    <w:tbl>
      <w:tblPr>
        <w:tblW w:w="9972" w:type="dxa"/>
        <w:jc w:val="start"/>
        <w:tblInd w:w="0" w:type="dxa"/>
        <w:tblLayout w:type="fixed"/>
        <w:tblCellMar>
          <w:top w:w="28" w:type="dxa"/>
          <w:start w:w="28" w:type="dxa"/>
          <w:bottom w:w="28" w:type="dxa"/>
          <w:end w:w="28" w:type="dxa"/>
        </w:tblCellMar>
      </w:tblPr>
      <w:tblGrid>
        <w:gridCol w:w="7031"/>
        <w:gridCol w:w="2941"/>
      </w:tblGrid>
      <w:tr>
        <w:trPr>
          <w:tblHeader w:val="true"/>
        </w:trPr>
        <w:tc>
          <w:tcPr>
            <w:tcW w:w="7031" w:type="dxa"/>
            <w:tcBorders/>
            <w:vAlign w:val="center"/>
          </w:tcPr>
          <w:p>
            <w:pPr>
              <w:pStyle w:val="TableHeading"/>
              <w:bidi w:val="0"/>
              <w:ind w:hanging="0" w:start="0" w:end="0"/>
              <w:jc w:val="start"/>
              <w:rPr/>
            </w:pPr>
            <w:r>
              <w:rPr/>
              <w:t>Concepto / Entregable</w:t>
            </w:r>
          </w:p>
        </w:tc>
        <w:tc>
          <w:tcPr>
            <w:tcW w:w="2941" w:type="dxa"/>
            <w:tcBorders/>
            <w:vAlign w:val="center"/>
          </w:tcPr>
          <w:p>
            <w:pPr>
              <w:pStyle w:val="TableHeading"/>
              <w:bidi w:val="0"/>
              <w:ind w:hanging="0" w:start="0" w:end="0"/>
              <w:jc w:val="center"/>
              <w:rPr/>
            </w:pPr>
            <w:r>
              <w:rPr/>
              <w:t>Estatus / Monto Neto</w:t>
            </w:r>
          </w:p>
        </w:tc>
      </w:tr>
      <w:tr>
        <w:trPr/>
        <w:tc>
          <w:tcPr>
            <w:tcW w:w="7031" w:type="dxa"/>
            <w:tcBorders/>
            <w:vAlign w:val="center"/>
          </w:tcPr>
          <w:p>
            <w:pPr>
              <w:pStyle w:val="TableContents"/>
              <w:bidi w:val="0"/>
              <w:ind w:hanging="0" w:start="0" w:end="0"/>
              <w:jc w:val="start"/>
              <w:rPr/>
            </w:pPr>
            <w:r>
              <w:rPr>
                <w:rStyle w:val="Strong"/>
              </w:rPr>
              <w:t>Costo Base Anexo A Sitio Web ($12,000.00 MXN)</w:t>
            </w:r>
          </w:p>
        </w:tc>
        <w:tc>
          <w:tcPr>
            <w:tcW w:w="2941" w:type="dxa"/>
            <w:tcBorders/>
            <w:vAlign w:val="center"/>
          </w:tcPr>
          <w:p>
            <w:pPr>
              <w:pStyle w:val="TableContents"/>
              <w:bidi w:val="0"/>
              <w:ind w:hanging="0" w:start="0" w:end="0"/>
              <w:jc w:val="center"/>
              <w:rPr/>
            </w:pPr>
            <w:r>
              <w:rPr>
                <w:rStyle w:val="Strong"/>
              </w:rPr>
              <w:t>PAGADO AL 100% AL INICIO</w:t>
            </w:r>
          </w:p>
        </w:tc>
      </w:tr>
      <w:tr>
        <w:trPr/>
        <w:tc>
          <w:tcPr>
            <w:tcW w:w="7031" w:type="dxa"/>
            <w:tcBorders/>
            <w:vAlign w:val="center"/>
          </w:tcPr>
          <w:p>
            <w:pPr>
              <w:pStyle w:val="TableContents"/>
              <w:bidi w:val="0"/>
              <w:ind w:hanging="0" w:start="0" w:end="0"/>
              <w:jc w:val="start"/>
              <w:rPr/>
            </w:pPr>
            <w:r>
              <w:rPr>
                <w:rStyle w:val="Strong"/>
              </w:rPr>
              <w:t>Adenda de Características Extras (4 Módulos descritos en la Sección 2)</w:t>
            </w:r>
          </w:p>
        </w:tc>
        <w:tc>
          <w:tcPr>
            <w:tcW w:w="2941" w:type="dxa"/>
            <w:tcBorders/>
            <w:vAlign w:val="center"/>
          </w:tcPr>
          <w:p>
            <w:pPr>
              <w:pStyle w:val="TableContents"/>
              <w:bidi w:val="0"/>
              <w:jc w:val="center"/>
              <w:rPr/>
            </w:pPr>
            <w:r>
              <w:rPr>
                <w:rStyle w:val="Strong"/>
              </w:rPr>
              <w:t>$3,000.00 MXN NETOS</w:t>
            </w:r>
          </w:p>
        </w:tc>
      </w:tr>
    </w:tbl>
    <w:p>
      <w:pPr>
        <w:pStyle w:val="Heading3"/>
        <w:keepNext w:val="true"/>
        <w:numPr>
          <w:ilvl w:val="0"/>
          <w:numId w:val="0"/>
        </w:numPr>
        <w:bidi w:val="0"/>
        <w:spacing w:before="140" w:after="120"/>
        <w:ind w:hanging="0" w:start="0"/>
        <w:jc w:val="start"/>
        <w:rPr/>
      </w:pPr>
      <w:r>
        <w:rPr/>
        <w:t>4. INICIO DEL PERIODO DE GARANTÍA</w:t>
      </w:r>
    </w:p>
    <w:p>
      <w:pPr>
        <w:pStyle w:val="BodyText"/>
        <w:bidi w:val="0"/>
        <w:spacing w:lineRule="auto" w:line="276" w:before="0" w:after="283"/>
        <w:jc w:val="both"/>
        <w:rPr/>
      </w:pPr>
      <w:r>
        <w:rPr/>
        <w:t xml:space="preserve">Conforme a la Cláusula Cuarta del Contrato Marco y el Anexo A, con la firma de la presente Acta y la liquidación de la Adenda, </w:t>
      </w:r>
      <w:r>
        <w:rPr>
          <w:rStyle w:val="Strong"/>
        </w:rPr>
        <w:t>inicia oficialmente el Periodo de Garantía de 10 días naturales</w:t>
      </w:r>
      <w:r>
        <w:rPr/>
        <w:t xml:space="preserve">, el cual abarcará del </w:t>
      </w:r>
      <w:r>
        <w:rPr>
          <w:rStyle w:val="Strong"/>
        </w:rPr>
        <w:t>12</w:t>
      </w:r>
      <w:r>
        <w:rPr>
          <w:rStyle w:val="Strong"/>
        </w:rPr>
        <w:t xml:space="preserve"> de </w:t>
      </w:r>
      <w:r>
        <w:rPr>
          <w:rStyle w:val="Strong"/>
        </w:rPr>
        <w:t xml:space="preserve">Octubre </w:t>
      </w:r>
      <w:r>
        <w:rPr>
          <w:rStyle w:val="Strong"/>
        </w:rPr>
        <w:t>de 2026</w:t>
      </w:r>
      <w:r>
        <w:rPr/>
        <w:t xml:space="preserve"> al </w:t>
      </w:r>
      <w:r>
        <w:rPr>
          <w:rStyle w:val="Strong"/>
        </w:rPr>
        <w:t xml:space="preserve">21 de </w:t>
      </w:r>
      <w:r>
        <w:rPr>
          <w:rStyle w:val="Strong"/>
        </w:rPr>
        <w:t>Octubre</w:t>
      </w:r>
      <w:r>
        <w:rPr>
          <w:rStyle w:val="Strong"/>
        </w:rPr>
        <w:t xml:space="preserve"> de 2026</w:t>
      </w:r>
      <w:r>
        <w:rPr/>
        <w:t xml:space="preserve"> para la atención sin costo de cualquier defecto de software en el código </w:t>
      </w:r>
      <w:r>
        <w:rPr/>
        <w:t>y despliegue</w:t>
      </w:r>
      <w:r>
        <w:rPr/>
        <w:t xml:space="preserve"> entregado.</w:t>
      </w:r>
    </w:p>
    <w:p>
      <w:pPr>
        <w:pStyle w:val="HorizontalLine"/>
        <w:suppressLineNumbers/>
        <w:pBdr>
          <w:bottom w:val="double" w:sz="2" w:space="0" w:color="808080"/>
        </w:pBdr>
        <w:bidi w:val="0"/>
        <w:spacing w:before="0" w:after="283"/>
        <w:jc w:val="start"/>
        <w:rPr/>
      </w:pPr>
      <w:r>
        <w:rPr/>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283"/>
        <w:jc w:val="both"/>
        <w:rPr/>
      </w:pPr>
      <w:r>
        <w:rPr>
          <w:rStyle w:val="Strong"/>
        </w:rPr>
        <w:t>EL PRESTADOR</w:t>
      </w:r>
      <w:r>
        <w:rPr/>
        <w:t xml:space="preserve"> — CARLOS MARCELO BENAVIDES MARTÍNEZ (RFC: BEMC740404EE2) </w:t>
      </w:r>
    </w:p>
    <w:p>
      <w:pPr>
        <w:pStyle w:val="HorizontalLine"/>
        <w:suppressLineNumbers/>
        <w:pBdr>
          <w:bottom w:val="double" w:sz="2" w:space="0" w:color="808080"/>
        </w:pBdr>
        <w:bidi w:val="0"/>
        <w:spacing w:before="0" w:after="283"/>
        <w:jc w:val="start"/>
        <w:rPr/>
      </w:pPr>
      <w:r>
        <w:rPr/>
      </w:r>
    </w:p>
    <w:p>
      <w:pPr>
        <w:pStyle w:val="BodyText"/>
        <w:bidi w:val="0"/>
        <w:spacing w:lineRule="auto" w:line="276" w:before="0" w:after="283"/>
        <w:jc w:val="both"/>
        <w:rPr/>
      </w:pPr>
      <w:r>
        <w:rPr>
          <w:rStyle w:val="Strong"/>
        </w:rPr>
        <w:t>EL CLIENTE</w:t>
      </w:r>
      <w:r>
        <w:rPr/>
        <w:t xml:space="preserve"> — [NOMBRE O RAZÓN SOCIAL DEL CLIENTE] (RFC: [RFC DEL CLIENTE])</w:t>
        <w:br/>
      </w:r>
      <w:r>
        <w:rPr>
          <w:rStyle w:val="Strong"/>
        </w:rPr>
        <w:t>Firma del Representante Legal:</w:t>
      </w:r>
      <w:r>
        <w:rPr/>
        <w:t xml:space="preserve"> [NOMBRE DEL REPRESENTANTE LEGAL]</w:t>
      </w:r>
    </w:p>
    <w:sectPr>
      <w:type w:val="nextPage"/>
      <w:pgSz w:w="12240" w:h="15840"/>
      <w:pgMar w:left="1134" w:right="1134" w:gutter="0" w:header="0" w:top="907" w:footer="0" w:bottom="907"/>
      <w:pgNumType w:fmt="decimal"/>
      <w:formProt w:val="false"/>
      <w:textDirection w:val="lrTb"/>
      <w:docGrid w:type="default" w:linePitch="600" w:charSpace="3850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Inter">
    <w:altName w:val="Arial"/>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lineRule="auto" w:line="360" w:before="0" w:after="0"/>
      <w:jc w:val="start"/>
    </w:pPr>
    <w:rPr>
      <w:rFonts w:ascii="Inter;Arial;sans-serif" w:hAnsi="Inter;Arial;sans-serif" w:eastAsia="Inter;Arial;sans-serif" w:cs="Inter;Arial;sans-serif"/>
      <w:color w:val="1A202C"/>
      <w:kern w:val="0"/>
      <w:sz w:val="21"/>
      <w:szCs w:val="21"/>
      <w:lang w:val="en-US" w:eastAsia="zh-CN" w:bidi="hi-IN"/>
    </w:rPr>
  </w:style>
  <w:style w:type="paragraph" w:styleId="Heading1">
    <w:name w:val="heading 1"/>
    <w:basedOn w:val="Heading"/>
    <w:next w:val="BodyText"/>
    <w:qFormat/>
    <w:pPr>
      <w:pBdr>
        <w:bottom w:val="single" w:sz="12" w:space="4" w:color="0D9488"/>
      </w:pBdr>
      <w:spacing w:before="240" w:after="120"/>
      <w:jc w:val="center"/>
      <w:outlineLvl w:val="0"/>
    </w:pPr>
    <w:rPr>
      <w:rFonts w:ascii="Liberation Serif" w:hAnsi="Liberation Serif" w:eastAsia="Noto Serif CJK SC" w:cs="Lohit Devanagari"/>
      <w:b/>
      <w:bCs/>
      <w:color w:val="0F766E"/>
      <w:sz w:val="48"/>
      <w:szCs w:val="48"/>
    </w:rPr>
  </w:style>
  <w:style w:type="paragraph" w:styleId="Heading2">
    <w:name w:val="heading 2"/>
    <w:basedOn w:val="Heading"/>
    <w:next w:val="BodyText"/>
    <w:qFormat/>
    <w:pPr>
      <w:keepNext w:val="true"/>
      <w:pBdr>
        <w:bottom w:val="single" w:sz="2" w:space="2" w:color="CCFBF1"/>
      </w:pBdr>
      <w:spacing w:before="200" w:after="120"/>
      <w:outlineLvl w:val="1"/>
    </w:pPr>
    <w:rPr>
      <w:rFonts w:ascii="Liberation Serif" w:hAnsi="Liberation Serif" w:eastAsia="Noto Serif CJK SC" w:cs="Lohit Devanagari"/>
      <w:b/>
      <w:bCs/>
      <w:color w:val="0F766E"/>
      <w:sz w:val="36"/>
      <w:szCs w:val="36"/>
    </w:rPr>
  </w:style>
  <w:style w:type="paragraph" w:styleId="Heading3">
    <w:name w:val="heading 3"/>
    <w:basedOn w:val="Heading"/>
    <w:next w:val="BodyText"/>
    <w:qFormat/>
    <w:pPr>
      <w:keepNext w:val="true"/>
      <w:spacing w:before="140" w:after="120"/>
      <w:outlineLvl w:val="2"/>
    </w:pPr>
    <w:rPr>
      <w:rFonts w:ascii="Liberation Serif" w:hAnsi="Liberation Serif" w:eastAsia="Noto Serif CJK SC" w:cs="Lohit Devanagari"/>
      <w:b/>
      <w:bCs/>
      <w:color w:val="115E59"/>
      <w:sz w:val="28"/>
      <w:szCs w:val="28"/>
    </w:rPr>
  </w:style>
  <w:style w:type="character" w:styleId="Emphasis">
    <w:name w:val="Emphasis"/>
    <w:qFormat/>
    <w:rPr>
      <w:i/>
      <w:iCs/>
      <w:color w:val="4A5568"/>
    </w:rPr>
  </w:style>
  <w:style w:type="character" w:styleId="Strong">
    <w:name w:val="Strong"/>
    <w:qFormat/>
    <w:rPr>
      <w:b/>
      <w:bCs/>
      <w:color w:val="1A202C"/>
    </w:rPr>
  </w:style>
  <w:style w:type="character" w:styleId="SourceText">
    <w:name w:val="Source Text"/>
    <w:qFormat/>
    <w:rPr>
      <w:rFonts w:ascii="Liberation Mono" w:hAnsi="Liberation Mono" w:eastAsia="Noto Sans Mono CJK SC" w:cs="Liberation Mono"/>
    </w:rPr>
  </w:style>
  <w:style w:type="character" w:styleId="Hyperlink">
    <w:name w:val="Hyperlink"/>
    <w:rPr>
      <w:strike w:val="false"/>
      <w:dstrike w:val="false"/>
      <w:color w:val="0D9488"/>
      <w:u w:val="none"/>
      <w:effect w:val="none"/>
    </w:rPr>
  </w:style>
  <w:style w:type="character" w:styleId="FollowedHyperlink">
    <w:name w:val="FollowedHyperlink"/>
    <w:rPr>
      <w:strike w:val="false"/>
      <w:dstrike w:val="false"/>
      <w:color w:val="0D9488"/>
      <w:u w:val="none"/>
      <w:effect w:val="none"/>
    </w:rPr>
  </w:style>
  <w:style w:type="paragraph" w:styleId="Heading">
    <w:name w:val="Heading"/>
    <w:basedOn w:val="Normal"/>
    <w:next w:val="BodyText"/>
    <w:qFormat/>
    <w:pPr>
      <w:keepNext w:val="true"/>
      <w:spacing w:before="240" w:after="283"/>
    </w:pPr>
    <w:rPr>
      <w:rFonts w:ascii="Liberation Sans" w:hAnsi="Liberation Sans" w:eastAsia="Noto Sans CJK SC" w:cs="Lohit Devanagari"/>
      <w:sz w:val="28"/>
      <w:szCs w:val="28"/>
    </w:rPr>
  </w:style>
  <w:style w:type="paragraph" w:styleId="BodyText">
    <w:name w:val="Body Text"/>
    <w:basedOn w:val="Normal"/>
    <w:pPr>
      <w:spacing w:lineRule="auto" w:line="276" w:before="0" w:after="283"/>
      <w:jc w:val="both"/>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lockQuotation">
    <w:name w:val="Block Quotation"/>
    <w:basedOn w:val="Normal"/>
    <w:qFormat/>
    <w:pPr>
      <w:pBdr>
        <w:left w:val="single" w:sz="24" w:space="1" w:color="0D9488"/>
      </w:pBd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jc w:val="start"/>
    </w:pPr>
    <w:rPr/>
  </w:style>
  <w:style w:type="paragraph" w:styleId="TableHeading">
    <w:name w:val="Table Heading"/>
    <w:basedOn w:val="TableContents"/>
    <w:qFormat/>
    <w:pPr>
      <w:suppressLineNumbers/>
      <w:jc w:val="start"/>
    </w:pPr>
    <w:rPr>
      <w:b/>
      <w:bCs/>
      <w:color w:val="115E5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LibreOffice/26.2.5.2$Linux_X86_64 LibreOffice_project/620$Build-2</Application>
  <AppVersion>15.0000</AppVersion>
  <Pages>2</Pages>
  <Words>383</Words>
  <Characters>2113</Characters>
  <CharactersWithSpaces>2472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2026-09-25T17:46:13Z</dcterms:modified>
  <cp:revision>3</cp:revision>
  <dc:subject/>
  <dc:title>Acta Aceptacion Adenda</dc:title>
</cp:coreProperties>
</file>

<file path=docProps/custom.xml><?xml version="1.0" encoding="utf-8"?>
<Properties xmlns="http://schemas.openxmlformats.org/officeDocument/2006/custom-properties" xmlns:vt="http://schemas.openxmlformats.org/officeDocument/2006/docPropsVTypes"/>
</file>