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rPr/>
      </w:pPr>
      <w:r>
        <w:rPr/>
        <w:t>ANEXO A — ALCANCE DEL PROYECTO</w:t>
      </w:r>
    </w:p>
    <w:p>
      <w:pPr>
        <w:pStyle w:val="Heading2"/>
        <w:keepNext w:val="true"/>
        <w:numPr>
          <w:ilvl w:val="0"/>
          <w:numId w:val="0"/>
        </w:numPr>
        <w:bidi w:val="0"/>
        <w:spacing w:before="200" w:after="120"/>
        <w:ind w:hanging="0" w:start="0"/>
        <w:jc w:val="start"/>
        <w:rPr/>
      </w:pPr>
      <w:r>
        <w:rPr/>
        <w:t>Proyecto 2: Bloc Digital via Internet</w:t>
      </w:r>
    </w:p>
    <w:p>
      <w:pPr>
        <w:pStyle w:val="BodyText"/>
        <w:bidi w:val="0"/>
        <w:spacing w:lineRule="auto" w:line="276" w:before="0" w:after="283"/>
        <w:jc w:val="both"/>
        <w:rPr/>
      </w:pPr>
      <w:r>
        <w:rPr/>
        <w:t xml:space="preserve">En la Heroica Ciudad de Huajuapan de León, Oaxaca, a </w:t>
      </w:r>
      <w:r>
        <w:rPr>
          <w:rStyle w:val="Strong"/>
        </w:rPr>
        <w:t>25</w:t>
      </w:r>
      <w:r>
        <w:rPr>
          <w:rStyle w:val="Strong"/>
        </w:rPr>
        <w:t xml:space="preserve"> de Septiembre de 2026</w:t>
      </w:r>
      <w:r>
        <w:rPr/>
        <w:t xml:space="preserve">, se reúnen </w:t>
      </w:r>
      <w:r>
        <w:rPr>
          <w:rStyle w:val="Strong"/>
        </w:rPr>
        <w:t>CARLOS MARCELO BENAVIDES MARTÍNEZ</w:t>
      </w:r>
      <w:r>
        <w:rPr/>
        <w:t xml:space="preserve"> ("EL PRESTADOR") y </w:t>
      </w:r>
      <w:r>
        <w:rPr>
          <w:rStyle w:val="Strong"/>
        </w:rPr>
        <w:t>[NOMBRE O RAZÓN SOCIAL DEL CLIENTE]</w:t>
      </w:r>
      <w:r>
        <w:rPr/>
        <w:t xml:space="preserve">, representada por </w:t>
      </w:r>
      <w:r>
        <w:rPr>
          <w:rStyle w:val="Strong"/>
        </w:rPr>
        <w:t>[NOMBRE DEL REPRESENTANTE LEGAL]</w:t>
      </w:r>
      <w:r>
        <w:rPr/>
        <w:t xml:space="preserve"> ("EL CLIENTE"), para formalizar </w:t>
      </w:r>
      <w:r>
        <w:rPr/>
        <w:t>el inicio del proyecto.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283"/>
        <w:jc w:val="both"/>
        <w:rPr/>
      </w:pPr>
      <w:r>
        <w:rPr/>
        <w:t>Parte integrante del Contrato de Prestación de Servicios Profesionales.</w:t>
      </w:r>
    </w:p>
    <w:p>
      <w:pPr>
        <w:pStyle w:val="BodyText"/>
        <w:bidi w:val="0"/>
        <w:spacing w:lineRule="auto" w:line="276" w:before="0" w:after="283"/>
        <w:jc w:val="both"/>
        <w:rPr/>
      </w:pPr>
      <w:r>
        <w:rPr>
          <w:rStyle w:val="Strong"/>
        </w:rPr>
        <w:t>1. Descripción y Fases del Sistema</w:t>
      </w:r>
    </w:p>
    <w:p>
      <w:pPr>
        <w:pStyle w:val="BodyText"/>
        <w:bidi w:val="0"/>
        <w:spacing w:lineRule="auto" w:line="276" w:before="0" w:after="283"/>
        <w:jc w:val="both"/>
        <w:rPr/>
      </w:pPr>
      <w:r>
        <w:rPr/>
        <w:t xml:space="preserve">"EL SISTEMA" es una aplicación web privada hospedada en </w:t>
      </w:r>
      <w:r>
        <w:rPr>
          <w:rStyle w:val="SourceText"/>
        </w:rPr>
        <w:t>laesh.mx</w:t>
      </w:r>
      <w:r>
        <w:rPr/>
        <w:t xml:space="preserve"> que digitaliza la emisión, seguimiento y entrega de solicitudes de estudio de laboratorio clínico, optimizando la operación diaria sin depender de redes sociales. </w:t>
      </w:r>
    </w:p>
    <w:p>
      <w:pPr>
        <w:pStyle w:val="BodyText"/>
        <w:bidi w:val="0"/>
        <w:spacing w:lineRule="auto" w:line="276" w:before="0" w:after="283"/>
        <w:jc w:val="both"/>
        <w:rPr/>
      </w:pPr>
      <w:r>
        <w:rPr/>
        <w:t>El proyecto contempla las siguientes fases de desarrollo: Análisis, Diseño de Interfaces, Desarrollo, Pruebas Integrales, Despliegue en Servidor, Estabilización en Vivo, y Firma de Acta de Aceptación (los plazos correspondientes y los periodos de garantía se definen en la Sección 4).</w:t>
      </w:r>
    </w:p>
    <w:p>
      <w:pPr>
        <w:pStyle w:val="BodyText"/>
        <w:bidi w:val="0"/>
        <w:spacing w:lineRule="auto" w:line="276" w:before="0" w:after="283"/>
        <w:jc w:val="both"/>
        <w:rPr/>
      </w:pPr>
      <w:r>
        <w:rPr>
          <w:rStyle w:val="Strong"/>
        </w:rPr>
        <w:t>2. Módulos y Flujo Operativo (Alcance Exacto)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>
          <w:rStyle w:val="Strong"/>
        </w:rPr>
        <w:t>Gestión de Sesiones y Seguridad:</w:t>
      </w:r>
      <w:r>
        <w:rPr/>
        <w:t xml:space="preserve"> Inicio y cierre de sesión (login/logout) exclusivo para médicos y personal de recepción. Incluye la opción de cambio de contraseña (requiriendo la contraseña actual y doble verificación de la nueva contraseña).</w:t>
        <w:br/>
      </w:r>
      <w:r>
        <w:rPr>
          <w:rStyle w:val="Emphasis"/>
        </w:rPr>
        <w:t>Fuera de alcance:</w:t>
      </w:r>
      <w:r>
        <w:rPr/>
        <w:t xml:space="preserve"> Se excluye la recuperación automatizada de contraseña ("olvidé mi contraseña"). En su lugar, se implementará el reseteo manual de contraseñas de médicos por parte del perfil de Recepción/Administrador.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>
          <w:rStyle w:val="Strong"/>
        </w:rPr>
        <w:t>Catálogo de Estudios:</w:t>
      </w:r>
      <w:r>
        <w:rPr/>
        <w:t xml:space="preserve"> Panel administrable que permite el alta, edición e inactivación de estudios de laboratorio clínico. Incluye la carga inicial de datos vía un archivo de hoja de cálculo (Excel) provisto por LAESH.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>
          <w:rStyle w:val="Strong"/>
        </w:rPr>
        <w:t>Configuraciones Globales:</w:t>
      </w:r>
      <w:r>
        <w:rPr/>
        <w:t xml:space="preserve"> Pantalla especial para el Administrador que permite parametrizar valores generales del comportamiento del sistema (por ejemplo, el tiempo de caducidad/rotación automática de las solicitudes inactivas, configurado por defecto a 30 días).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>
          <w:rStyle w:val="Strong"/>
        </w:rPr>
        <w:t>Portal Médico (Captura de Órdenes):</w:t>
      </w:r>
      <w:r>
        <w:rPr/>
        <w:t xml:space="preserve"> Permite al médico crear órdenes digitales desde la dirección web </w:t>
      </w:r>
      <w:r>
        <w:rPr>
          <w:rStyle w:val="SourceText"/>
        </w:rPr>
        <w:t>laesh.mx/medicos</w:t>
      </w:r>
      <w:r>
        <w:rPr/>
        <w:t xml:space="preserve">. Al crearse, la orden inicia en estado </w:t>
      </w:r>
      <w:r>
        <w:rPr>
          <w:rStyle w:val="Strong"/>
        </w:rPr>
        <w:t>Remitido</w:t>
      </w:r>
      <w:r>
        <w:rPr/>
        <w:t>.</w:t>
        <w:br/>
        <w:t>El sistema permite generar e imprimir una hoja PDF con el formato que se diseñe en colaboración entre el cliente y el prestador. Este documento podrá incluir el logotipo de LAESH, el número de folio único asignado por el sistema, entre otros datos.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>
          <w:rStyle w:val="Strong"/>
        </w:rPr>
        <w:t>Notificación a Recepción (Audio y Enlace):</w:t>
      </w:r>
      <w:r>
        <w:rPr/>
        <w:t xml:space="preserve"> Al momento exacto en que un médico crea una orden, la interfaz de recepción </w:t>
      </w:r>
      <w:r>
        <w:rPr>
          <w:rStyle w:val="SourceText"/>
        </w:rPr>
        <w:t>laesh.mx/labadmin</w:t>
      </w:r>
      <w:r>
        <w:rPr/>
        <w:t xml:space="preserve"> recibe una burbuja de aviso ("globito") visual instantánea, y un enlace de acceso directo para consultar o descargar el archivo de la orden.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>
          <w:rStyle w:val="Strong"/>
        </w:rPr>
        <w:t>Recepción y Búsqueda de Pacientes:</w:t>
      </w:r>
      <w:r>
        <w:rPr/>
        <w:t xml:space="preserve"> El personal de recepción podrá buscar y localizar pacientes por folio o nombre (mediante autocompletado con un mínimo de 3 caracteres de precisión) para actualizar su estado a </w:t>
      </w:r>
      <w:r>
        <w:rPr>
          <w:rStyle w:val="Strong"/>
        </w:rPr>
        <w:t>En Atención</w:t>
      </w:r>
      <w:r>
        <w:rPr/>
        <w:t>.</w:t>
        <w:br/>
        <w:t>Se incluye también una opción de búsqueda histórica y retroactiva que permite consultar y re-imprimir cualquier folio u orden generada en el pasado, independientemente de que ya se encuentre en estado "Cerrado".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>
          <w:rStyle w:val="Strong"/>
        </w:rPr>
        <w:t>Carga de Resultados (Cambio Automático de Estado):</w:t>
      </w:r>
      <w:r>
        <w:rPr/>
        <w:t xml:space="preserve"> Al concluir los estudios correspondientes (Parciales incremetal y total), el personal de recepción carga el archivo de resultados clínicos en formato PDF en el sistema, lo cual cambia de manera automática el estado de la solicitud a </w:t>
      </w:r>
      <w:r>
        <w:rPr>
          <w:rStyle w:val="Strong"/>
        </w:rPr>
        <w:t>Resultados Listos</w:t>
      </w:r>
      <w:r>
        <w:rPr/>
        <w:t>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>
          <w:rStyle w:val="Strong"/>
        </w:rPr>
        <w:t>Notificación al Médico:</w:t>
      </w:r>
      <w:r>
        <w:rPr/>
        <w:t xml:space="preserve"> Al cambiar la orden al estado de resultados listos, el médico emisor recibe una notificación visual silenciosa en su panel con un enlace de descarga directa de los resultados adjuntos.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>
          <w:rStyle w:val="Strong"/>
        </w:rPr>
        <w:t>Entrega de Resultados y Cierre:</w:t>
      </w:r>
      <w:r>
        <w:rPr/>
        <w:t xml:space="preserve"> Impresión y entrega física de los resultados al paciente en la ventanilla de recepción. El estado de la orden cambia a </w:t>
      </w:r>
      <w:r>
        <w:rPr>
          <w:rStyle w:val="Strong"/>
        </w:rPr>
        <w:t>Cerrada</w:t>
      </w:r>
      <w:r>
        <w:rPr/>
        <w:t xml:space="preserve"> (ya sea manualmente por el operador o mediante el proceso automático de caducidad y rotación del sistema).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>
          <w:rStyle w:val="Strong"/>
        </w:rPr>
        <w:t>Disponibilidad Permanente de Documentos:</w:t>
      </w:r>
      <w:r>
        <w:rPr/>
        <w:t xml:space="preserve"> Todos los documentos vinculados a la solicitud (orden médica original y resultados clínicos adjuntos) estarán disponibles permanentemente como PDF para su consulta y descarga tanto por el médico emisor como por el personal de recepción.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>
          <w:rStyle w:val="Strong"/>
        </w:rPr>
        <w:t>Módulo de Reportes Operativos:</w:t>
      </w:r>
      <w:r>
        <w:rPr/>
        <w:t xml:space="preserve"> Reporte de estadísticas operativas básicas del flujo de órdenes (cantidad de órdenes emitidas, tiempos promedio de atención, estados de folios), sin incluir cálculos financieros, costos, ni administración de honorarios médicos.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>
          <w:rStyle w:val="Strong"/>
        </w:rPr>
        <w:t>Gestión de Usuarios y Panel del Sitio Web:</w:t>
      </w:r>
      <w:r>
        <w:rPr/>
        <w:t xml:space="preserve"> Perfiles de seguridad definidos (Médico, Recepción, Administrador) con capacidad de creación y eliminación de usuarios. El médico puede actualizar sus datos de perfil, mas no auto-eliminarse.</w:t>
        <w:br/>
        <w:t xml:space="preserve">Desde el portal de recepción se actualizan de manera instantánea las secciones del sitio público </w:t>
      </w:r>
      <w:r>
        <w:rPr>
          <w:rStyle w:val="SourceText"/>
        </w:rPr>
        <w:t>laesh.mx</w:t>
      </w:r>
      <w:r>
        <w:rPr/>
        <w:t xml:space="preserve"> (Promociones, Consultas, Banner y Membresías). </w:t>
      </w:r>
      <w:r>
        <w:rPr>
          <w:rStyle w:val="Emphasis"/>
        </w:rPr>
        <w:t>Nota: Esta última funcionalidad de actualización web pertenece técnicamente al alcance del Proyecto 1.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>
          <w:rStyle w:val="Strong"/>
        </w:rPr>
        <w:t>Características Adicionales (Resultantes de Revisiones de Maquetado):</w:t>
      </w:r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start="1418"/>
        <w:rPr/>
      </w:pPr>
      <w:r>
        <w:rPr>
          <w:rStyle w:val="Strong"/>
        </w:rPr>
        <w:t>Fuente Única de Catálogos:</w:t>
      </w:r>
      <w:r>
        <w:rPr/>
        <w:t xml:space="preserve"> Centralización del catálogo de estudios clínicos administrables en un solo lugar para alimentar de forma unificada tanto al Sitio Web como al Bloc Digital. </w:t>
      </w:r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start="1418"/>
        <w:rPr/>
      </w:pPr>
      <w:r>
        <w:rPr>
          <w:rStyle w:val="Strong"/>
        </w:rPr>
        <w:t>Búsqueda Autocompletada:</w:t>
      </w:r>
      <w:r>
        <w:rPr/>
        <w:t xml:space="preserve"> En el formulario de Orden digital se tendrá la opción de búsqueda de estudio con input-text de autocompletado y  tambien para el SitioWeb. </w:t>
      </w:r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ind w:hanging="283" w:start="1418"/>
        <w:rPr/>
      </w:pPr>
      <w:r>
        <w:rPr>
          <w:rStyle w:val="Strong"/>
        </w:rPr>
        <w:t>Catálogos ABC y Seguridad Ampliada:</w:t>
      </w:r>
      <w:r>
        <w:rPr/>
        <w:t xml:space="preserve"> ABC para catálogos de Universidades y Lugares de trabajo, además de Reseteo y cambio de contraseña directo por usuario y por Laesh Admin. </w:t>
      </w:r>
    </w:p>
    <w:p>
      <w:pPr>
        <w:pStyle w:val="BodyText"/>
        <w:bidi w:val="0"/>
        <w:spacing w:lineRule="auto" w:line="276" w:before="0" w:after="283"/>
        <w:jc w:val="both"/>
        <w:rPr/>
      </w:pPr>
      <w:r>
        <w:rPr>
          <w:rStyle w:val="Strong"/>
        </w:rPr>
        <w:t>3. Tecnología, Infraestructura y Exclusiones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>
          <w:rStyle w:val="Strong"/>
        </w:rPr>
        <w:t>Tecnología de Desarrollo:</w:t>
      </w:r>
      <w:r>
        <w:rPr/>
        <w:t xml:space="preserve"> Lenguajes web y bases de datos relacionales estándar con un servidor dedicado de notificaciones instantáneas (websockets/polling de alta respuesta). Entorno 100% web privado e independiente.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>
          <w:rStyle w:val="Strong"/>
        </w:rPr>
        <w:t>Infraestructura Requerida:</w:t>
      </w:r>
      <w:r>
        <w:rPr/>
        <w:t xml:space="preserve"> Requiere la contratación de un Servidor Privado Virtual (VPS) y un Nombre de Dominio </w:t>
      </w:r>
      <w:r>
        <w:rPr>
          <w:rStyle w:val="SourceText"/>
        </w:rPr>
        <w:t>.mx</w:t>
      </w:r>
      <w:r>
        <w:rPr/>
        <w:t xml:space="preserve"> bajo la administración y costo de "EL CLIENTE" (los pagos a terceros aplican conforme al Contrato Marco). Incluye la retención del historial operativo en base de datos por un periodo de 5 años.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>
          <w:rStyle w:val="Strong"/>
        </w:rPr>
        <w:t>Adaptabilidad de Pantallas:</w:t>
      </w:r>
      <w:r>
        <w:rPr/>
        <w:t xml:space="preserve"> Interfaces optimizadas y 100% responsivas para computadoras de escritorio (Sitio Web, Portal de Recepción, Portal Médico, Portal gestión de contenidos) y para teléfonos móviles y tabletas (Portal Médico y Sitio Web).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>
          <w:rStyle w:val="Strong"/>
        </w:rPr>
        <w:t>Fuera de Alcance:</w:t>
      </w:r>
      <w:r>
        <w:rPr/>
        <w:t xml:space="preserve"> Envíos automatizados por aplicaciones de mensajería (WhatsApp/SMS) y módulo de punto de venta de caja (las exclusiones financieras, pasarelas de pago y obligaciones fiscales aplican conforme al Contrato Marco).</w:t>
      </w:r>
    </w:p>
    <w:p>
      <w:pPr>
        <w:pStyle w:val="BodyText"/>
        <w:bidi w:val="0"/>
        <w:spacing w:lineRule="auto" w:line="276" w:before="0" w:after="283"/>
        <w:jc w:val="both"/>
        <w:rPr/>
      </w:pPr>
      <w:r>
        <w:rPr>
          <w:rStyle w:val="Strong"/>
        </w:rPr>
        <w:t>4. Calendario, Garantía y Presupuesto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>
          <w:rStyle w:val="Strong"/>
        </w:rPr>
        <w:t>Plazo de Entrega y Despliegue:</w:t>
      </w:r>
      <w:r>
        <w:rPr/>
        <w:t xml:space="preserve"> Se establece un periodo de </w:t>
      </w:r>
      <w:r>
        <w:rPr>
          <w:rStyle w:val="Strong"/>
        </w:rPr>
        <w:t xml:space="preserve">1 mes y medio </w:t>
      </w:r>
      <w:r>
        <w:rPr/>
        <w:t xml:space="preserve">para el desarrollo, despliegue en servidor de producción e inicio del Periodo de Estabilización. La fecha de inicio es el </w:t>
      </w:r>
      <w:r>
        <w:rPr>
          <w:rStyle w:val="Strong"/>
        </w:rPr>
        <w:t>15 de Septiembre de 2026</w:t>
      </w:r>
      <w:r>
        <w:rPr/>
        <w:t xml:space="preserve"> y la fecha final proyectada es el </w:t>
      </w:r>
      <w:r>
        <w:rPr>
          <w:rStyle w:val="Strong"/>
        </w:rPr>
        <w:t>30 de Octubre de 2026</w:t>
      </w:r>
      <w:r>
        <w:rPr/>
        <w:t>, con la precisión de que la fecha de terminación podría ser antes.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>
          <w:rStyle w:val="Strong"/>
        </w:rPr>
        <w:t>Estabilización:</w:t>
      </w:r>
      <w:r>
        <w:rPr/>
        <w:t xml:space="preserve"> Un periodo de </w:t>
      </w:r>
      <w:r>
        <w:rPr>
          <w:rStyle w:val="Strong"/>
        </w:rPr>
        <w:t>10 días naturales</w:t>
      </w:r>
      <w:r>
        <w:rPr/>
        <w:t xml:space="preserve"> para el entrenamiento del personal de recepción y administración de LAESH en el uso diario de la plataforma, así como el acompañamiento técnico continuo durante el despliegue inicial.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>
          <w:rStyle w:val="Strong"/>
        </w:rPr>
        <w:t>Periodo de Garantía:</w:t>
      </w:r>
      <w:r>
        <w:rPr/>
        <w:t xml:space="preserve"> Un plazo de </w:t>
      </w:r>
      <w:r>
        <w:rPr>
          <w:b/>
          <w:bCs/>
        </w:rPr>
        <w:t>1</w:t>
      </w:r>
      <w:r>
        <w:rPr>
          <w:rStyle w:val="Strong"/>
          <w:b/>
          <w:bCs/>
        </w:rPr>
        <w:t>0</w:t>
      </w:r>
      <w:r>
        <w:rPr>
          <w:rStyle w:val="Strong"/>
        </w:rPr>
        <w:t xml:space="preserve"> días naturales</w:t>
      </w:r>
      <w:r>
        <w:rPr/>
        <w:t xml:space="preserve"> para reportes y correcciones de defectos de programación, entrando en vigor inmediatamente tras la firma del Acta de Aceptación y una vez liquidado el saldo final del proyecto.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>
          <w:rStyle w:val="Strong"/>
        </w:rPr>
        <w:t>Inversión Total del Proyecto:</w:t>
      </w:r>
      <w:r>
        <w:rPr/>
        <w:t xml:space="preserve"> El costo base del desarrollo es de $33,000.00 MXN, sumado al importe de $3,000.00 MXN (Netos) correspondientes a las características adicionales solicitadas en revisiones de maqueta, lo que da un total del proyecto de </w:t>
      </w:r>
      <w:r>
        <w:rPr>
          <w:rStyle w:val="Strong"/>
        </w:rPr>
        <w:t>$36,000.00 MXN (Netos)</w:t>
      </w:r>
      <w:r>
        <w:rPr/>
        <w:t>.</w:t>
      </w:r>
    </w:p>
    <w:tbl>
      <w:tblPr>
        <w:tblW w:w="997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089"/>
        <w:gridCol w:w="1380"/>
        <w:gridCol w:w="2160"/>
        <w:gridCol w:w="4343"/>
      </w:tblGrid>
      <w:tr>
        <w:trPr>
          <w:tblHeader w:val="true"/>
        </w:trPr>
        <w:tc>
          <w:tcPr>
            <w:tcW w:w="2089" w:type="dxa"/>
            <w:tcBorders/>
            <w:vAlign w:val="center"/>
          </w:tcPr>
          <w:p>
            <w:pPr>
              <w:pStyle w:val="TableHeading"/>
              <w:bidi w:val="0"/>
              <w:ind w:hanging="0" w:start="0" w:end="0"/>
              <w:jc w:val="start"/>
              <w:rPr/>
            </w:pPr>
            <w:r>
              <w:rPr/>
              <w:t>Hito de Facturación</w:t>
            </w:r>
          </w:p>
        </w:tc>
        <w:tc>
          <w:tcPr>
            <w:tcW w:w="1380" w:type="dxa"/>
            <w:tcBorders/>
            <w:vAlign w:val="center"/>
          </w:tcPr>
          <w:p>
            <w:pPr>
              <w:pStyle w:val="TableHeading"/>
              <w:bidi w:val="0"/>
              <w:ind w:hanging="0" w:start="0" w:end="0"/>
              <w:jc w:val="center"/>
              <w:rPr/>
            </w:pPr>
            <w:r>
              <w:rPr/>
              <w:t>Porcentaje</w:t>
            </w:r>
          </w:p>
        </w:tc>
        <w:tc>
          <w:tcPr>
            <w:tcW w:w="2160" w:type="dxa"/>
            <w:tcBorders/>
            <w:vAlign w:val="center"/>
          </w:tcPr>
          <w:p>
            <w:pPr>
              <w:pStyle w:val="TableHeading"/>
              <w:bidi w:val="0"/>
              <w:ind w:hanging="0" w:start="0" w:end="0"/>
              <w:jc w:val="start"/>
              <w:rPr/>
            </w:pPr>
            <w:r>
              <w:rPr/>
              <w:t>Monto a Pagar</w:t>
            </w:r>
          </w:p>
        </w:tc>
        <w:tc>
          <w:tcPr>
            <w:tcW w:w="4343" w:type="dxa"/>
            <w:tcBorders/>
            <w:vAlign w:val="center"/>
          </w:tcPr>
          <w:p>
            <w:pPr>
              <w:pStyle w:val="TableHeading"/>
              <w:bidi w:val="0"/>
              <w:ind w:hanging="0" w:start="0" w:end="0"/>
              <w:jc w:val="start"/>
              <w:rPr/>
            </w:pPr>
            <w:r>
              <w:rPr/>
              <w:t>Condición</w:t>
            </w:r>
          </w:p>
        </w:tc>
      </w:tr>
      <w:tr>
        <w:trPr/>
        <w:tc>
          <w:tcPr>
            <w:tcW w:w="2089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Pago 1: Anticipo</w:t>
            </w:r>
          </w:p>
        </w:tc>
        <w:tc>
          <w:tcPr>
            <w:tcW w:w="1380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/>
            </w:pPr>
            <w:r>
              <w:rPr/>
              <w:t>40%</w:t>
            </w:r>
          </w:p>
        </w:tc>
        <w:tc>
          <w:tcPr>
            <w:tcW w:w="2160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$14,400.00 MXN (Netos)</w:t>
            </w:r>
          </w:p>
        </w:tc>
        <w:tc>
          <w:tcPr>
            <w:tcW w:w="4343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A la firma del anexo, previo inicio de actividades.</w:t>
            </w:r>
          </w:p>
        </w:tc>
      </w:tr>
      <w:tr>
        <w:trPr/>
        <w:tc>
          <w:tcPr>
            <w:tcW w:w="2089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Pago 2: Pago Final</w:t>
            </w:r>
          </w:p>
        </w:tc>
        <w:tc>
          <w:tcPr>
            <w:tcW w:w="1380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/>
            </w:pPr>
            <w:r>
              <w:rPr/>
              <w:t>60%</w:t>
            </w:r>
          </w:p>
        </w:tc>
        <w:tc>
          <w:tcPr>
            <w:tcW w:w="2160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$21,600.00 MXN (Netos)</w:t>
            </w:r>
          </w:p>
        </w:tc>
        <w:tc>
          <w:tcPr>
            <w:tcW w:w="4343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Contra firma de Acta de Aceptación (Fin Estabilización).</w:t>
            </w:r>
          </w:p>
        </w:tc>
      </w:tr>
    </w:tbl>
    <w:p>
      <w:pPr>
        <w:pStyle w:val="BodyText"/>
        <w:bidi w:val="0"/>
        <w:spacing w:lineRule="auto" w:line="276" w:before="0" w:after="283"/>
        <w:jc w:val="both"/>
        <w:rPr/>
      </w:pPr>
      <w:r>
        <w:rPr/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283"/>
        <w:jc w:val="both"/>
        <w:rPr/>
      </w:pPr>
      <w:r>
        <w:rPr>
          <w:rStyle w:val="Strong"/>
        </w:rPr>
        <w:t>EL PRESTADOR</w:t>
      </w:r>
      <w:r>
        <w:rPr/>
        <w:t xml:space="preserve"> — CARLOS MARCELO BENAVIDES MARTÍNEZ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283"/>
        <w:jc w:val="both"/>
        <w:rPr/>
      </w:pPr>
      <w:r>
        <w:rPr>
          <w:rStyle w:val="Strong"/>
        </w:rPr>
        <w:t>EL CLIENTE</w:t>
      </w:r>
      <w:r>
        <w:rPr/>
        <w:t xml:space="preserve"> — [NOMBRE O RAZÓN SOCIAL]</w:t>
        <w:br/>
      </w:r>
      <w:r>
        <w:rPr>
          <w:rStyle w:val="Strong"/>
        </w:rPr>
        <w:t>Firma del Representante Legal:</w:t>
      </w:r>
      <w:r>
        <w:rPr/>
        <w:t xml:space="preserve"> [NOMBRE DEL REPRESENTANTE LEGAL]</w:t>
      </w:r>
    </w:p>
    <w:p>
      <w:pPr>
        <w:pStyle w:val="BodyText"/>
        <w:bidi w:val="0"/>
        <w:spacing w:lineRule="auto" w:line="276" w:before="0" w:after="283"/>
        <w:jc w:val="both"/>
        <w:rPr/>
      </w:pPr>
      <w:r>
        <w:rPr/>
      </w:r>
    </w:p>
    <w:p>
      <w:pPr>
        <w:pStyle w:val="BodyText"/>
        <w:bidi w:val="0"/>
        <w:spacing w:lineRule="auto" w:line="276" w:before="0" w:after="283"/>
        <w:jc w:val="both"/>
        <w:rPr/>
      </w:pPr>
      <w:r>
        <w:rPr/>
      </w:r>
    </w:p>
    <w:p>
      <w:pPr>
        <w:pStyle w:val="BodyText"/>
        <w:bidi w:val="0"/>
        <w:spacing w:lineRule="auto" w:line="276" w:before="0" w:after="283"/>
        <w:jc w:val="both"/>
        <w:rPr/>
      </w:pPr>
      <w:r>
        <w:rPr/>
      </w:r>
    </w:p>
    <w:p>
      <w:pPr>
        <w:pStyle w:val="BodyText"/>
        <w:bidi w:val="0"/>
        <w:spacing w:lineRule="auto" w:line="276" w:before="0" w:after="283"/>
        <w:jc w:val="both"/>
        <w:rPr/>
      </w:pPr>
      <w:r>
        <w:rPr/>
      </w:r>
    </w:p>
    <w:sectPr>
      <w:type w:val="nextPage"/>
      <w:pgSz w:w="12240" w:h="15840"/>
      <w:pgMar w:left="1134" w:right="1134" w:gutter="0" w:header="0" w:top="907" w:footer="0" w:bottom="907"/>
      <w:pgNumType w:fmt="decimal"/>
      <w:formProt w:val="false"/>
      <w:textDirection w:val="lrTb"/>
      <w:docGrid w:type="default" w:linePitch="600" w:charSpace="3850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Inter">
    <w:altName w:val="Arial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60"/>
  <w:defaultTabStop w:val="1134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overflowPunct w:val="false"/>
      <w:bidi w:val="0"/>
      <w:spacing w:lineRule="auto" w:line="360" w:before="0" w:after="0"/>
      <w:jc w:val="start"/>
    </w:pPr>
    <w:rPr>
      <w:rFonts w:ascii="Inter;Arial;sans-serif" w:hAnsi="Inter;Arial;sans-serif" w:eastAsia="Inter;Arial;sans-serif" w:cs="Inter;Arial;sans-serif"/>
      <w:color w:val="1A202C"/>
      <w:kern w:val="0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0"/>
      </w:numPr>
      <w:pBdr>
        <w:bottom w:val="single" w:sz="12" w:space="4" w:color="0D9488"/>
      </w:pBdr>
      <w:spacing w:before="240" w:after="120"/>
      <w:jc w:val="center"/>
      <w:outlineLvl w:val="0"/>
    </w:pPr>
    <w:rPr>
      <w:rFonts w:ascii="Liberation Serif" w:hAnsi="Liberation Serif" w:eastAsia="Noto Serif CJK SC" w:cs="Lohit Devanagari"/>
      <w:b/>
      <w:bCs/>
      <w:color w:val="0F766E"/>
      <w:sz w:val="48"/>
      <w:szCs w:val="48"/>
    </w:rPr>
  </w:style>
  <w:style w:type="paragraph" w:styleId="Heading2">
    <w:name w:val="heading 2"/>
    <w:basedOn w:val="Heading"/>
    <w:next w:val="BodyText"/>
    <w:qFormat/>
    <w:pPr>
      <w:keepNext w:val="true"/>
      <w:numPr>
        <w:ilvl w:val="0"/>
        <w:numId w:val="0"/>
      </w:numPr>
      <w:pBdr>
        <w:bottom w:val="single" w:sz="2" w:space="2" w:color="CCFBF1"/>
      </w:pBdr>
      <w:spacing w:before="200" w:after="120"/>
      <w:outlineLvl w:val="1"/>
    </w:pPr>
    <w:rPr>
      <w:rFonts w:ascii="Liberation Serif" w:hAnsi="Liberation Serif" w:eastAsia="Noto Serif CJK SC" w:cs="Lohit Devanagari"/>
      <w:b/>
      <w:bCs/>
      <w:color w:val="0F766E"/>
      <w:sz w:val="36"/>
      <w:szCs w:val="36"/>
    </w:rPr>
  </w:style>
  <w:style w:type="paragraph" w:styleId="Heading3">
    <w:name w:val="heading 3"/>
    <w:basedOn w:val="Heading"/>
    <w:next w:val="BodyText"/>
    <w:qFormat/>
    <w:pPr>
      <w:keepNext w:val="true"/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Lohit Devanagari"/>
      <w:b/>
      <w:bCs/>
      <w:color w:val="115E59"/>
      <w:sz w:val="28"/>
      <w:szCs w:val="28"/>
    </w:rPr>
  </w:style>
  <w:style w:type="character" w:styleId="Emphasis">
    <w:name w:val="Emphasis"/>
    <w:qFormat/>
    <w:rPr>
      <w:i/>
      <w:iCs/>
      <w:color w:val="4A5568"/>
    </w:rPr>
  </w:style>
  <w:style w:type="character" w:styleId="Strong">
    <w:name w:val="Strong"/>
    <w:qFormat/>
    <w:rPr>
      <w:b/>
      <w:bCs/>
      <w:color w:val="1A202C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Hyperlink">
    <w:name w:val="Hyperlink"/>
    <w:rPr>
      <w:strike w:val="false"/>
      <w:dstrike w:val="false"/>
      <w:color w:val="0D9488"/>
      <w:u w:val="none"/>
      <w:effect w:val="none"/>
    </w:rPr>
  </w:style>
  <w:style w:type="character" w:styleId="FollowedHyperlink">
    <w:name w:val="FollowedHyperlink"/>
    <w:rPr>
      <w:strike w:val="false"/>
      <w:dstrike w:val="false"/>
      <w:color w:val="0D9488"/>
      <w:u w:val="none"/>
      <w:effect w:val="none"/>
    </w:rPr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283"/>
      <w:jc w:val="both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BlockQuotationuser">
    <w:name w:val="Block Quotation (user)"/>
    <w:basedOn w:val="Normal"/>
    <w:qFormat/>
    <w:pPr>
      <w:pBdr>
        <w:left w:val="single" w:sz="24" w:space="1" w:color="0D9488"/>
      </w:pBdr>
      <w:spacing w:before="0" w:after="283"/>
      <w:ind w:hanging="0" w:start="567" w:end="567"/>
    </w:pPr>
    <w:rPr/>
  </w:style>
  <w:style w:type="paragraph" w:styleId="TableContents">
    <w:name w:val="Table Contents"/>
    <w:basedOn w:val="Normal"/>
    <w:qFormat/>
    <w:pPr>
      <w:widowControl w:val="false"/>
      <w:suppressLineNumbers/>
      <w:jc w:val="start"/>
    </w:pPr>
    <w:rPr/>
  </w:style>
  <w:style w:type="paragraph" w:styleId="TableHeading">
    <w:name w:val="Table Heading"/>
    <w:basedOn w:val="TableContents"/>
    <w:qFormat/>
    <w:pPr>
      <w:suppressLineNumbers/>
      <w:jc w:val="start"/>
    </w:pPr>
    <w:rPr>
      <w:b/>
      <w:bCs/>
      <w:color w:val="115E59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23</TotalTime>
  <Application>LibreOffice/26.2.5.2$Linux_X86_64 LibreOffice_project/620$Build-2</Application>
  <AppVersion>15.0000</AppVersion>
  <Pages>4</Pages>
  <Words>1230</Words>
  <Characters>6871</Characters>
  <CharactersWithSpaces>8037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2026-09-25T17:47:40Z</dcterms:modified>
  <cp:revision>3</cp:revision>
  <dc:subject/>
  <dc:title>Anexo A Bloc Digital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