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83B84">
      <w:pPr>
        <w:pStyle w:val="3"/>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秘 密 ★ 10 年</w:t>
      </w:r>
    </w:p>
    <w:p w14:paraId="14AAC5AA">
      <w:pPr>
        <w:pStyle w:val="3"/>
        <w:rPr>
          <w:rFonts w:hint="default" w:ascii="黑体" w:hAnsi="黑体" w:eastAsia="黑体" w:cs="黑体"/>
          <w:sz w:val="22"/>
          <w:szCs w:val="22"/>
          <w:lang w:val="en-US" w:eastAsia="zh-CN"/>
        </w:rPr>
      </w:pPr>
    </w:p>
    <w:p w14:paraId="39B1FE37">
      <w:pPr>
        <w:pStyle w:val="3"/>
        <w:rPr>
          <w:rFonts w:ascii="Times New Roman"/>
          <w:sz w:val="21"/>
        </w:rPr>
      </w:pPr>
    </w:p>
    <w:p w14:paraId="7A872543">
      <w:pPr>
        <w:pStyle w:val="3"/>
        <w:jc w:val="center"/>
        <w:rPr>
          <w:rFonts w:hint="eastAsia" w:ascii="仿宋_GB2312" w:hAnsi="仿宋_GB2312" w:eastAsia="仿宋_GB2312" w:cs="仿宋_GB2312"/>
          <w:color w:val="auto"/>
          <w:kern w:val="2"/>
          <w:sz w:val="32"/>
          <w:szCs w:val="32"/>
        </w:rPr>
      </w:pPr>
      <w:r>
        <w:rPr>
          <w:rFonts w:ascii="Times New Roman"/>
          <w:b w:val="0"/>
          <w:bCs w:val="0"/>
          <w:sz w:val="20"/>
        </w:rPr>
        <w:drawing>
          <wp:inline distT="0" distB="0" distL="0" distR="0">
            <wp:extent cx="5360035" cy="584200"/>
            <wp:effectExtent l="0" t="0" r="12065" b="635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4" cstate="print"/>
                    <a:stretch>
                      <a:fillRect/>
                    </a:stretch>
                  </pic:blipFill>
                  <pic:spPr>
                    <a:xfrm>
                      <a:off x="0" y="0"/>
                      <a:ext cx="5360035" cy="584200"/>
                    </a:xfrm>
                    <a:prstGeom prst="rect">
                      <a:avLst/>
                    </a:prstGeom>
                  </pic:spPr>
                </pic:pic>
              </a:graphicData>
            </a:graphic>
          </wp:inline>
        </w:drawing>
      </w:r>
    </w:p>
    <w:p w14:paraId="1A573EDB">
      <w:pPr>
        <w:pStyle w:val="3"/>
        <w:keepNext w:val="0"/>
        <w:keepLines w:val="0"/>
        <w:pageBreakBefore w:val="0"/>
        <w:widowControl/>
        <w:kinsoku/>
        <w:wordWrap/>
        <w:overflowPunct/>
        <w:topLinePunct w:val="0"/>
        <w:autoSpaceDE/>
        <w:autoSpaceDN/>
        <w:bidi w:val="0"/>
        <w:adjustRightInd/>
        <w:snapToGrid/>
        <w:spacing w:line="900" w:lineRule="exact"/>
        <w:ind w:right="2846"/>
        <w:jc w:val="both"/>
        <w:textAlignment w:val="auto"/>
        <w:rPr>
          <w:rFonts w:hint="eastAsia" w:ascii="仿宋_GB2312" w:hAnsi="仿宋_GB2312" w:eastAsia="仿宋_GB2312" w:cs="仿宋_GB2312"/>
          <w:color w:val="auto"/>
          <w:kern w:val="2"/>
          <w:sz w:val="32"/>
          <w:szCs w:val="32"/>
        </w:rPr>
      </w:pPr>
    </w:p>
    <w:p w14:paraId="03B3474E">
      <w:pPr>
        <w:pStyle w:val="3"/>
        <w:keepNext w:val="0"/>
        <w:keepLines w:val="0"/>
        <w:pageBreakBefore w:val="0"/>
        <w:widowControl/>
        <w:kinsoku/>
        <w:wordWrap/>
        <w:overflowPunct/>
        <w:topLinePunct w:val="0"/>
        <w:autoSpaceDE/>
        <w:autoSpaceDN/>
        <w:bidi w:val="0"/>
        <w:adjustRightInd/>
        <w:snapToGrid/>
        <w:spacing w:line="360" w:lineRule="auto"/>
        <w:ind w:right="0"/>
        <w:jc w:val="center"/>
        <w:textAlignment w:val="auto"/>
        <w:rPr>
          <w:rFonts w:hint="default" w:ascii="仿宋_GB2312" w:hAnsi="仿宋_GB2312" w:eastAsia="仿宋_GB2312" w:cs="仿宋_GB2312"/>
          <w:color w:val="auto"/>
          <w:kern w:val="2"/>
          <w:sz w:val="32"/>
          <w:szCs w:val="32"/>
          <w:lang w:val="en-US" w:eastAsia="zh-CN"/>
        </w:rPr>
      </w:pPr>
      <w:r>
        <w:rPr>
          <w:rFonts w:hint="eastAsia" w:ascii="仿宋_GB2312" w:hAnsi="仿宋_GB2312" w:eastAsia="仿宋_GB2312" w:cs="仿宋_GB2312"/>
          <w:color w:val="auto"/>
          <w:kern w:val="2"/>
          <w:sz w:val="32"/>
          <w:szCs w:val="32"/>
        </w:rPr>
        <w:t>焦联通党委〔202</w:t>
      </w:r>
      <w:r>
        <w:rPr>
          <w:rFonts w:hint="eastAsia" w:ascii="仿宋_GB2312" w:hAnsi="仿宋_GB2312" w:eastAsia="仿宋_GB2312" w:cs="仿宋_GB2312"/>
          <w:color w:val="auto"/>
          <w:kern w:val="2"/>
          <w:sz w:val="32"/>
          <w:szCs w:val="32"/>
          <w:lang w:val="en-US" w:eastAsia="zh-CN"/>
        </w:rPr>
        <w:t>6</w:t>
      </w:r>
      <w:r>
        <w:rPr>
          <w:rFonts w:hint="eastAsia" w:ascii="仿宋_GB2312" w:hAnsi="仿宋_GB2312" w:eastAsia="仿宋_GB2312" w:cs="仿宋_GB2312"/>
          <w:color w:val="auto"/>
          <w:kern w:val="2"/>
          <w:sz w:val="32"/>
          <w:szCs w:val="32"/>
        </w:rPr>
        <w:t>〕</w:t>
      </w:r>
      <w:r>
        <w:rPr>
          <w:rFonts w:hint="eastAsia" w:ascii="仿宋_GB2312" w:hAnsi="仿宋_GB2312" w:eastAsia="仿宋_GB2312" w:cs="仿宋_GB2312"/>
          <w:color w:val="auto"/>
          <w:kern w:val="2"/>
          <w:sz w:val="32"/>
          <w:szCs w:val="32"/>
          <w:lang w:val="en-US" w:eastAsia="zh-CN"/>
        </w:rPr>
        <w:t>41</w:t>
      </w:r>
      <w:r>
        <w:rPr>
          <w:rFonts w:hint="eastAsia" w:ascii="仿宋_GB2312" w:hAnsi="仿宋_GB2312" w:eastAsia="仿宋_GB2312" w:cs="仿宋_GB2312"/>
          <w:color w:val="auto"/>
          <w:kern w:val="2"/>
          <w:sz w:val="32"/>
          <w:szCs w:val="32"/>
        </w:rPr>
        <w:t>号</w:t>
      </w:r>
      <w:r>
        <w:rPr>
          <w:rFonts w:hint="eastAsia" w:ascii="仿宋_GB2312" w:hAnsi="仿宋_GB2312" w:eastAsia="仿宋_GB2312" w:cs="仿宋_GB2312"/>
          <w:color w:val="auto"/>
          <w:kern w:val="2"/>
          <w:sz w:val="32"/>
          <w:szCs w:val="32"/>
          <w:lang w:val="en-US" w:eastAsia="zh-CN"/>
        </w:rPr>
        <w:t xml:space="preserve">                 签发人：付刚</w:t>
      </w:r>
    </w:p>
    <w:p w14:paraId="712619C4">
      <w:pPr>
        <w:pStyle w:val="3"/>
        <w:keepNext w:val="0"/>
        <w:keepLines w:val="0"/>
        <w:pageBreakBefore w:val="0"/>
        <w:widowControl/>
        <w:kinsoku/>
        <w:wordWrap/>
        <w:overflowPunct/>
        <w:topLinePunct w:val="0"/>
        <w:autoSpaceDE/>
        <w:autoSpaceDN/>
        <w:bidi w:val="0"/>
        <w:adjustRightInd/>
        <w:snapToGrid/>
        <w:spacing w:before="54"/>
        <w:ind w:right="2846"/>
        <w:jc w:val="both"/>
        <w:textAlignment w:val="auto"/>
        <w:rPr>
          <w:rFonts w:hint="eastAsia" w:ascii="华文中宋" w:hAnsi="华文中宋" w:eastAsia="华文中宋" w:cs="华文中宋"/>
          <w:bCs/>
          <w:color w:val="auto"/>
          <w:sz w:val="44"/>
          <w:szCs w:val="44"/>
        </w:rPr>
      </w:pPr>
      <w:r>
        <mc:AlternateContent>
          <mc:Choice Requires="wps">
            <w:drawing>
              <wp:anchor distT="0" distB="0" distL="114300" distR="114300" simplePos="0" relativeHeight="251659264" behindDoc="1" locked="0" layoutInCell="1" allowOverlap="1">
                <wp:simplePos x="0" y="0"/>
                <wp:positionH relativeFrom="page">
                  <wp:posOffset>927100</wp:posOffset>
                </wp:positionH>
                <wp:positionV relativeFrom="paragraph">
                  <wp:posOffset>97790</wp:posOffset>
                </wp:positionV>
                <wp:extent cx="5615940" cy="1270"/>
                <wp:effectExtent l="0" t="0" r="0" b="0"/>
                <wp:wrapTopAndBottom/>
                <wp:docPr id="2" name="任意多边形 2"/>
                <wp:cNvGraphicFramePr/>
                <a:graphic xmlns:a="http://schemas.openxmlformats.org/drawingml/2006/main">
                  <a:graphicData uri="http://schemas.microsoft.com/office/word/2010/wordprocessingShape">
                    <wps:wsp>
                      <wps:cNvSpPr/>
                      <wps:spPr>
                        <a:xfrm>
                          <a:off x="0" y="0"/>
                          <a:ext cx="5615940" cy="1270"/>
                        </a:xfrm>
                        <a:custGeom>
                          <a:avLst/>
                          <a:gdLst/>
                          <a:ahLst/>
                          <a:cxnLst/>
                          <a:pathLst>
                            <a:path w="8844">
                              <a:moveTo>
                                <a:pt x="0" y="0"/>
                              </a:moveTo>
                              <a:lnTo>
                                <a:pt x="8844" y="0"/>
                              </a:lnTo>
                            </a:path>
                          </a:pathLst>
                        </a:custGeom>
                        <a:solidFill>
                          <a:srgbClr val="FF0000"/>
                        </a:solidFill>
                        <a:ln w="9525" cap="flat" cmpd="sng">
                          <a:solidFill>
                            <a:srgbClr val="FF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73pt;margin-top:7.7pt;height:0.1pt;width:442.2pt;mso-position-horizontal-relative:page;mso-wrap-distance-bottom:0pt;mso-wrap-distance-top:0pt;z-index:-251657216;mso-width-relative:page;mso-height-relative:page;" fillcolor="#FF0000" filled="t" stroked="t" coordsize="8844,1" o:gfxdata="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Al4stUAAAAKAQAADwAAAAAAAAABACAAAAAiAAAAZHJzL2Rvd25yZXYueG1s&#10;UEsBAhQAFAAAAAgAh07iQLEkwR40AgAArgQAAA4AAAAAAAAAAQAgAAAAJAEAAGRycy9lMm9Eb2Mu&#10;eG1sUEsFBgAAAAAGAAYAWQEAAMoFAAAAAA==&#10;" path="m0,0l8844,0e">
                <v:fill on="t" focussize="0,0"/>
                <v:stroke color="#FF0000" joinstyle="round"/>
                <v:imagedata o:title=""/>
                <o:lock v:ext="edit" aspectratio="f"/>
                <w10:wrap type="topAndBottom"/>
              </v:shape>
            </w:pict>
          </mc:Fallback>
        </mc:AlternateContent>
      </w:r>
    </w:p>
    <w:p w14:paraId="4A979F8A">
      <w:pPr>
        <w:pStyle w:val="2"/>
        <w:ind w:left="0" w:leftChars="0" w:firstLine="0" w:firstLineChars="0"/>
        <w:jc w:val="center"/>
        <w:rPr>
          <w:rFonts w:hint="eastAsia" w:ascii="方正小标宋简体" w:hAnsi="方正小标宋简体" w:eastAsia="方正小标宋简体" w:cs="方正小标宋简体"/>
          <w:lang w:val="en-US" w:eastAsia="zh-CN"/>
        </w:rPr>
      </w:pPr>
      <w:bookmarkStart w:id="0" w:name="OLE_LINK2"/>
      <w:r>
        <w:rPr>
          <w:rFonts w:hint="eastAsia" w:ascii="方正小标宋简体" w:hAnsi="方正小标宋简体" w:eastAsia="方正小标宋简体" w:cs="方正小标宋简体"/>
          <w:b/>
          <w:bCs/>
          <w:sz w:val="44"/>
          <w:szCs w:val="44"/>
          <w:lang w:val="en-US" w:eastAsia="zh-CN"/>
        </w:rPr>
        <w:t>关于开展全国国有</w:t>
      </w:r>
      <w:bookmarkStart w:id="1" w:name="_GoBack"/>
      <w:bookmarkEnd w:id="1"/>
      <w:r>
        <w:rPr>
          <w:rFonts w:hint="eastAsia" w:ascii="方正小标宋简体" w:hAnsi="方正小标宋简体" w:eastAsia="方正小标宋简体" w:cs="方正小标宋简体"/>
          <w:b/>
          <w:bCs/>
          <w:sz w:val="44"/>
          <w:szCs w:val="44"/>
          <w:lang w:val="en-US" w:eastAsia="zh-CN"/>
        </w:rPr>
        <w:t>企业党的建设工作会议精神贯彻落实情况“回头看”工作的通知</w:t>
      </w:r>
    </w:p>
    <w:p w14:paraId="1355699E">
      <w:pPr>
        <w:keepNext w:val="0"/>
        <w:keepLines w:val="0"/>
        <w:pageBreakBefore w:val="0"/>
        <w:kinsoku/>
        <w:wordWrap/>
        <w:overflowPunct/>
        <w:topLinePunct w:val="0"/>
        <w:autoSpaceDE/>
        <w:autoSpaceDN/>
        <w:bidi w:val="0"/>
        <w:adjustRightInd/>
        <w:snapToGrid/>
        <w:spacing w:line="580" w:lineRule="exact"/>
        <w:textAlignment w:val="auto"/>
        <w:rPr>
          <w:rFonts w:hint="eastAsia" w:ascii="仿宋_GB2312" w:hAnsi="仿宋_GB2312" w:eastAsia="仿宋_GB2312" w:cs="仿宋_GB2312"/>
          <w:sz w:val="32"/>
          <w:highlight w:val="none"/>
          <w:lang w:val="en-US" w:eastAsia="zh-CN"/>
        </w:rPr>
      </w:pPr>
    </w:p>
    <w:p w14:paraId="125A21C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各县(市、区）分公司党支部、市公司各部门中心党支部：</w:t>
      </w:r>
    </w:p>
    <w:p w14:paraId="77933DF7">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今年是全国国有企业党的建设工作会议召开十周年。为持续深入学习贯彻习近平总书记重要讲话精神，根据集团公司党组和省公司党委安排，开展全国国有企业党的建设工作会议精神贯彻落实情况回头看工作，现将有关事项通知如下：</w:t>
      </w:r>
    </w:p>
    <w:p w14:paraId="27ED93FD">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黑体" w:hAnsi="黑体" w:eastAsia="黑体" w:cs="黑体"/>
          <w:sz w:val="32"/>
          <w:highlight w:val="none"/>
          <w:lang w:val="en-US" w:eastAsia="zh-CN"/>
        </w:rPr>
      </w:pPr>
      <w:r>
        <w:rPr>
          <w:rFonts w:hint="eastAsia" w:ascii="黑体" w:hAnsi="黑体" w:eastAsia="黑体" w:cs="黑体"/>
          <w:sz w:val="32"/>
          <w:highlight w:val="none"/>
          <w:lang w:val="en-US" w:eastAsia="zh-CN"/>
        </w:rPr>
        <w:t>一、主要任务</w:t>
      </w:r>
    </w:p>
    <w:p w14:paraId="05EDAAA9">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深入学习贯彻落实习近平新时代中国特色社会主义思想，特别是习近平总书记关于国有企业改革发展和党的建设的重要论述，学习贯彻习近平总书记对国资央企工作和中国联通的重要指示批示精神，深入贯彻党的二十大和二十届历次全会精神，围绕习近平总书记在全国国有企业党的建设工作会议上的重要讲话精神实质和实践要求，对贯彻落实的质量效果开展全面对标检视，重点有五个方面。</w:t>
      </w:r>
    </w:p>
    <w:p w14:paraId="3474F8B5">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（一）全面对标检视坚持和加强党对国有企业的全面领导情况</w:t>
      </w:r>
    </w:p>
    <w:p w14:paraId="6B26A0E1">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围绕加强党的领导完善公司治理等方面的重点任务，结合工作实际，重点看“第一议题”、“政治要件”、理论学习中心组学习等制度机制的落实质效，是否及时跟进学习、扎实有力推动习近平总书记重要指示批示落地见效，以实绩实效坚定拥护“两个确立”、坚决做到“两个维护”。（党建工作部牵头，办公室配合）</w:t>
      </w:r>
    </w:p>
    <w:p w14:paraId="7F5D0B47">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重点看建立和落实在完善公司治理中加强党的领导的制度机制成效，是否全面落实“一肩挑”、前置程序等要求，分层分类完善公司治理结构和运行机制，有效发挥各治理主体作用，健全以职工代表大会为基本形式的民主管理制度。（办公室牵头，党建工作部、人力资源部、工会配合）</w:t>
      </w:r>
    </w:p>
    <w:p w14:paraId="2E3E84D2">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（二）全面对标检视加强干部人才队伍建设情况</w:t>
      </w:r>
    </w:p>
    <w:p w14:paraId="0BA747E7">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严格对标建设高素质专业化国有企业领导人员队伍重点任务，结合焦作公司实际，重点看落实国有企业领导人员“20字”要求选优配强领导班子和领导人员成效，是否严格执行干部选拔任用制度、标准和程序，确保选人用人工作全程合规。是否统筹优化领导班子结构，补齐人才短板，着力解决梯队建设不足问题。（人力资源部牵头）</w:t>
      </w:r>
    </w:p>
    <w:p w14:paraId="03B22013">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重点看加强干部全方位管理和经常性监督成效，是否针对性加强“一把手”、关键岗位、重要环节的监督管理，优化干部考核评价机制，是否引导干部树立和践行正确政绩观、激励干部担当作为，树立重实干、重实绩、重长远的鲜明导向。（人力资源部牵头，党风廉政建设和反腐败工作领导小组办公室成员单位配合）</w:t>
      </w:r>
    </w:p>
    <w:p w14:paraId="73AAEE3D">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重点看全方位培养引进用好人才成效，是否健全完善人才发展体制机制，统筹推进高层次专业人才、战略性新兴人才队伍建设，以及重点加强青年科技人才、高技能人才等人才队伍建设。（人力资源部牵头，网络部、工会配合）</w:t>
      </w:r>
    </w:p>
    <w:p w14:paraId="23A085A7">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（三）全面对标检视加强基层党组织建设情况</w:t>
      </w:r>
    </w:p>
    <w:p w14:paraId="23C83EB0">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围绕把国有企业基层党组织建设成为坚强战斗堡垒，不断增强政治功能和组织功能等重点任务，结合工作实际，重点看基本组织建设成效，是否推动党的组织和工作有效覆盖。（党建工作部牵头）</w:t>
      </w:r>
    </w:p>
    <w:p w14:paraId="6A83AC9C">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重点看基本队伍建设成效，是否选优配强各级党组织书记，是否存在党组织书记长期缺额问题，是否按要求开展党支部书记轮训工作；是否畅通党务干部发展通道、建强复合型党务干部队伍；是否常态化抓好党员教育管理，抓好非劳动合同用工党员管理，推动基层党支部有效落实基本培训机制。（党建工作部牵头，人力资源部配合）</w:t>
      </w:r>
    </w:p>
    <w:p w14:paraId="19DF88FD">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重点看基本制度建设成效，是否严格落实党内法规制度，健全完善基层党建制度体系，及时补齐制度漏洞。（党建工作部牵头，办公室配合）</w:t>
      </w:r>
    </w:p>
    <w:p w14:paraId="178FC99D">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重点看党建工作与生产经营深度融合成效，是否严格落实“六个一”工作机制，围绕党建融入生产经营创新工作路径，围绕产业链创新链探索党建赋能工作载体，做深做实思想政治工作，有效凝聚统战群团力量。（党建工作部牵头，工会配合）</w:t>
      </w:r>
    </w:p>
    <w:p w14:paraId="32A2212C">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（四）全面对标检视落实管党治责任情况</w:t>
      </w:r>
    </w:p>
    <w:p w14:paraId="27C6EB8C">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围绕加强对国有企业党的建设的领导等重点任务，结合工作实际，重点看落实全面从严治党主体责任成效，是否分层分类建立健全责任体系，严格落实述职评议考核、党建工作责任制考核、报告年度工作等要求；重点看支持纪检监察机构履行监督责任成效，健全协调沟通机制情况，统筹整合内部监督力量，严格落实《关于加强对“一把手”和领导班子监督的意见》，强化监督成果运用和追责问责；重点看一体推进“三不腐”成效，是否采取有力举措保持高压震慑强化不敢腐、加强监督制约强化不能腐、深化廉洁教育强化不想腐。重点看坚持系统施治、标本兼治，将高压震慑、制度约束、思想教化有机贯通、一体落实，持续深化反腐败治理成效，全方位筑牢拒腐防变思想防线和制度防线。重点看营造风清气正政治生态的实际成效，深入核查"靠企吃企"问题专项整治开展情况及实际成效，有效纠治"四风"特别是隐形变异享乐主义、奢靡之风和形式主义、官僚主义顽疾，坚决防止“四风”问题反弹回潮，扎实推进整治形式主义为基层减负各项措施落地见效，有效发挥政治巡视巡察利剑作用及巡视巡察整改落实成效。（党建工作部牵头，党风廉政建设和反腐败工作领导小组办公室成员单位配合）</w:t>
      </w:r>
    </w:p>
    <w:p w14:paraId="7108722C">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（五）全面对标检视引领国资央企履行职责使命情况</w:t>
      </w:r>
    </w:p>
    <w:p w14:paraId="6462C476">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围绕以高质量党建引领保障高质量发展，结合工作实际，重点看全面发挥党委把方向、管大局、保落实的领导作用，聚焦“三个服务”、发挥“三个作用”，增强核心功能、提升核心竞争力，坚定不移做强做优做大国有企业和国有资本的实际成效；重点看从党的创新理论中找方向、找思路、找方法，切实转化为破解企业改革发展难题、应对市场风险挑战的实际能力，更好统筹发展和安全，有效防范化解风险等方面的成效。（办公室牵头，各部门配合）</w:t>
      </w:r>
    </w:p>
    <w:p w14:paraId="062D9265">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黑体" w:hAnsi="黑体" w:eastAsia="黑体" w:cs="黑体"/>
          <w:sz w:val="32"/>
          <w:highlight w:val="none"/>
          <w:lang w:val="en-US" w:eastAsia="zh-CN"/>
        </w:rPr>
      </w:pPr>
      <w:r>
        <w:rPr>
          <w:rFonts w:hint="eastAsia" w:ascii="黑体" w:hAnsi="黑体" w:eastAsia="黑体" w:cs="黑体"/>
          <w:sz w:val="32"/>
          <w:highlight w:val="none"/>
          <w:lang w:val="en-US" w:eastAsia="zh-CN"/>
        </w:rPr>
        <w:t>二、工作安排</w:t>
      </w:r>
    </w:p>
    <w:p w14:paraId="592457B3">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根据上级党组织统一安排，“回头看”于即日启动，8月底基本结束，各级党组织同步开展、上下联动，实事求是总结成效、查找不足、改进提升，具体抓好六个方面工作。</w:t>
      </w:r>
    </w:p>
    <w:p w14:paraId="49492C9A">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（一）认真学习研讨（7月10日前）</w:t>
      </w:r>
    </w:p>
    <w:p w14:paraId="0DD72CCF">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市公司党委通过理论学习中心组学习等方式，各基层党支部通过“三会一课”等方式，深入学习领会习近平总书记关于国有企业改革发展和党的建设重要论述和重要指示批示精神，特别是习近平总书记在全国国有企业党的建设工作会议上的重要讲话精神，与学习贯彻习近平总书记在庆祝中国共产党成立105周年大会上的重要讲话精神，对国资央企工作和中国联通的重要指示批示精神贯通起来，完整、准确、全面把握国企党建工作要求。（市公司党委、各基层党支部）</w:t>
      </w:r>
    </w:p>
    <w:p w14:paraId="528A59CF">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（二）全面对标自查（7月底前）</w:t>
      </w:r>
    </w:p>
    <w:p w14:paraId="2A8CABDC">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对照通知中“主要任务”内容，结合近年巡视巡察、党建考核、领导班子综合考评等发现的有关问题，从思想认识、体制机制、基础保障、责任落实等方面开展自评自查，一条一条对账、一项一项梳理。其中，市公司各相关部门按照“主要任务”分工，负责全面自查本专业条线工作落实情况；各单位结合实际研究细化自身对照检视任务，开展全面自查。（市公司各部门中心、县区分公司）</w:t>
      </w:r>
    </w:p>
    <w:p w14:paraId="278B5F5A">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（三）形成工作报告（7月底前）</w:t>
      </w:r>
    </w:p>
    <w:p w14:paraId="1B171FEE">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各单位结合自身实际，对贯彻落实的成效经验、短板问题、改进措施等整体画像；围绕怎样通过加强党的领导、推动党中央及国务院国资委关于国有企业改革发展和国资监管重要部署落实落地；围绕企业在公司治理、干部人才、基层党建等方面需要关注和解决的新情况新问题，研究提出针对性建议举措。市公司各牵头部门（党建工作部、办公室、人力资源部）、派驻纪检组形成“回头看”情况报告，于7月26日前报市公司党建工作部；公司党委的“回头看”情况报告于7月29日前报省公司党建工作部。</w:t>
      </w:r>
    </w:p>
    <w:p w14:paraId="5D4C54AD">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（四）抓好调研督导（8月底前）</w:t>
      </w:r>
    </w:p>
    <w:p w14:paraId="6ECF769F">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市公司党委结合树立和践行正确政绩观学习教育，结合工作调研，深入开展调研指导，了解情况、听取意见、推动落实。党建工作部将各单位贯彻落实会议精神情况、自查情况纳入党建考核进行应用。（办公室、党建工作部）</w:t>
      </w:r>
    </w:p>
    <w:p w14:paraId="5CE4F9ED">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（五）营造浓厚氛围</w:t>
      </w:r>
    </w:p>
    <w:p w14:paraId="65C53AB1">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进一步加强对习近平总书记在全国国有企业党的建设工作会议上重要讲话精神的宣传阐释，立足公司实际，深入报道贯彻落实成效。通过自有宣传阵地开展系列宣传，持续营造浓厚氛围。结合“两优一先”评选表彰，在“联通先锋”等平台分批宣传先进典型。（党建工作部、办公室）</w:t>
      </w:r>
    </w:p>
    <w:p w14:paraId="61EFF9E0">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楷体" w:hAnsi="楷体" w:eastAsia="楷体" w:cs="楷体"/>
          <w:sz w:val="32"/>
          <w:highlight w:val="none"/>
          <w:lang w:val="en-US" w:eastAsia="zh-CN"/>
        </w:rPr>
      </w:pPr>
      <w:r>
        <w:rPr>
          <w:rFonts w:hint="eastAsia" w:ascii="楷体" w:hAnsi="楷体" w:eastAsia="楷体" w:cs="楷体"/>
          <w:sz w:val="32"/>
          <w:highlight w:val="none"/>
          <w:lang w:val="en-US" w:eastAsia="zh-CN"/>
        </w:rPr>
        <w:t>（六）持续整改提升</w:t>
      </w:r>
    </w:p>
    <w:p w14:paraId="292FDD76">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坚持常学常新、常抓不懈，持续推进问题和不足的整改提升，能立即改的7月底见成效，需要持续改的明确阶段性举措和成效，统筹谋划、分步实施，切实解决一批问题、堵塞一批漏洞，让广大干部员工感受到“回头看”带来的新变化新成效，不断把贯彻落实全国国有企业党的建设工作会议精神推向深入。（市公司各部门中心、县区分公司）</w:t>
      </w:r>
    </w:p>
    <w:p w14:paraId="374ED662">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黑体" w:hAnsi="黑体" w:eastAsia="黑体" w:cs="黑体"/>
          <w:sz w:val="32"/>
          <w:highlight w:val="none"/>
          <w:lang w:val="en-US" w:eastAsia="zh-CN"/>
        </w:rPr>
      </w:pPr>
      <w:r>
        <w:rPr>
          <w:rFonts w:hint="eastAsia" w:ascii="黑体" w:hAnsi="黑体" w:eastAsia="黑体" w:cs="黑体"/>
          <w:sz w:val="32"/>
          <w:highlight w:val="none"/>
          <w:lang w:val="en-US" w:eastAsia="zh-CN"/>
        </w:rPr>
        <w:t>三、工作要求</w:t>
      </w:r>
    </w:p>
    <w:p w14:paraId="1D1FD1B0">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一）各单位要高度重视，将“回头看”作为对企业党建工作的一次全面检视，切实担负主体责任，党组织书记履行第一责任人职责，分管领导履行直接责任，班子成员履行“一岗双责”，党建工作部牵头抓总，相关部门配合协助，一级抓一级，层层压实责任，稳步推进，确保上下贯通、落实有力。</w:t>
      </w:r>
    </w:p>
    <w:p w14:paraId="0633E9F0">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二）各单位要按照通知精神，结合实际细化落实举措，组织对本单位贯彻落实全国国有企业党的建设工作会议精神成效进行全面对标梳理，重点针对“五个方面”的内容进行对标检视，实事求是总结分析，确保整改提升成效。</w:t>
      </w:r>
    </w:p>
    <w:p w14:paraId="65C5A5FA">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（三）市分公司要加强与省分公司相关专业部门的纵向沟通，在全面梳理查摆自身存在的问题和不足的同时，抓好所属下级单位的“回头看”工作，确保各项工作任务层层落到基层、落在实处。</w:t>
      </w:r>
    </w:p>
    <w:p w14:paraId="350C675A">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四）各单位要以务实作风开展“回头看”，与推动中心工作结合起来，与持续整治形式主义为基层减负结合起来。防止层层加码；加强保密管理，强化舆情监测，严防开源信息泄密，防范“低级红”“高级黑”。</w:t>
      </w:r>
    </w:p>
    <w:p w14:paraId="535FA5CB">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联系人及联系方式：</w:t>
      </w:r>
    </w:p>
    <w:p w14:paraId="665B4A79">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县区分公司对接：祝文娟，15539161809</w:t>
      </w:r>
    </w:p>
    <w:p w14:paraId="002E44E2">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市公司各部门（中心）对接：王统，15639101775</w:t>
      </w:r>
    </w:p>
    <w:p w14:paraId="45C98CB7">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p>
    <w:p w14:paraId="32A09215">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附件：</w:t>
      </w:r>
    </w:p>
    <w:p w14:paraId="455BD357">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1.焦作市分公司党委贯彻落实全国国有企业党的建设工作会精神“回头看”工作（落实台账）</w:t>
      </w:r>
    </w:p>
    <w:p w14:paraId="23BFF368">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2.焦作市分公司党支部贯彻落实全国国有企业党的建设工作会精神“回头看”工作（落实台账）</w:t>
      </w:r>
    </w:p>
    <w:p w14:paraId="1B7D6BD3">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3.贯彻落实全国国有企业党的建设工作会精神五周年“回头看”情况报告参考模板</w:t>
      </w:r>
    </w:p>
    <w:p w14:paraId="73524FE4">
      <w:pPr>
        <w:keepNext w:val="0"/>
        <w:keepLines w:val="0"/>
        <w:pageBreakBefore w:val="0"/>
        <w:widowControl w:val="0"/>
        <w:kinsoku/>
        <w:wordWrap/>
        <w:overflowPunct/>
        <w:topLinePunct w:val="0"/>
        <w:autoSpaceDE/>
        <w:autoSpaceDN/>
        <w:bidi w:val="0"/>
        <w:adjustRightInd w:val="0"/>
        <w:snapToGrid w:val="0"/>
        <w:spacing w:line="360" w:lineRule="auto"/>
        <w:ind w:firstLine="640"/>
        <w:textAlignment w:val="auto"/>
        <w:rPr>
          <w:rFonts w:hint="eastAsia" w:ascii="仿宋_GB2312" w:hAnsi="仿宋_GB2312" w:eastAsia="仿宋_GB2312" w:cs="仿宋_GB2312"/>
          <w:sz w:val="32"/>
          <w:highlight w:val="none"/>
          <w:lang w:val="en-US" w:eastAsia="zh-CN"/>
        </w:rPr>
      </w:pPr>
    </w:p>
    <w:p w14:paraId="3093DA36">
      <w:pPr>
        <w:keepNext w:val="0"/>
        <w:keepLines w:val="0"/>
        <w:pageBreakBefore w:val="0"/>
        <w:widowControl w:val="0"/>
        <w:kinsoku/>
        <w:wordWrap/>
        <w:overflowPunct/>
        <w:topLinePunct w:val="0"/>
        <w:autoSpaceDE/>
        <w:autoSpaceDN/>
        <w:bidi w:val="0"/>
        <w:adjustRightInd w:val="0"/>
        <w:snapToGrid w:val="0"/>
        <w:spacing w:line="360" w:lineRule="auto"/>
        <w:ind w:firstLine="640"/>
        <w:jc w:val="right"/>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中共中国联通焦作市分公司委员会</w:t>
      </w:r>
    </w:p>
    <w:p w14:paraId="4C2C431C">
      <w:pPr>
        <w:keepNext w:val="0"/>
        <w:keepLines w:val="0"/>
        <w:pageBreakBefore w:val="0"/>
        <w:widowControl w:val="0"/>
        <w:kinsoku/>
        <w:wordWrap/>
        <w:overflowPunct/>
        <w:topLinePunct w:val="0"/>
        <w:autoSpaceDE/>
        <w:autoSpaceDN/>
        <w:bidi w:val="0"/>
        <w:adjustRightInd w:val="0"/>
        <w:snapToGrid w:val="0"/>
        <w:spacing w:line="360" w:lineRule="auto"/>
        <w:ind w:right="630" w:rightChars="300" w:firstLine="640"/>
        <w:jc w:val="right"/>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2026年7月20日</w:t>
      </w:r>
    </w:p>
    <w:p w14:paraId="7FF42BF1">
      <w:pPr>
        <w:keepNext w:val="0"/>
        <w:keepLines w:val="0"/>
        <w:pageBreakBefore w:val="0"/>
        <w:widowControl w:val="0"/>
        <w:kinsoku/>
        <w:wordWrap/>
        <w:overflowPunct/>
        <w:topLinePunct w:val="0"/>
        <w:autoSpaceDE/>
        <w:autoSpaceDN/>
        <w:bidi w:val="0"/>
        <w:adjustRightInd w:val="0"/>
        <w:snapToGrid w:val="0"/>
        <w:spacing w:line="360" w:lineRule="auto"/>
        <w:ind w:firstLine="640"/>
        <w:jc w:val="right"/>
        <w:textAlignment w:val="auto"/>
        <w:rPr>
          <w:rFonts w:hint="eastAsia" w:ascii="仿宋_GB2312" w:eastAsia="仿宋_GB2312" w:hAnsiTheme="minorHAnsi" w:cstheme="minorBidi"/>
          <w:snapToGrid w:val="0"/>
          <w:color w:val="auto"/>
          <w:kern w:val="2"/>
          <w:sz w:val="32"/>
          <w:szCs w:val="22"/>
          <w:lang w:val="en-US" w:eastAsia="zh-CN" w:bidi="ar-SA"/>
        </w:rPr>
      </w:pPr>
    </w:p>
    <w:p w14:paraId="53260115">
      <w:pPr>
        <w:rPr>
          <w:color w:val="auto"/>
        </w:rPr>
      </w:pPr>
    </w:p>
    <w:p w14:paraId="6FA99C52">
      <w:pPr>
        <w:pStyle w:val="2"/>
        <w:rPr>
          <w:color w:val="auto"/>
        </w:rPr>
      </w:pPr>
    </w:p>
    <w:p w14:paraId="5798378D">
      <w:pPr>
        <w:pStyle w:val="2"/>
        <w:rPr>
          <w:color w:val="auto"/>
        </w:rPr>
      </w:pPr>
    </w:p>
    <w:p w14:paraId="6F8E9670">
      <w:pPr>
        <w:pStyle w:val="2"/>
        <w:rPr>
          <w:color w:val="auto"/>
        </w:rPr>
      </w:pPr>
    </w:p>
    <w:p w14:paraId="1A32F6AF">
      <w:pPr>
        <w:pStyle w:val="2"/>
        <w:rPr>
          <w:color w:val="auto"/>
        </w:rPr>
      </w:pPr>
    </w:p>
    <w:p w14:paraId="4D4C8CD2">
      <w:pPr>
        <w:pStyle w:val="2"/>
        <w:rPr>
          <w:color w:val="auto"/>
        </w:rPr>
      </w:pPr>
    </w:p>
    <w:p w14:paraId="0D168A39">
      <w:pPr>
        <w:pStyle w:val="2"/>
        <w:rPr>
          <w:color w:val="auto"/>
        </w:rPr>
      </w:pPr>
    </w:p>
    <w:p w14:paraId="3BB85754">
      <w:pPr>
        <w:pStyle w:val="2"/>
        <w:rPr>
          <w:color w:val="auto"/>
        </w:rPr>
      </w:pPr>
    </w:p>
    <w:p w14:paraId="45300D00">
      <w:pPr>
        <w:pStyle w:val="2"/>
        <w:rPr>
          <w:color w:val="auto"/>
        </w:rPr>
      </w:pPr>
    </w:p>
    <w:p w14:paraId="70674CAD">
      <w:pPr>
        <w:pStyle w:val="2"/>
        <w:rPr>
          <w:color w:val="auto"/>
        </w:rPr>
      </w:pPr>
    </w:p>
    <w:p w14:paraId="5BAF727F">
      <w:pPr>
        <w:pStyle w:val="2"/>
        <w:rPr>
          <w:color w:val="auto"/>
        </w:rPr>
      </w:pPr>
    </w:p>
    <w:p w14:paraId="3EBDD699">
      <w:pPr>
        <w:pStyle w:val="2"/>
        <w:rPr>
          <w:color w:val="auto"/>
        </w:rPr>
      </w:pPr>
    </w:p>
    <w:p w14:paraId="734D6AF6">
      <w:pPr>
        <w:pStyle w:val="2"/>
        <w:rPr>
          <w:color w:val="auto"/>
        </w:rPr>
      </w:pPr>
    </w:p>
    <w:p w14:paraId="273ACB71">
      <w:pPr>
        <w:pStyle w:val="2"/>
        <w:rPr>
          <w:color w:val="auto"/>
        </w:rPr>
      </w:pPr>
    </w:p>
    <w:p w14:paraId="2422F765">
      <w:pPr>
        <w:pStyle w:val="2"/>
        <w:rPr>
          <w:color w:val="auto"/>
        </w:rPr>
      </w:pPr>
    </w:p>
    <w:p w14:paraId="7C320566">
      <w:pPr>
        <w:pStyle w:val="2"/>
        <w:rPr>
          <w:color w:val="auto"/>
        </w:rPr>
      </w:pPr>
    </w:p>
    <w:p w14:paraId="468DA872">
      <w:pPr>
        <w:pStyle w:val="2"/>
        <w:rPr>
          <w:color w:val="auto"/>
        </w:rPr>
      </w:pPr>
    </w:p>
    <w:p w14:paraId="4B9DC288">
      <w:pPr>
        <w:pStyle w:val="2"/>
        <w:rPr>
          <w:color w:val="auto"/>
        </w:rPr>
      </w:pPr>
    </w:p>
    <w:p w14:paraId="2ADE59CD">
      <w:pPr>
        <w:pStyle w:val="2"/>
        <w:rPr>
          <w:color w:val="auto"/>
        </w:rPr>
      </w:pPr>
    </w:p>
    <w:p w14:paraId="3EFEFA11">
      <w:pPr>
        <w:pStyle w:val="2"/>
        <w:ind w:left="0" w:leftChars="0" w:firstLine="0" w:firstLineChars="0"/>
        <w:rPr>
          <w:color w:val="auto"/>
        </w:rPr>
      </w:pPr>
    </w:p>
    <w:p w14:paraId="066B6F87">
      <w:pPr>
        <w:pStyle w:val="2"/>
        <w:ind w:left="0" w:leftChars="0" w:firstLine="0" w:firstLineChars="0"/>
        <w:rPr>
          <w:color w:val="auto"/>
        </w:rPr>
      </w:pPr>
    </w:p>
    <w:p w14:paraId="04ED242E">
      <w:pPr>
        <w:pStyle w:val="2"/>
        <w:ind w:left="0" w:leftChars="0" w:firstLine="0" w:firstLineChars="0"/>
        <w:rPr>
          <w:color w:val="auto"/>
        </w:rPr>
      </w:pPr>
    </w:p>
    <w:p w14:paraId="1DE7539F">
      <w:pPr>
        <w:pStyle w:val="2"/>
        <w:ind w:left="0" w:leftChars="0" w:firstLine="0" w:firstLineChars="0"/>
        <w:rPr>
          <w:color w:val="auto"/>
        </w:rPr>
      </w:pPr>
    </w:p>
    <w:p w14:paraId="4E8BCEDE">
      <w:pPr>
        <w:pStyle w:val="2"/>
        <w:ind w:left="0" w:leftChars="0" w:firstLine="0" w:firstLineChars="0"/>
        <w:rPr>
          <w:color w:val="auto"/>
        </w:rPr>
      </w:pPr>
    </w:p>
    <w:p w14:paraId="0EF4C50F">
      <w:pPr>
        <w:pStyle w:val="2"/>
        <w:ind w:left="0" w:leftChars="0" w:firstLine="0" w:firstLineChars="0"/>
        <w:rPr>
          <w:color w:val="auto"/>
        </w:rPr>
      </w:pPr>
    </w:p>
    <w:p w14:paraId="566704A3">
      <w:pPr>
        <w:pStyle w:val="2"/>
        <w:ind w:left="0" w:leftChars="0" w:firstLine="0" w:firstLineChars="0"/>
        <w:rPr>
          <w:color w:val="auto"/>
        </w:rPr>
      </w:pPr>
    </w:p>
    <w:p w14:paraId="0DBEC633">
      <w:pPr>
        <w:pStyle w:val="2"/>
        <w:ind w:left="0" w:leftChars="0" w:firstLine="0" w:firstLineChars="0"/>
        <w:rPr>
          <w:color w:val="auto"/>
        </w:rPr>
      </w:pPr>
    </w:p>
    <w:p w14:paraId="5A870282">
      <w:pPr>
        <w:pStyle w:val="2"/>
        <w:ind w:left="0" w:leftChars="0" w:firstLine="0" w:firstLineChars="0"/>
        <w:rPr>
          <w:color w:val="auto"/>
        </w:rPr>
      </w:pPr>
    </w:p>
    <w:p w14:paraId="329E3827">
      <w:pPr>
        <w:pStyle w:val="2"/>
        <w:ind w:left="0" w:leftChars="0" w:firstLine="0" w:firstLineChars="0"/>
        <w:rPr>
          <w:color w:val="auto"/>
        </w:rPr>
      </w:pPr>
    </w:p>
    <w:p w14:paraId="163AA02F">
      <w:pPr>
        <w:pStyle w:val="2"/>
        <w:ind w:left="0" w:leftChars="0" w:firstLine="0" w:firstLineChars="0"/>
        <w:rPr>
          <w:color w:val="auto"/>
        </w:rPr>
      </w:pPr>
    </w:p>
    <w:p w14:paraId="5607C985">
      <w:pPr>
        <w:pStyle w:val="2"/>
        <w:ind w:left="0" w:leftChars="0" w:firstLine="0" w:firstLineChars="0"/>
        <w:rPr>
          <w:color w:val="auto"/>
        </w:rPr>
      </w:pPr>
    </w:p>
    <w:p w14:paraId="33A5AB09">
      <w:pPr>
        <w:pStyle w:val="2"/>
        <w:ind w:left="0" w:leftChars="0" w:firstLine="0" w:firstLineChars="0"/>
        <w:rPr>
          <w:color w:val="auto"/>
        </w:rPr>
      </w:pPr>
    </w:p>
    <w:p w14:paraId="36D4FA64">
      <w:pPr>
        <w:pStyle w:val="2"/>
        <w:ind w:left="0" w:leftChars="0" w:firstLine="0" w:firstLineChars="0"/>
        <w:rPr>
          <w:color w:val="auto"/>
        </w:rPr>
      </w:pPr>
    </w:p>
    <w:p w14:paraId="64CBBFB8">
      <w:pPr>
        <w:pStyle w:val="2"/>
        <w:ind w:left="0" w:leftChars="0" w:firstLine="0" w:firstLineChars="0"/>
        <w:rPr>
          <w:color w:val="auto"/>
        </w:rPr>
      </w:pPr>
    </w:p>
    <w:p w14:paraId="5667C2A5">
      <w:pPr>
        <w:pStyle w:val="2"/>
        <w:ind w:left="0" w:leftChars="0" w:firstLine="0" w:firstLineChars="0"/>
        <w:rPr>
          <w:color w:val="auto"/>
        </w:rPr>
      </w:pPr>
    </w:p>
    <w:p w14:paraId="16972E5F">
      <w:pPr>
        <w:pStyle w:val="2"/>
        <w:rPr>
          <w:color w:val="auto"/>
        </w:rPr>
      </w:pPr>
    </w:p>
    <w:p w14:paraId="2182FFDC">
      <w:pPr>
        <w:pStyle w:val="2"/>
        <w:rPr>
          <w:color w:val="auto"/>
        </w:rPr>
      </w:pPr>
    </w:p>
    <w:p w14:paraId="3DC3F31F">
      <w:pPr>
        <w:pStyle w:val="2"/>
        <w:rPr>
          <w:color w:val="auto"/>
        </w:rPr>
      </w:pPr>
    </w:p>
    <w:p w14:paraId="54822C80">
      <w:pPr>
        <w:pStyle w:val="2"/>
        <w:rPr>
          <w:color w:val="auto"/>
        </w:rPr>
      </w:pPr>
    </w:p>
    <w:p w14:paraId="62C93865">
      <w:pPr>
        <w:pStyle w:val="2"/>
        <w:rPr>
          <w:color w:val="auto"/>
        </w:rPr>
      </w:pPr>
    </w:p>
    <w:p w14:paraId="17A3157C">
      <w:pPr>
        <w:pStyle w:val="2"/>
        <w:rPr>
          <w:color w:val="auto"/>
        </w:rPr>
      </w:pPr>
    </w:p>
    <w:p w14:paraId="6100F080">
      <w:pPr>
        <w:pStyle w:val="2"/>
        <w:rPr>
          <w:color w:val="auto"/>
        </w:rPr>
      </w:pPr>
    </w:p>
    <w:p w14:paraId="63BA0DB0">
      <w:pPr>
        <w:pStyle w:val="2"/>
        <w:rPr>
          <w:color w:val="auto"/>
        </w:rPr>
      </w:pPr>
    </w:p>
    <w:p w14:paraId="3D509B79">
      <w:pPr>
        <w:pStyle w:val="2"/>
        <w:rPr>
          <w:color w:val="auto"/>
        </w:rPr>
      </w:pPr>
    </w:p>
    <w:p w14:paraId="296BF6ED">
      <w:pPr>
        <w:pStyle w:val="2"/>
        <w:rPr>
          <w:color w:val="auto"/>
        </w:rPr>
      </w:pPr>
    </w:p>
    <w:p w14:paraId="030C3F2A">
      <w:pPr>
        <w:pStyle w:val="2"/>
        <w:rPr>
          <w:color w:val="auto"/>
        </w:rPr>
      </w:pPr>
    </w:p>
    <w:p w14:paraId="3AAE8F8F">
      <w:pPr>
        <w:pStyle w:val="2"/>
        <w:rPr>
          <w:color w:val="auto"/>
        </w:rPr>
      </w:pPr>
    </w:p>
    <w:p w14:paraId="7639E10E">
      <w:pPr>
        <w:pStyle w:val="2"/>
        <w:rPr>
          <w:color w:val="auto"/>
        </w:rPr>
      </w:pPr>
    </w:p>
    <w:p w14:paraId="568D3676">
      <w:pPr>
        <w:pStyle w:val="2"/>
        <w:rPr>
          <w:color w:val="auto"/>
        </w:rPr>
      </w:pPr>
    </w:p>
    <w:p w14:paraId="0591CB8B">
      <w:pPr>
        <w:pStyle w:val="2"/>
        <w:rPr>
          <w:color w:val="auto"/>
        </w:rPr>
      </w:pPr>
    </w:p>
    <w:p w14:paraId="4B2ED2F9">
      <w:pPr>
        <w:pStyle w:val="2"/>
        <w:rPr>
          <w:color w:val="auto"/>
        </w:rPr>
      </w:pPr>
    </w:p>
    <w:p w14:paraId="51B6534F">
      <w:pPr>
        <w:pStyle w:val="2"/>
        <w:rPr>
          <w:color w:val="auto"/>
        </w:rPr>
      </w:pPr>
    </w:p>
    <w:p w14:paraId="6575F3CC">
      <w:pPr>
        <w:pStyle w:val="2"/>
        <w:rPr>
          <w:color w:val="auto"/>
        </w:rPr>
      </w:pPr>
    </w:p>
    <w:p w14:paraId="0FA21915">
      <w:pPr>
        <w:pStyle w:val="2"/>
        <w:rPr>
          <w:color w:val="auto"/>
        </w:rPr>
      </w:pPr>
    </w:p>
    <w:p w14:paraId="6F94A9F1">
      <w:pPr>
        <w:pStyle w:val="2"/>
        <w:rPr>
          <w:color w:val="auto"/>
        </w:rPr>
      </w:pPr>
    </w:p>
    <w:p w14:paraId="0DC854FF">
      <w:pPr>
        <w:pStyle w:val="2"/>
        <w:rPr>
          <w:color w:val="auto"/>
        </w:rPr>
      </w:pPr>
    </w:p>
    <w:p w14:paraId="4C997505">
      <w:pPr>
        <w:pStyle w:val="2"/>
        <w:rPr>
          <w:color w:val="auto"/>
        </w:rPr>
      </w:pPr>
    </w:p>
    <w:p w14:paraId="5AD0930C">
      <w:pPr>
        <w:pStyle w:val="2"/>
        <w:rPr>
          <w:color w:val="auto"/>
        </w:rPr>
      </w:pPr>
    </w:p>
    <w:p w14:paraId="7DA2B0E3">
      <w:pPr>
        <w:pStyle w:val="2"/>
        <w:rPr>
          <w:color w:val="auto"/>
        </w:rPr>
      </w:pPr>
    </w:p>
    <w:p w14:paraId="34AD6BB8">
      <w:pPr>
        <w:pStyle w:val="2"/>
        <w:rPr>
          <w:rFonts w:hint="eastAsia"/>
          <w:color w:val="auto"/>
          <w:lang w:val="en-US" w:eastAsia="zh-CN"/>
        </w:rPr>
      </w:pPr>
    </w:p>
    <w:p w14:paraId="20231B39">
      <w:pPr>
        <w:pStyle w:val="2"/>
        <w:rPr>
          <w:rFonts w:hint="eastAsia"/>
          <w:color w:val="auto"/>
          <w:lang w:val="en-US" w:eastAsia="zh-CN"/>
        </w:rPr>
      </w:pPr>
    </w:p>
    <w:p w14:paraId="524BF97F">
      <w:pPr>
        <w:pStyle w:val="2"/>
        <w:rPr>
          <w:rFonts w:hint="eastAsia"/>
          <w:color w:val="auto"/>
          <w:lang w:val="en-US" w:eastAsia="zh-CN"/>
        </w:rPr>
      </w:pPr>
    </w:p>
    <w:p w14:paraId="3288B550">
      <w:pPr>
        <w:pStyle w:val="2"/>
        <w:rPr>
          <w:rFonts w:hint="eastAsia"/>
          <w:color w:val="auto"/>
          <w:lang w:val="en-US" w:eastAsia="zh-CN"/>
        </w:rPr>
      </w:pPr>
    </w:p>
    <w:p w14:paraId="1889C9D1">
      <w:pPr>
        <w:pStyle w:val="2"/>
        <w:rPr>
          <w:rFonts w:hint="eastAsia"/>
          <w:color w:val="auto"/>
          <w:lang w:val="en-US" w:eastAsia="zh-CN"/>
        </w:rPr>
      </w:pPr>
    </w:p>
    <w:p w14:paraId="35A1336E">
      <w:pPr>
        <w:pStyle w:val="2"/>
        <w:ind w:left="0" w:leftChars="0" w:firstLine="0" w:firstLineChars="0"/>
        <w:rPr>
          <w:color w:val="auto"/>
        </w:rPr>
      </w:pPr>
    </w:p>
    <w:p w14:paraId="58727A04">
      <w:pPr>
        <w:pStyle w:val="2"/>
        <w:rPr>
          <w:color w:val="auto"/>
        </w:rPr>
      </w:pPr>
    </w:p>
    <w:p w14:paraId="01AF1880">
      <w:pPr>
        <w:pStyle w:val="2"/>
        <w:ind w:left="0" w:leftChars="0" w:firstLine="0" w:firstLineChars="0"/>
        <w:rPr>
          <w:color w:val="auto"/>
        </w:rPr>
      </w:pPr>
    </w:p>
    <w:p w14:paraId="65CD5FA2">
      <w:pPr>
        <w:pStyle w:val="4"/>
        <w:keepNext w:val="0"/>
        <w:keepLines w:val="0"/>
        <w:pageBreakBefore w:val="0"/>
        <w:widowControl/>
        <w:numPr>
          <w:ilvl w:val="0"/>
          <w:numId w:val="0"/>
        </w:numPr>
        <w:suppressLineNumbers w:val="0"/>
        <w:kinsoku/>
        <w:wordWrap/>
        <w:overflowPunct/>
        <w:topLinePunct w:val="0"/>
        <w:autoSpaceDE/>
        <w:autoSpaceDN/>
        <w:bidi w:val="0"/>
        <w:snapToGrid w:val="0"/>
        <w:spacing w:before="0" w:beforeAutospacing="0" w:after="0" w:afterAutospacing="0" w:line="360" w:lineRule="auto"/>
        <w:ind w:firstLine="643" w:firstLineChars="200"/>
        <w:jc w:val="both"/>
        <w:textAlignment w:val="auto"/>
        <w:rPr>
          <w:rFonts w:hint="eastAsia" w:ascii="楷体" w:hAnsi="楷体" w:eastAsia="楷体" w:cs="楷体"/>
          <w:b/>
          <w:bCs/>
          <w:color w:val="auto"/>
          <w:sz w:val="32"/>
          <w:szCs w:val="32"/>
          <w:lang w:val="en-US" w:eastAsia="zh-CN"/>
        </w:rPr>
      </w:pPr>
    </w:p>
    <w:tbl>
      <w:tblPr>
        <w:tblStyle w:val="5"/>
        <w:tblW w:w="95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540"/>
      </w:tblGrid>
      <w:tr w14:paraId="75A15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4" w:hRule="atLeast"/>
          <w:jc w:val="center"/>
        </w:trPr>
        <w:tc>
          <w:tcPr>
            <w:tcW w:w="9540" w:type="dxa"/>
            <w:tcBorders>
              <w:top w:val="single" w:color="000000" w:sz="8" w:space="0"/>
              <w:bottom w:val="single" w:color="000000" w:sz="6" w:space="0"/>
            </w:tcBorders>
          </w:tcPr>
          <w:p w14:paraId="64FF26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Lines="0" w:afterLines="0" w:line="360" w:lineRule="auto"/>
              <w:jc w:val="left"/>
              <w:textAlignment w:val="auto"/>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抄送：公司领导</w:t>
            </w:r>
            <w:r>
              <w:rPr>
                <w:rFonts w:hint="eastAsia" w:ascii="仿宋_GB2312" w:hAnsi="仿宋_GB2312" w:eastAsia="仿宋_GB2312" w:cs="仿宋_GB2312"/>
                <w:color w:val="auto"/>
                <w:sz w:val="28"/>
                <w:szCs w:val="28"/>
                <w:lang w:eastAsia="zh-CN"/>
              </w:rPr>
              <w:t>。</w:t>
            </w:r>
          </w:p>
        </w:tc>
      </w:tr>
      <w:tr w14:paraId="1336B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8" w:hRule="atLeast"/>
          <w:jc w:val="center"/>
        </w:trPr>
        <w:tc>
          <w:tcPr>
            <w:tcW w:w="9540" w:type="dxa"/>
            <w:tcBorders>
              <w:top w:val="single" w:color="000000" w:sz="6" w:space="0"/>
              <w:bottom w:val="single" w:color="000000" w:sz="8" w:space="0"/>
            </w:tcBorders>
          </w:tcPr>
          <w:p w14:paraId="37D05E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Lines="0" w:afterLines="0" w:line="360" w:lineRule="auto"/>
              <w:jc w:val="lef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中国联通焦作市分公司办公室</w:t>
            </w:r>
            <w:r>
              <w:rPr>
                <w:rFonts w:hint="eastAsia" w:ascii="仿宋_GB2312" w:hAnsi="仿宋_GB2312" w:eastAsia="仿宋_GB2312" w:cs="仿宋_GB2312"/>
                <w:color w:val="auto"/>
                <w:sz w:val="28"/>
                <w:szCs w:val="28"/>
              </w:rPr>
              <w:tab/>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202</w:t>
            </w: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color w:val="auto"/>
                <w:sz w:val="28"/>
                <w:szCs w:val="28"/>
              </w:rPr>
              <w:t xml:space="preserve"> 年</w:t>
            </w:r>
            <w:r>
              <w:rPr>
                <w:rFonts w:hint="eastAsia" w:ascii="仿宋_GB2312" w:hAnsi="仿宋_GB2312" w:eastAsia="仿宋_GB2312" w:cs="仿宋_GB2312"/>
                <w:color w:val="auto"/>
                <w:sz w:val="28"/>
                <w:szCs w:val="28"/>
                <w:lang w:val="en-US" w:eastAsia="zh-CN"/>
              </w:rPr>
              <w:t>7</w:t>
            </w:r>
            <w:r>
              <w:rPr>
                <w:rFonts w:hint="eastAsia" w:ascii="仿宋_GB2312" w:hAnsi="仿宋_GB2312" w:eastAsia="仿宋_GB2312" w:cs="仿宋_GB2312"/>
                <w:color w:val="auto"/>
                <w:sz w:val="28"/>
                <w:szCs w:val="28"/>
              </w:rPr>
              <w:t xml:space="preserve"> 月 </w:t>
            </w:r>
            <w:r>
              <w:rPr>
                <w:rFonts w:hint="eastAsia" w:ascii="仿宋_GB2312" w:hAnsi="仿宋_GB2312" w:eastAsia="仿宋_GB2312" w:cs="仿宋_GB2312"/>
                <w:color w:val="auto"/>
                <w:sz w:val="28"/>
                <w:szCs w:val="28"/>
                <w:lang w:val="en-US" w:eastAsia="zh-CN"/>
              </w:rPr>
              <w:t xml:space="preserve">20 </w:t>
            </w:r>
            <w:r>
              <w:rPr>
                <w:rFonts w:hint="eastAsia" w:ascii="仿宋_GB2312" w:hAnsi="仿宋_GB2312" w:eastAsia="仿宋_GB2312" w:cs="仿宋_GB2312"/>
                <w:color w:val="auto"/>
                <w:sz w:val="28"/>
                <w:szCs w:val="28"/>
              </w:rPr>
              <w:t>日印发</w:t>
            </w:r>
          </w:p>
        </w:tc>
      </w:tr>
      <w:tr w14:paraId="64718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4" w:hRule="atLeast"/>
          <w:jc w:val="center"/>
        </w:trPr>
        <w:tc>
          <w:tcPr>
            <w:tcW w:w="9540" w:type="dxa"/>
            <w:tcBorders>
              <w:top w:val="single" w:color="000000" w:sz="8" w:space="0"/>
            </w:tcBorders>
          </w:tcPr>
          <w:p w14:paraId="7C6C2E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Lines="0" w:afterLines="0" w:line="360" w:lineRule="auto"/>
              <w:ind w:firstLine="560" w:firstLineChars="200"/>
              <w:jc w:val="right"/>
              <w:textAlignment w:val="auto"/>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校对：党</w:t>
            </w:r>
            <w:r>
              <w:rPr>
                <w:rFonts w:hint="eastAsia" w:ascii="仿宋_GB2312" w:hAnsi="仿宋_GB2312" w:eastAsia="仿宋_GB2312" w:cs="仿宋_GB2312"/>
                <w:color w:val="auto"/>
                <w:sz w:val="28"/>
                <w:szCs w:val="28"/>
                <w:lang w:val="en-US" w:eastAsia="zh-CN"/>
              </w:rPr>
              <w:t>建</w:t>
            </w:r>
            <w:r>
              <w:rPr>
                <w:rFonts w:hint="eastAsia" w:ascii="仿宋_GB2312" w:hAnsi="仿宋_GB2312" w:eastAsia="仿宋_GB2312" w:cs="仿宋_GB2312"/>
                <w:color w:val="auto"/>
                <w:sz w:val="28"/>
                <w:szCs w:val="28"/>
              </w:rPr>
              <w:t xml:space="preserve">工作部／工会 </w:t>
            </w:r>
            <w:r>
              <w:rPr>
                <w:rFonts w:hint="eastAsia" w:ascii="仿宋_GB2312" w:hAnsi="仿宋_GB2312" w:eastAsia="仿宋_GB2312" w:cs="仿宋_GB2312"/>
                <w:color w:val="auto"/>
                <w:sz w:val="28"/>
                <w:szCs w:val="28"/>
                <w:lang w:val="en-US" w:eastAsia="zh-CN"/>
              </w:rPr>
              <w:t>祝文娟</w:t>
            </w:r>
          </w:p>
        </w:tc>
      </w:tr>
      <w:bookmarkEnd w:id="0"/>
    </w:tbl>
    <w:p w14:paraId="20A42816">
      <w:pPr>
        <w:rPr>
          <w:color w:val="auto"/>
        </w:rPr>
      </w:pPr>
    </w:p>
    <w:sectPr>
      <w:pgSz w:w="11906" w:h="16838"/>
      <w:pgMar w:top="1440" w:right="1519" w:bottom="1440" w:left="151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40E9A"/>
    <w:rsid w:val="028832B4"/>
    <w:rsid w:val="03127EFF"/>
    <w:rsid w:val="03181BD5"/>
    <w:rsid w:val="0419023E"/>
    <w:rsid w:val="0549434B"/>
    <w:rsid w:val="06BF4622"/>
    <w:rsid w:val="07E92107"/>
    <w:rsid w:val="08AD5519"/>
    <w:rsid w:val="0B2360D1"/>
    <w:rsid w:val="0D1D312A"/>
    <w:rsid w:val="0D53753C"/>
    <w:rsid w:val="0F3B2730"/>
    <w:rsid w:val="0F3D38EF"/>
    <w:rsid w:val="0FC41FA8"/>
    <w:rsid w:val="131E7A8F"/>
    <w:rsid w:val="1444633F"/>
    <w:rsid w:val="159A20C7"/>
    <w:rsid w:val="167F55F9"/>
    <w:rsid w:val="1828025D"/>
    <w:rsid w:val="192236A8"/>
    <w:rsid w:val="1A5242E7"/>
    <w:rsid w:val="1AF60FCB"/>
    <w:rsid w:val="1C436E32"/>
    <w:rsid w:val="1D5435C1"/>
    <w:rsid w:val="1F554D78"/>
    <w:rsid w:val="234F1205"/>
    <w:rsid w:val="250F6170"/>
    <w:rsid w:val="251D2A53"/>
    <w:rsid w:val="28E731C5"/>
    <w:rsid w:val="2B482377"/>
    <w:rsid w:val="2E040E9A"/>
    <w:rsid w:val="2FD714A0"/>
    <w:rsid w:val="33A6194A"/>
    <w:rsid w:val="35A60463"/>
    <w:rsid w:val="35B01AF3"/>
    <w:rsid w:val="383A26CD"/>
    <w:rsid w:val="3DD71766"/>
    <w:rsid w:val="3E074BB1"/>
    <w:rsid w:val="3ED45DA4"/>
    <w:rsid w:val="3F852054"/>
    <w:rsid w:val="456237F8"/>
    <w:rsid w:val="48AC579F"/>
    <w:rsid w:val="48F055E1"/>
    <w:rsid w:val="49293B6C"/>
    <w:rsid w:val="4A054820"/>
    <w:rsid w:val="4A1E2C27"/>
    <w:rsid w:val="4AD11A78"/>
    <w:rsid w:val="4D2F58DC"/>
    <w:rsid w:val="4F071D66"/>
    <w:rsid w:val="50D03E86"/>
    <w:rsid w:val="51641C96"/>
    <w:rsid w:val="5204289F"/>
    <w:rsid w:val="54175193"/>
    <w:rsid w:val="557412A4"/>
    <w:rsid w:val="570556BE"/>
    <w:rsid w:val="58686185"/>
    <w:rsid w:val="598A113A"/>
    <w:rsid w:val="5EB26174"/>
    <w:rsid w:val="61DA57A9"/>
    <w:rsid w:val="62EA3C22"/>
    <w:rsid w:val="62F6048F"/>
    <w:rsid w:val="640B0AA9"/>
    <w:rsid w:val="6754719E"/>
    <w:rsid w:val="685E0915"/>
    <w:rsid w:val="68761BFC"/>
    <w:rsid w:val="6A323641"/>
    <w:rsid w:val="6CE01E2C"/>
    <w:rsid w:val="70800B58"/>
    <w:rsid w:val="72BD7339"/>
    <w:rsid w:val="746D661E"/>
    <w:rsid w:val="75837CDD"/>
    <w:rsid w:val="76645648"/>
    <w:rsid w:val="775745BD"/>
    <w:rsid w:val="79053AB0"/>
    <w:rsid w:val="7A795A34"/>
    <w:rsid w:val="7B3D52E3"/>
    <w:rsid w:val="7B4D32E4"/>
    <w:rsid w:val="7B7C4426"/>
    <w:rsid w:val="7C2B1B2A"/>
    <w:rsid w:val="7E855651"/>
    <w:rsid w:val="7FD52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widowControl w:val="0"/>
      <w:ind w:firstLine="420"/>
      <w:jc w:val="both"/>
    </w:pPr>
    <w:rPr>
      <w:rFonts w:ascii="Calibri" w:hAnsi="Calibri"/>
      <w:kern w:val="2"/>
      <w:sz w:val="21"/>
      <w:szCs w:val="24"/>
      <w:lang w:val="en-US" w:eastAsia="zh-CN" w:bidi="ar-SA"/>
    </w:rPr>
  </w:style>
  <w:style w:type="paragraph" w:styleId="3">
    <w:name w:val="Body Text"/>
    <w:basedOn w:val="1"/>
    <w:qFormat/>
    <w:uiPriority w:val="1"/>
    <w:rPr>
      <w:rFonts w:ascii="宋体" w:hAnsi="宋体" w:eastAsia="宋体" w:cs="宋体"/>
      <w:sz w:val="32"/>
      <w:szCs w:val="32"/>
      <w:lang w:val="en-US" w:eastAsia="zh-CN" w:bidi="ar-SA"/>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河南省分公司</Company>
  <Pages>10</Pages>
  <Words>0</Words>
  <Characters>0</Characters>
  <Lines>0</Lines>
  <Paragraphs>0</Paragraphs>
  <TotalTime>15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2025-12-12T01:06:00Z</dcterms:created>
  <dc:creator>申琳</dc:creator>
  <cp:lastModifiedBy>王统</cp:lastModifiedBy>
  <dcterms:modified xsi:type="dcterms:W3CDTF">2026-07-21T02:07:27Z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939CAC9C92CB4214A8B651E6C87D4301_13</vt:lpwstr>
  </property>
</Properties>
</file>