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7CEE4">
      <w:pPr>
        <w:keepNext w:val="0"/>
        <w:keepLines w:val="0"/>
        <w:widowControl/>
        <w:suppressLineNumbers w:val="0"/>
        <w:jc w:val="left"/>
      </w:pPr>
      <w:r>
        <w:rPr>
          <w:rFonts w:ascii="仿宋_GB2312" w:hAnsi="宋体" w:eastAsia="仿宋_GB2312" w:cs="仿宋_GB2312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孟州: </w:t>
      </w:r>
    </w:p>
    <w:p w14:paraId="289128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1、盈利能力落后分析 </w:t>
      </w:r>
    </w:p>
    <w:p w14:paraId="58E8B885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项目坏账预算完成 6+3.5 分得 0 分，政企存量应收账款回款 </w:t>
      </w:r>
    </w:p>
    <w:p w14:paraId="2263F374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率 2 分、算网项目类业务新增欠费回款率 1 分均得 0 分。根源在于：截至 6 月孟州存量回款 146 万元，存量回款率 5.7%，项目新增回款 6 万元，项目新增回款率 1.7%。存量和新增均滞后。其中： </w:t>
      </w:r>
    </w:p>
    <w:p w14:paraId="0EFAFDBB">
      <w:pPr>
        <w:keepNext w:val="0"/>
        <w:keepLines w:val="0"/>
        <w:widowControl/>
        <w:suppressLineNumbers w:val="0"/>
        <w:jc w:val="left"/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存量欠费大于 100 万元的 7 个项目欠费 2250 万元，占比 94%，本年回款 97 万元，回款率严重不足；本年新计收项目 12 个，计收366 万元，除 2 个项目回款 6 万元，其他项目均无回款。</w:t>
      </w:r>
    </w:p>
    <w:p w14:paraId="569D4E03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下一步措施：领导班子逐项目对本单位的全量项目进行分析，落实项目进展，未完工或验收的项目，在三季度要完成交付，已交付的项目，同客户或财政沟通协调回款事项，确保项目及时回款。 </w:t>
      </w:r>
    </w:p>
    <w:p w14:paraId="48E788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2、创收能力落后分析 </w:t>
      </w:r>
    </w:p>
    <w:p w14:paraId="65C246C3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联网通信及其他收入增速得 0 分。根源在于：截止 6 月，联 </w:t>
      </w:r>
    </w:p>
    <w:p w14:paraId="5FDD1F09">
      <w:pPr>
        <w:keepNext w:val="0"/>
        <w:keepLines w:val="0"/>
        <w:widowControl/>
        <w:suppressLineNumbers w:val="0"/>
        <w:jc w:val="left"/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网收入同比增幅 0.9%，全区第 10；主要是新增收入同比为负、存量运营能力有待提升，新增收入同比-9.5%，存量收入同比 0.63%，存量收保率 95.63%，均全区后二。</w:t>
      </w:r>
    </w:p>
    <w:p w14:paraId="224F2A63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下一步措施：坚持增存并重，一是聚焦融合拉动、结构调整，坚持向满卡满融要规模，坚持向 </w:t>
      </w:r>
    </w:p>
    <w:p w14:paraId="4CDEEDA6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中高端要增收，坚持向高质量发展要价值，力争年底新增收入同比扭正；二是聚焦套餐适配、端网业适配、满卡满融三条路径提升存量收入，强化新增用户质量管控、内循环管控、到期合约续约、降套维系管控、副卡/超清到期管控做好用户保有，力争存量收保率达到全区均值水平，确保年底联网收入同比增幅实现1.9%。 </w:t>
      </w:r>
    </w:p>
    <w:p w14:paraId="3F727354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手机终端合约搭载率 0.5 分得 0 分。根源在于：1-6 月累计 </w:t>
      </w:r>
    </w:p>
    <w:p w14:paraId="096913AB">
      <w:pPr>
        <w:keepNext w:val="0"/>
        <w:keepLines w:val="0"/>
        <w:widowControl/>
        <w:suppressLineNumbers w:val="0"/>
        <w:jc w:val="left"/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手机终端合约搭载自营厅渠道 50.25%，社会渠道 15.63%，主要因素是 3 月裸机销量占比较高，合约发展量少，导致整体合约搭载率不达标。</w:t>
      </w:r>
    </w:p>
    <w:p w14:paraId="25DEF879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下一步措施：一是针对自营厅新用户首推金融合约， </w:t>
      </w:r>
    </w:p>
    <w:p w14:paraId="5D61C13B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对老用户加强存量合约到期用户回访，提升新老用户合约办理； </w:t>
      </w:r>
    </w:p>
    <w:p w14:paraId="484FB87F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二是针对社会渠道全面宣贯转向金融，确保三季度完成合约搭载目标。 </w:t>
      </w:r>
    </w:p>
    <w:p w14:paraId="19AA5663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算网数智收入预算完成率 10 分得 6.5 分。根源在于：全年 </w:t>
      </w:r>
    </w:p>
    <w:p w14:paraId="492B59C8">
      <w:pPr>
        <w:keepNext w:val="0"/>
        <w:keepLines w:val="0"/>
        <w:widowControl/>
        <w:suppressLineNumbers w:val="0"/>
        <w:jc w:val="left"/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收入目标 1060 万元，1-6 月完成 350 万元，序时完成率 66%。其中项目收入 340 万元，标品收入 10 万元，均未达到序时目标。</w:t>
      </w:r>
    </w:p>
    <w:p w14:paraId="53B4E564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下一步措施：1.聚焦公开市场项目抢占五零线，企业市场强化高层走访挖商机促签约，中小项目紧盯四通一员、成品油税控、能耗管控平台等，加快项目落地，提升项目收入。2.聚焦双云、骨干 </w:t>
      </w:r>
    </w:p>
    <w:p w14:paraId="4100BB87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云、舆情通、安全荟产品、物联网 wifi 产品等标品开展场景化营销，加强日常走访，扩大客户接触面，提升标品收入。 </w:t>
      </w:r>
    </w:p>
    <w:p w14:paraId="0A65A1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3、高质量发展落后分析 </w:t>
      </w:r>
    </w:p>
    <w:p w14:paraId="78803D5D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移网净增完成率 4 分得 3.31 分。根源在于：移网净增目标 </w:t>
      </w:r>
    </w:p>
    <w:p w14:paraId="119166F3">
      <w:pPr>
        <w:keepNext w:val="0"/>
        <w:keepLines w:val="0"/>
        <w:widowControl/>
        <w:suppressLineNumbers w:val="0"/>
        <w:jc w:val="left"/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2338 户，完成 1936 户，目标完成率 82.8%，距离 100%目标完成欠差 402 户；主要因素是东小仇（-104 户）、南庄（-81 户）、黄河（-71 户），网格净增累计流失 256。</w:t>
      </w:r>
    </w:p>
    <w:p w14:paraId="467C5DE0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下一步措施：一是坚持满卡满融思路不动摇，金融、FTTR 副卡预约必做，渠道、自有人员意向用户直接上门，实现副卡应搭尽搭，搭载率提升至 43%，预约副卡搭载率目标 15%，同时针对实收破零预约副卡未破零人员加快赋能穿透，拉动移网净增 35 户/月；二是中低端提产能，紧盯 40 家 39 元档产品有销渠道，强化中性门店魔方宣传，提升魔方套餐产能 150 户/月，拉动移网净增 30 户/月；三是持续做好存量目标用户副卡营销，聚焦 1 移+1 宽、智家畅越两大类目标用户，通过办理畅越免费副卡，FTTR 副卡免押政策，加大存量用户移移 </w:t>
      </w:r>
    </w:p>
    <w:p w14:paraId="75AC8933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融合占比，拉动移网净增 50 户/月，力争三季度实现移网净增目标完成率不低于 90%。 </w:t>
      </w:r>
    </w:p>
    <w:p w14:paraId="1BA58059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宽带净增完成率 4 分得 0 分。根源在于：宽带净增目标 1921 </w:t>
      </w:r>
    </w:p>
    <w:p w14:paraId="20DFAB1A">
      <w:pPr>
        <w:keepNext w:val="0"/>
        <w:keepLines w:val="0"/>
        <w:widowControl/>
        <w:suppressLineNumbers w:val="0"/>
        <w:jc w:val="left"/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户，净增完成 942 户，目标完成率 49.04%，主要是自控队伍净增不足，自营厅渠道（-309 户），自有公众直销渠道（-103 户）。</w:t>
      </w:r>
    </w:p>
    <w:p w14:paraId="5DA55795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下一步措施：一是聚焦新增用户融合搭载提升，全力提升 69 元及以上融合套餐宽带搭载率，确保融合搭载率稳定达到 80%及以上； </w:t>
      </w:r>
    </w:p>
    <w:p w14:paraId="76B6D1A4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二是依托存量 139 元及以上档位用户“二宽 10 元/月”利好政策，精准筛选未加装副宽带用户，定向开展政策营销，盘活存量价值； </w:t>
      </w:r>
    </w:p>
    <w:p w14:paraId="5F14F7D0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三是健全拆机前置维系机制，建立宽带拆机双向告知、前置维系制度，压实网格维系责任，力争三季度实现宽带目标完成率不低于70%。 </w:t>
      </w:r>
    </w:p>
    <w:p w14:paraId="133C04D0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企业市场收入同比增幅完成率 2 分得 0 分。根源在于：企业 </w:t>
      </w:r>
    </w:p>
    <w:p w14:paraId="517825ED">
      <w:pPr>
        <w:keepNext w:val="0"/>
        <w:keepLines w:val="0"/>
        <w:widowControl/>
        <w:suppressLineNumbers w:val="0"/>
        <w:jc w:val="left"/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市场同比增幅- 88%，与目标值 15% 差距较大。企业市场商机储备不足，存量项目匮乏，缺少可持续跟进、可落地转化的优质项目长；二是企业类项目签约未破零。</w:t>
      </w:r>
    </w:p>
    <w:p w14:paraId="4911B114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下一步措施：关注大企业客户经理发展产能，重点抓好数字惠企的发展，做好三化项目拓展，攻坚能耗管理平台项目，三季度实现突破，打造标杆。 </w:t>
      </w:r>
    </w:p>
    <w:p w14:paraId="16573312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扣分项指标-新兴ICT项目签约额目标完成率1分扣0.68分。 </w:t>
      </w:r>
    </w:p>
    <w:p w14:paraId="2C6577F1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根源在于：新兴 ICT 项目签约额目标 1442 万元，1-6 月完成 301万元，序时完成率 42%。下一步措施：聚焦公开市场项目抢占五零线，大企业市场强针对能源化工、食品轻工、装备冶金三大行业，结合各行业及细分领域业务特点，聚焦本地商机开展企业深度诊断，邀请市工业 BU 协同陪访，推进项目落地，中小项目紧盯四通一员、成品油税控、能耗管控平台等，加快项目落地，提升项目收入。 </w:t>
      </w:r>
    </w:p>
    <w:p w14:paraId="2F66FE48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扣分项指标-云惠百业收入完成率 1.5 分扣 1.17 分。根源在 </w:t>
      </w:r>
    </w:p>
    <w:p w14:paraId="68EED1D3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于：二季度云惠百业目标 6 万元，完成 1.8 万元，完成率 30.5%。 </w:t>
      </w:r>
    </w:p>
    <w:p w14:paraId="228FFF31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下一步措施：聚焦大中型企业云上数据防护场景，打造云+安全综合方案，强化目标客户走访摸排，实现行业突破。 </w:t>
      </w:r>
    </w:p>
    <w:p w14:paraId="290B4E2B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工信部来量压降、工信部有责申告量压降、服务工单压降（本 </w:t>
      </w:r>
    </w:p>
    <w:p w14:paraId="38828420">
      <w:pPr>
        <w:keepNext w:val="0"/>
        <w:keepLines w:val="0"/>
        <w:widowControl/>
        <w:suppressLineNumbers w:val="0"/>
        <w:jc w:val="left"/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地投诉+10015）均 2 分得 0 分，窗口满意度 2 分得 0.25 分，咨询单+普投+升投综合评价率 2 分得 0.5 分，10015 综合价评率 1分得 0.25 分。</w:t>
      </w:r>
    </w:p>
    <w:p w14:paraId="77A4F614">
      <w:pPr>
        <w:keepNext w:val="0"/>
        <w:keepLines w:val="0"/>
        <w:widowControl/>
        <w:suppressLineNumbers w:val="0"/>
        <w:jc w:val="left"/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下一步措施：</w:t>
      </w:r>
    </w:p>
    <w:p w14:paraId="2A0C200B">
      <w:pPr>
        <w:keepNext w:val="0"/>
        <w:keepLines w:val="0"/>
        <w:widowControl/>
        <w:suppressLineNumbers w:val="0"/>
        <w:jc w:val="left"/>
      </w:pPr>
      <w:r>
        <w:rPr>
          <w:rFonts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下一步</w:t>
      </w: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措施：本地、申诉压降问题将规范营销、严禁夸大模糊宣传，做好源头治理，持续提升满意度。做好新增用户、投诉用户客户群加微工作，引导用户线下联系客户经理沟通，减少投诉。针对客户降套销户停机等降收行为，挽留不强留，严禁推诿阻挠。对存量不知情添加业务应解尽解。对新增不知情添加业务确保 0 发生。 </w:t>
      </w:r>
    </w:p>
    <w:p w14:paraId="4C11BD12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针对客户到厅询问时减少拨打热线的次数，针对企业有责工单务必高效办结，避免投申诉。针对投诉压降务必做好本单位落地考核，同时不定期进行投诉工单处理培训工作；综合评价问题将提升投诉处理人员的业务技能、沟通技能，确保熟练应对投申诉工单。做好服务补救的赋权功能，提高工单处理的时效性。针对疑难工单，认真执行提级处理。</w:t>
      </w:r>
      <w:bookmarkStart w:id="0" w:name="_GoBack"/>
      <w:bookmarkEnd w:id="0"/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 xml:space="preserve"> </w:t>
      </w:r>
    </w:p>
    <w:p w14:paraId="5FC86D61">
      <w:pPr>
        <w:keepNext w:val="0"/>
        <w:keepLines w:val="0"/>
        <w:widowControl/>
        <w:suppressLineNumbers w:val="0"/>
        <w:jc w:val="left"/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宽带活跃用户月均流失率 1.5 分得 0.3 分。</w:t>
      </w:r>
    </w:p>
    <w:p w14:paraId="41125FF8">
      <w:pPr>
        <w:keepNext w:val="0"/>
        <w:keepLines w:val="0"/>
        <w:widowControl/>
        <w:suppressLineNumbers w:val="0"/>
        <w:jc w:val="left"/>
      </w:pPr>
      <w:r>
        <w:rPr>
          <w:rFonts w:hint="eastAsia" w:ascii="仿宋_GB2312" w:hAnsi="宋体" w:eastAsia="仿宋_GB2312" w:cs="仿宋_GB2312"/>
          <w:color w:val="000000"/>
          <w:kern w:val="0"/>
          <w:sz w:val="31"/>
          <w:szCs w:val="31"/>
          <w:lang w:val="en-US" w:eastAsia="zh-CN" w:bidi="ar"/>
        </w:rPr>
        <w:t>下一步措施：每日筛选合约到期、低活跃、长期断网、网速不达标、高频投诉、低价低消等高危流失用户，建立流失台账，实行日清日结、逐户回访。对合约即将到期用户提前 30 天触达，通过提速、续约等方式锁定用户，杜绝裸退、低价转网。</w:t>
      </w:r>
    </w:p>
    <w:p w14:paraId="5ED601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HYKaiTi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592FDA"/>
    <w:rsid w:val="04592FDA"/>
    <w:rsid w:val="1CD22DC8"/>
    <w:rsid w:val="220305D1"/>
    <w:rsid w:val="2C0B5A71"/>
    <w:rsid w:val="349E076A"/>
    <w:rsid w:val="58ED5699"/>
    <w:rsid w:val="67BE1F89"/>
    <w:rsid w:val="71474391"/>
    <w:rsid w:val="770F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2026-07-22T00:26:00Z</dcterms:created>
  <dc:creator>雪峰</dc:creator>
  <cp:lastModifiedBy>雪峰</cp:lastModifiedBy>
  <dcterms:modified xsi:type="dcterms:W3CDTF">2026-07-22T00:36:57Z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2AF0DCB4F892409787CCAD7F289FC343_11</vt:lpwstr>
  </property>
  <property fmtid="{D5CDD505-2E9C-101B-9397-08002B2CF9AE}" pid="4" name="KSOTemplateDocerSaveRecord">
    <vt:lpwstr>eyJoZGlkIjoiMjZkYjI2YzJhY2EwYzNmZTQwODBjNDU3YWNiNTYzODgiLCJ1c2VySWQiOiIxMDQzMTU4MTM4In0=</vt:lpwstr>
  </property>
</Properties>
</file>