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331CE">
      <w:pPr>
        <w:pStyle w:val="2"/>
        <w:keepNext w:val="0"/>
        <w:keepLines w:val="0"/>
        <w:widowControl/>
        <w:suppressLineNumbers w:val="0"/>
        <w:ind w:firstLine="2891" w:firstLineChars="800"/>
        <w:jc w:val="both"/>
        <w:rPr>
          <w:rFonts w:hint="eastAsia" w:ascii="仿宋_GB2312" w:hAnsi="仿宋_GB2312" w:eastAsia="仿宋_GB2312" w:cs="仿宋_GB2312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6"/>
          <w:szCs w:val="36"/>
          <w:lang w:val="en-US" w:eastAsia="zh-CN" w:bidi="ar-SA"/>
        </w:rPr>
        <w:t>市场部党支部贯彻落实特色亮点</w:t>
      </w:r>
    </w:p>
    <w:p w14:paraId="029933F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right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2021年-2026年，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焦作分公司市场部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党支部高举党建引领旗帜，紧扣市场经营主线，以党业融合为抓手，通过紧盯短板指标推动攻坚改善，实现收入有增长、份额有提升，切实将党建活力转化为经营实效。主要特色亮点如下：</w:t>
      </w:r>
    </w:p>
    <w:p w14:paraId="52334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2024年特色亮点：坚持以高质量党建引领高质量发展，深度融入乡村振兴战略大局，将“百千万工程”作为锤炼党性的“主战场”与检验能力的“试金石”。一是积极履行社会责任，聚焦主责主业，彰显国企责任担当，紧密围绕集团公司战略和河南农村市场“百千万”工程，在数字乡村、平安乡村、智慧助老、村集体合作社等方面，积极开展服务工作。二是积极制定基层“双优”党组织综合评价办法和“一融合三提升”公众线“数字惠农 我为先锋”品牌，充分调动基层党组织、党员干部的模范带头作用。成效：</w:t>
      </w:r>
      <w:r>
        <w:rPr>
          <w:rFonts w:hint="eastAsia" w:ascii="仿宋" w:hAnsi="仿宋" w:eastAsia="仿宋" w:cs="仿宋"/>
          <w:kern w:val="2"/>
          <w:sz w:val="32"/>
          <w:szCs w:val="20"/>
          <w:lang w:val="en-US" w:eastAsia="zh-CN" w:bidi="ar-SA"/>
        </w:rPr>
        <w:t>市场部党支部获得“2024年先进基层党组织”荣誉称号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；2024年农村市场以“百千万工程”为抓手，打造“综治安防大屏村”打造75个，移宽出账收入同比增幅5.03%，全省第3。</w:t>
      </w:r>
    </w:p>
    <w:p w14:paraId="35416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firstLine="640" w:firstLineChars="200"/>
        <w:jc w:val="both"/>
        <w:textAlignment w:val="auto"/>
        <w:rPr>
          <w:rFonts w:hint="default" w:ascii="仿宋" w:hAnsi="仿宋" w:eastAsia="仿宋" w:cs="仿宋"/>
          <w:kern w:val="2"/>
          <w:sz w:val="32"/>
          <w:szCs w:val="2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2025年特色亮点：支部将党旗插在市场一线，推动党建与经营同频共振。一是</w:t>
      </w:r>
      <w:r>
        <w:rPr>
          <w:rFonts w:hint="eastAsia" w:ascii="仿宋" w:hAnsi="仿宋" w:eastAsia="仿宋" w:cs="仿宋"/>
          <w:kern w:val="2"/>
          <w:sz w:val="32"/>
          <w:szCs w:val="20"/>
          <w:lang w:val="en-US" w:eastAsia="zh-CN" w:bidi="ar-SA"/>
        </w:rPr>
        <w:t>持续规范支部运行，建立支委分包县区机制，每周至少参与1次活动，压实责任；二是强化团队团结协作，7月组织举办红色读书会，8月组织观看红色电影《南京照相馆》，以此传承红色基因，汲取奋进力量，激发团队整体合力；三是深耕帮扶一线，3-4季度成立营业、渠道、商户、农村4支先锋队，每周二、三、六参与一线经营单位营销活动，充分发挥先锋模范作用。四是建立现场送培机制，旺季期间分3组赴一线单位逐个现场交流、答疑，送培到一线。成效：市场部党支部获得“2025年市级双优党支部”、“2025年先进基层党组织”荣誉称号；25年联网收入同比及市场专业线考核均全省前6。</w:t>
      </w:r>
    </w:p>
    <w:p w14:paraId="4EA08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firstLine="640" w:firstLineChars="200"/>
        <w:jc w:val="both"/>
        <w:textAlignment w:val="auto"/>
        <w:rPr>
          <w:rFonts w:hint="default" w:ascii="仿宋" w:hAnsi="仿宋" w:eastAsia="仿宋" w:cs="仿宋"/>
          <w:kern w:val="2"/>
          <w:sz w:val="32"/>
          <w:szCs w:val="2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2026年特色亮点：市场部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支部坚持以“党建领航、融合赋能”为主线，一是打造“市场一线课堂”，建立“会前学思想—会中议业务—会后抓落实”闭环机制，将理论学习与市场调研、赋能培训等业务场景紧密结合，全体党员参与基层帮扶150余次，赋能培训50余场。6月创新“党建+渠道金融攻坚”小课堂，实现党员教育学习全覆盖。二是先锋攻坚，设立“党员突击队”，聚焦重点市场拓展和队伍建</w:t>
      </w:r>
      <w:r>
        <w:rPr>
          <w:rFonts w:hint="eastAsia" w:ascii="仿宋" w:hAnsi="仿宋" w:eastAsia="仿宋" w:cs="仿宋"/>
          <w:kern w:val="2"/>
          <w:sz w:val="32"/>
          <w:szCs w:val="20"/>
          <w:lang w:val="en-US" w:eastAsia="zh-CN" w:bidi="ar-SA"/>
        </w:rPr>
        <w:t>设攻坚任务，组建5支“党员先锋队”，由支部委员分别挂帅，划定党员责任区，建立“周调度、月复盘”推进机制，确保重点任务限时解决、闭环管理。三是党业融合，深化“党建+业务”双轮驱动。针对197家金融白名单未破零渠道，6月支委会集中讨论如何强化金融能力全面穿透，加快渠道金融扩面提能，最终确定建立支委分包机制（每个支委分包2个单位6家渠道，进行现场渠道金融穿透），实现党建与业务同谋划、同部署、同落实。成效：市场部党支部一季度党建考核全区第8，二季度考核全区第7；上半年联网收入累计完成34930万，序时完成率100.33%，全省第4，累计同比2.27%，全省第2。</w:t>
      </w:r>
    </w:p>
    <w:p w14:paraId="7C72E33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 w:firstLine="640" w:firstLineChars="200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</w:p>
    <w:p w14:paraId="4DB2884B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445F5"/>
    <w:rsid w:val="1A4C32C6"/>
    <w:rsid w:val="20666728"/>
    <w:rsid w:val="2B650FCD"/>
    <w:rsid w:val="34D96843"/>
    <w:rsid w:val="4DFF01DA"/>
    <w:rsid w:val="7CBE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next w:val="1"/>
    <w:qFormat/>
    <w:uiPriority w:val="0"/>
    <w:pPr>
      <w:spacing w:after="120" w:afterLines="0"/>
      <w:ind w:left="420" w:leftChars="200"/>
    </w:pPr>
    <w:rPr>
      <w:rFonts w:ascii="Times New Roman" w:hAnsi="Times New Roman" w:eastAsia="宋体" w:cs="Times New Roman"/>
      <w:sz w:val="21"/>
    </w:rPr>
  </w:style>
  <w:style w:type="paragraph" w:styleId="4">
    <w:name w:val="Normal (Web)"/>
    <w:basedOn w:val="1"/>
    <w:uiPriority w:val="0"/>
    <w:rPr>
      <w:sz w:val="24"/>
    </w:rPr>
  </w:style>
  <w:style w:type="paragraph" w:styleId="5">
    <w:name w:val="Body Text First Indent 2"/>
    <w:basedOn w:val="3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2026-07-21T12:21:59Z</dcterms:created>
  <dc:creator>Administrator</dc:creator>
  <cp:lastModifiedBy> </cp:lastModifiedBy>
  <dcterms:modified xsi:type="dcterms:W3CDTF">2026-07-21T13:00:25Z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08D66533ABA74342908B5FE9972C8144_12</vt:lpwstr>
  </property>
</Properties>
</file>