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B6927" w:rsidRPr="005C2A34" w:rsidRDefault="00FC32F8" w:rsidP="00B252F2">
      <w:pPr>
        <w:jc w:val="center"/>
        <w:rPr>
          <w:b/>
          <w:bCs/>
        </w:rPr>
      </w:pPr>
      <w:r w:rsidRPr="005C2A34">
        <w:rPr>
          <w:b/>
          <w:bCs/>
          <w:noProof/>
          <w:sz w:val="24"/>
          <w:szCs w:val="30"/>
          <w:lang w:bidi="hi-IN"/>
        </w:rPr>
        <mc:AlternateContent>
          <mc:Choice Requires="wps">
            <w:drawing>
              <wp:anchor distT="0" distB="0" distL="114300" distR="114300" simplePos="0" relativeHeight="251663360" behindDoc="0" locked="0" layoutInCell="1" allowOverlap="1" wp14:anchorId="2C9CD6A5" wp14:editId="17E33BC1">
                <wp:simplePos x="0" y="0"/>
                <wp:positionH relativeFrom="column">
                  <wp:posOffset>123825</wp:posOffset>
                </wp:positionH>
                <wp:positionV relativeFrom="paragraph">
                  <wp:posOffset>295275</wp:posOffset>
                </wp:positionV>
                <wp:extent cx="5410200" cy="2171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410200" cy="217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2F8" w:rsidRDefault="00FC32F8" w:rsidP="00FC32F8">
                            <w:pPr>
                              <w:jc w:val="center"/>
                              <w:rPr>
                                <w:b/>
                                <w:bCs/>
                              </w:rPr>
                            </w:pPr>
                            <w:r w:rsidRPr="00FC32F8">
                              <w:rPr>
                                <w:b/>
                                <w:bCs/>
                              </w:rPr>
                              <w:t xml:space="preserve">Highlights </w:t>
                            </w:r>
                          </w:p>
                          <w:p w:rsidR="00FC32F8" w:rsidRPr="00FC32F8" w:rsidRDefault="00FC32F8" w:rsidP="00B252F2">
                            <w:pPr>
                              <w:pStyle w:val="ListParagraph"/>
                              <w:numPr>
                                <w:ilvl w:val="0"/>
                                <w:numId w:val="3"/>
                              </w:numPr>
                              <w:rPr>
                                <w:b/>
                                <w:bCs/>
                              </w:rPr>
                            </w:pPr>
                            <w:r w:rsidRPr="009A2FC1">
                              <w:t xml:space="preserve">The Annexure II to the budget speech provides data on allocation to Scheduled Caste, Scheduled Tribe, Women, Children and North East Region but has left </w:t>
                            </w:r>
                            <w:r w:rsidR="00B252F2">
                              <w:t xml:space="preserve">out the </w:t>
                            </w:r>
                            <w:r w:rsidRPr="009A2FC1">
                              <w:t>data on allocation</w:t>
                            </w:r>
                            <w:r w:rsidR="00B252F2">
                              <w:t>s</w:t>
                            </w:r>
                            <w:r w:rsidRPr="009A2FC1">
                              <w:t xml:space="preserve"> to persons with disabilities</w:t>
                            </w:r>
                          </w:p>
                          <w:p w:rsidR="00FC32F8" w:rsidRPr="00FC32F8" w:rsidRDefault="00FC32F8" w:rsidP="00B252F2">
                            <w:pPr>
                              <w:pStyle w:val="ListParagraph"/>
                              <w:numPr>
                                <w:ilvl w:val="0"/>
                                <w:numId w:val="3"/>
                              </w:numPr>
                              <w:rPr>
                                <w:b/>
                                <w:bCs/>
                              </w:rPr>
                            </w:pPr>
                            <w:r w:rsidRPr="009A2FC1">
                              <w:t>There is neither a specific reference to persons with disabilities under the social groups nor a commitment across sectors to address the issues of discrimination experienced by persons with disabilities</w:t>
                            </w:r>
                            <w:r>
                              <w:t>.</w:t>
                            </w:r>
                          </w:p>
                          <w:p w:rsidR="00FC32F8" w:rsidRPr="00FC32F8" w:rsidRDefault="00FC32F8" w:rsidP="00B252F2">
                            <w:pPr>
                              <w:pStyle w:val="ListParagraph"/>
                              <w:numPr>
                                <w:ilvl w:val="0"/>
                                <w:numId w:val="3"/>
                              </w:numPr>
                              <w:rPr>
                                <w:b/>
                                <w:bCs/>
                              </w:rPr>
                            </w:pPr>
                            <w:r>
                              <w:t>Only commitment is to ensure lifts and escalators in 500 railway stations for persons with disability</w:t>
                            </w:r>
                          </w:p>
                          <w:p w:rsidR="00FC32F8" w:rsidRPr="00FC32F8" w:rsidRDefault="00FC32F8" w:rsidP="00FC32F8">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75pt;margin-top:23.25pt;width:426pt;height:17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ltkwIAALMFAAAOAAAAZHJzL2Uyb0RvYy54bWysVE1PGzEQvVfqf7B8L5ukAd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" fillcolor="white [3201]" strokeweight=".5pt">
                <v:textbox>
                  <w:txbxContent>
                    <w:p w:rsidR="00FC32F8" w:rsidRDefault="00FC32F8" w:rsidP="00FC32F8">
                      <w:pPr>
                        <w:jc w:val="center"/>
                        <w:rPr>
                          <w:b/>
                          <w:bCs/>
                        </w:rPr>
                      </w:pPr>
                      <w:r w:rsidRPr="00FC32F8">
                        <w:rPr>
                          <w:b/>
                          <w:bCs/>
                        </w:rPr>
                        <w:t xml:space="preserve">Highlights </w:t>
                      </w:r>
                    </w:p>
                    <w:p w:rsidR="00FC32F8" w:rsidRPr="00FC32F8" w:rsidRDefault="00FC32F8" w:rsidP="00B252F2">
                      <w:pPr>
                        <w:pStyle w:val="ListParagraph"/>
                        <w:numPr>
                          <w:ilvl w:val="0"/>
                          <w:numId w:val="3"/>
                        </w:numPr>
                        <w:rPr>
                          <w:b/>
                          <w:bCs/>
                        </w:rPr>
                      </w:pPr>
                      <w:r w:rsidRPr="009A2FC1">
                        <w:t xml:space="preserve">The Annexure II to the budget speech provides data on allocation to Scheduled Caste, Scheduled Tribe, Women, Children and North East Region but has left </w:t>
                      </w:r>
                      <w:r w:rsidR="00B252F2">
                        <w:t xml:space="preserve">out the </w:t>
                      </w:r>
                      <w:r w:rsidRPr="009A2FC1">
                        <w:t>data on allocation</w:t>
                      </w:r>
                      <w:r w:rsidR="00B252F2">
                        <w:t>s</w:t>
                      </w:r>
                      <w:r w:rsidRPr="009A2FC1">
                        <w:t xml:space="preserve"> to persons with disabilities</w:t>
                      </w:r>
                    </w:p>
                    <w:p w:rsidR="00FC32F8" w:rsidRPr="00FC32F8" w:rsidRDefault="00FC32F8" w:rsidP="00B252F2">
                      <w:pPr>
                        <w:pStyle w:val="ListParagraph"/>
                        <w:numPr>
                          <w:ilvl w:val="0"/>
                          <w:numId w:val="3"/>
                        </w:numPr>
                        <w:rPr>
                          <w:b/>
                          <w:bCs/>
                        </w:rPr>
                      </w:pPr>
                      <w:r w:rsidRPr="009A2FC1">
                        <w:t>There is neither a specific reference to persons with disabilities under the social groups nor a commitment across sectors to address the issues of discrimination experienced by persons with disabilities</w:t>
                      </w:r>
                      <w:r>
                        <w:t>.</w:t>
                      </w:r>
                    </w:p>
                    <w:p w:rsidR="00FC32F8" w:rsidRPr="00FC32F8" w:rsidRDefault="00FC32F8" w:rsidP="00B252F2">
                      <w:pPr>
                        <w:pStyle w:val="ListParagraph"/>
                        <w:numPr>
                          <w:ilvl w:val="0"/>
                          <w:numId w:val="3"/>
                        </w:numPr>
                        <w:rPr>
                          <w:b/>
                          <w:bCs/>
                        </w:rPr>
                      </w:pPr>
                      <w:r>
                        <w:t>Only commitment is to ensure lifts and escalators in 500 railway stations for persons with disability</w:t>
                      </w:r>
                    </w:p>
                    <w:p w:rsidR="00FC32F8" w:rsidRPr="00FC32F8" w:rsidRDefault="00FC32F8" w:rsidP="00FC32F8">
                      <w:pPr>
                        <w:jc w:val="center"/>
                        <w:rPr>
                          <w:b/>
                          <w:bCs/>
                        </w:rPr>
                      </w:pPr>
                    </w:p>
                  </w:txbxContent>
                </v:textbox>
              </v:shape>
            </w:pict>
          </mc:Fallback>
        </mc:AlternateContent>
      </w:r>
      <w:r w:rsidR="009A2FC1" w:rsidRPr="005C2A34">
        <w:rPr>
          <w:b/>
          <w:bCs/>
          <w:sz w:val="24"/>
          <w:szCs w:val="30"/>
        </w:rPr>
        <w:t xml:space="preserve">18. </w:t>
      </w:r>
      <w:r w:rsidR="00B252F2" w:rsidRPr="005C2A34">
        <w:rPr>
          <w:b/>
          <w:bCs/>
          <w:sz w:val="24"/>
          <w:szCs w:val="30"/>
        </w:rPr>
        <w:t>PERSONS WITH DISABILIT</w:t>
      </w:r>
      <w:r w:rsidR="00B252F2">
        <w:rPr>
          <w:b/>
          <w:bCs/>
          <w:sz w:val="24"/>
          <w:szCs w:val="30"/>
        </w:rPr>
        <w:t>IES</w:t>
      </w:r>
    </w:p>
    <w:p w:rsidR="00FC32F8" w:rsidRPr="005C2A34" w:rsidRDefault="00FC32F8" w:rsidP="00D869F1">
      <w:pPr>
        <w:jc w:val="both"/>
      </w:pPr>
    </w:p>
    <w:p w:rsidR="00FC32F8" w:rsidRPr="005C2A34" w:rsidRDefault="00FC32F8" w:rsidP="00D869F1">
      <w:pPr>
        <w:jc w:val="both"/>
      </w:pPr>
    </w:p>
    <w:p w:rsidR="00FC32F8" w:rsidRPr="005C2A34" w:rsidRDefault="00FC32F8" w:rsidP="00D869F1">
      <w:pPr>
        <w:jc w:val="both"/>
      </w:pPr>
    </w:p>
    <w:p w:rsidR="00FC32F8" w:rsidRPr="005C2A34" w:rsidRDefault="00FC32F8" w:rsidP="00D869F1">
      <w:pPr>
        <w:jc w:val="both"/>
      </w:pPr>
    </w:p>
    <w:p w:rsidR="00FC32F8" w:rsidRPr="005C2A34" w:rsidRDefault="00FC32F8" w:rsidP="00D869F1">
      <w:pPr>
        <w:jc w:val="both"/>
      </w:pPr>
    </w:p>
    <w:p w:rsidR="00FC32F8" w:rsidRPr="005C2A34" w:rsidRDefault="00FC32F8" w:rsidP="00D869F1">
      <w:pPr>
        <w:jc w:val="both"/>
      </w:pPr>
    </w:p>
    <w:p w:rsidR="00FC32F8" w:rsidRPr="005C2A34" w:rsidRDefault="00FC32F8" w:rsidP="00D869F1">
      <w:pPr>
        <w:jc w:val="both"/>
      </w:pPr>
    </w:p>
    <w:p w:rsidR="00FC32F8" w:rsidRPr="005C2A34" w:rsidRDefault="00FC32F8" w:rsidP="00D869F1">
      <w:pPr>
        <w:jc w:val="both"/>
      </w:pPr>
    </w:p>
    <w:p w:rsidR="009A2FC1" w:rsidRPr="005C2A34" w:rsidRDefault="009A2FC1" w:rsidP="00D869F1">
      <w:pPr>
        <w:jc w:val="both"/>
      </w:pPr>
      <w:r w:rsidRPr="005C2A34">
        <w:t xml:space="preserve">The Demand for Grants, 2017-18 for the </w:t>
      </w:r>
      <w:r w:rsidR="00C61F02" w:rsidRPr="005C2A34">
        <w:t>D</w:t>
      </w:r>
      <w:r w:rsidRPr="005C2A34">
        <w:t xml:space="preserve">epartment for the </w:t>
      </w:r>
      <w:r w:rsidR="00C61F02" w:rsidRPr="005C2A34">
        <w:t>E</w:t>
      </w:r>
      <w:r w:rsidRPr="005C2A34">
        <w:t xml:space="preserve">mpowerment of </w:t>
      </w:r>
      <w:r w:rsidR="00C61F02" w:rsidRPr="005C2A34">
        <w:t>P</w:t>
      </w:r>
      <w:r w:rsidRPr="005C2A34">
        <w:t xml:space="preserve">ersons with </w:t>
      </w:r>
      <w:r w:rsidR="00C61F02" w:rsidRPr="005C2A34">
        <w:t>D</w:t>
      </w:r>
      <w:r w:rsidRPr="005C2A34">
        <w:t xml:space="preserve">isabilities show a marginal increase of </w:t>
      </w:r>
      <w:r w:rsidR="00C61F02" w:rsidRPr="005C2A34">
        <w:t>Rs.</w:t>
      </w:r>
      <w:r w:rsidRPr="005C2A34">
        <w:t>71.4</w:t>
      </w:r>
      <w:r w:rsidR="00FC32F8" w:rsidRPr="005C2A34">
        <w:t xml:space="preserve"> </w:t>
      </w:r>
      <w:r w:rsidRPr="005C2A34">
        <w:t>crore</w:t>
      </w:r>
      <w:r w:rsidR="00AF725E">
        <w:t>;</w:t>
      </w:r>
      <w:r w:rsidR="00FC32F8" w:rsidRPr="005C2A34">
        <w:t xml:space="preserve"> the budget has increased from </w:t>
      </w:r>
      <w:proofErr w:type="spellStart"/>
      <w:r w:rsidR="00FC32F8" w:rsidRPr="005C2A34">
        <w:t>Rs</w:t>
      </w:r>
      <w:proofErr w:type="spellEnd"/>
      <w:r w:rsidR="00FC32F8" w:rsidRPr="005C2A34">
        <w:t>. 78</w:t>
      </w:r>
      <w:r w:rsidR="00B252F2">
        <w:t>4</w:t>
      </w:r>
      <w:r w:rsidR="00FC32F8" w:rsidRPr="005C2A34">
        <w:t xml:space="preserve"> in 2016-17 (BE) to </w:t>
      </w:r>
      <w:proofErr w:type="spellStart"/>
      <w:r w:rsidR="00FC32F8" w:rsidRPr="005C2A34">
        <w:t>Rs</w:t>
      </w:r>
      <w:proofErr w:type="spellEnd"/>
      <w:r w:rsidR="00FC32F8" w:rsidRPr="005C2A34">
        <w:t xml:space="preserve">. 855 crore in 2017-18(BE). </w:t>
      </w:r>
      <w:r w:rsidR="00B40637" w:rsidRPr="005C2A34">
        <w:t xml:space="preserve">The budget for central sector schemes under the department has increased from </w:t>
      </w:r>
      <w:proofErr w:type="spellStart"/>
      <w:r w:rsidR="00B40637" w:rsidRPr="005C2A34">
        <w:t>Rs</w:t>
      </w:r>
      <w:proofErr w:type="spellEnd"/>
      <w:r w:rsidR="00B40637" w:rsidRPr="005C2A34">
        <w:t xml:space="preserve">. 306 crore to Rs.352 crore, whereas the budget for autonomous bodies has witnessed a marginal increase from </w:t>
      </w:r>
      <w:proofErr w:type="spellStart"/>
      <w:r w:rsidR="00B40637" w:rsidRPr="005C2A34">
        <w:t>Rs</w:t>
      </w:r>
      <w:proofErr w:type="spellEnd"/>
      <w:r w:rsidR="00B40637" w:rsidRPr="005C2A34">
        <w:t>.</w:t>
      </w:r>
      <w:r w:rsidR="00B252F2">
        <w:t xml:space="preserve"> </w:t>
      </w:r>
      <w:r w:rsidR="00B40637" w:rsidRPr="005C2A34">
        <w:t xml:space="preserve">231 crore to </w:t>
      </w:r>
      <w:proofErr w:type="spellStart"/>
      <w:r w:rsidR="00B40637" w:rsidRPr="005C2A34">
        <w:t>Rs</w:t>
      </w:r>
      <w:proofErr w:type="spellEnd"/>
      <w:r w:rsidR="00B40637" w:rsidRPr="005C2A34">
        <w:t>. 23</w:t>
      </w:r>
      <w:r w:rsidR="00B252F2">
        <w:t>9</w:t>
      </w:r>
      <w:r w:rsidR="00B40637" w:rsidRPr="005C2A34">
        <w:t xml:space="preserve"> crore</w:t>
      </w:r>
      <w:r w:rsidR="00EC0F42">
        <w:t xml:space="preserve"> over the same period</w:t>
      </w:r>
      <w:r w:rsidR="00B40637" w:rsidRPr="005C2A34">
        <w:t xml:space="preserve">. </w:t>
      </w:r>
      <w:r w:rsidR="00FC32F8" w:rsidRPr="005C2A34">
        <w:t xml:space="preserve"> </w:t>
      </w:r>
      <w:r w:rsidR="00B40637" w:rsidRPr="005C2A34">
        <w:t xml:space="preserve">Among the autonomous institutions, the largest allocation </w:t>
      </w:r>
      <w:r w:rsidR="00B252F2">
        <w:t xml:space="preserve">is </w:t>
      </w:r>
      <w:r w:rsidR="00B40637" w:rsidRPr="005C2A34">
        <w:t>of Rs.190 crore for support of national institutes.</w:t>
      </w:r>
    </w:p>
    <w:p w:rsidR="009A2FC1" w:rsidRPr="005C2A34" w:rsidRDefault="009A2FC1" w:rsidP="00D869F1">
      <w:pPr>
        <w:jc w:val="both"/>
      </w:pPr>
      <w:r w:rsidRPr="005C2A34">
        <w:t>National Institute of Universal Design</w:t>
      </w:r>
      <w:r w:rsidR="00C61F02" w:rsidRPr="005C2A34">
        <w:t>,</w:t>
      </w:r>
      <w:r w:rsidRPr="005C2A34">
        <w:t xml:space="preserve"> a key institute for ensur</w:t>
      </w:r>
      <w:r w:rsidR="009530F3">
        <w:t>ing</w:t>
      </w:r>
      <w:r w:rsidRPr="005C2A34">
        <w:t xml:space="preserve"> accessible environment</w:t>
      </w:r>
      <w:r w:rsidR="009530F3">
        <w:t>,</w:t>
      </w:r>
      <w:r w:rsidRPr="005C2A34">
        <w:t xml:space="preserve"> </w:t>
      </w:r>
      <w:r w:rsidR="009530F3" w:rsidRPr="005C2A34">
        <w:t>g</w:t>
      </w:r>
      <w:r w:rsidR="009530F3">
        <w:t>ot</w:t>
      </w:r>
      <w:r w:rsidR="009530F3" w:rsidRPr="005C2A34">
        <w:t xml:space="preserve"> </w:t>
      </w:r>
      <w:r w:rsidRPr="005C2A34">
        <w:t>a</w:t>
      </w:r>
      <w:r w:rsidR="009530F3">
        <w:t>n</w:t>
      </w:r>
      <w:r w:rsidRPr="005C2A34">
        <w:t xml:space="preserve"> </w:t>
      </w:r>
      <w:r w:rsidR="009530F3">
        <w:t xml:space="preserve">allocation of </w:t>
      </w:r>
      <w:proofErr w:type="spellStart"/>
      <w:r w:rsidR="00B252F2">
        <w:t>Rs</w:t>
      </w:r>
      <w:proofErr w:type="spellEnd"/>
      <w:r w:rsidR="00B252F2">
        <w:t xml:space="preserve">. </w:t>
      </w:r>
      <w:r w:rsidRPr="005C2A34">
        <w:t xml:space="preserve">37 lakh </w:t>
      </w:r>
      <w:r w:rsidR="009530F3">
        <w:t>in 2017-18 (BE)</w:t>
      </w:r>
      <w:r w:rsidRPr="005C2A34">
        <w:t xml:space="preserve">. </w:t>
      </w:r>
      <w:r w:rsidR="009530F3">
        <w:t xml:space="preserve">The budgetary allocation for </w:t>
      </w:r>
      <w:r w:rsidRPr="005C2A34">
        <w:t xml:space="preserve">Indian Sign Language Institute </w:t>
      </w:r>
      <w:r w:rsidR="009530F3">
        <w:t>has increased by</w:t>
      </w:r>
      <w:r w:rsidR="00C61F02" w:rsidRPr="005C2A34">
        <w:t xml:space="preserve"> </w:t>
      </w:r>
      <w:proofErr w:type="spellStart"/>
      <w:r w:rsidR="00C61F02" w:rsidRPr="005C2A34">
        <w:t>Rs</w:t>
      </w:r>
      <w:proofErr w:type="spellEnd"/>
      <w:r w:rsidR="00C61F02" w:rsidRPr="005C2A34">
        <w:t>.</w:t>
      </w:r>
      <w:r w:rsidRPr="005C2A34">
        <w:t xml:space="preserve"> 1.5 crore </w:t>
      </w:r>
      <w:r w:rsidR="009530F3">
        <w:t>over the</w:t>
      </w:r>
      <w:r w:rsidRPr="005C2A34">
        <w:t xml:space="preserve"> previous financial year.</w:t>
      </w:r>
    </w:p>
    <w:p w:rsidR="009A2FC1" w:rsidRPr="005C2A34" w:rsidRDefault="00082096" w:rsidP="00D869F1">
      <w:pPr>
        <w:jc w:val="both"/>
      </w:pPr>
      <w:r w:rsidRPr="005C2A34">
        <w:t>There is a decl</w:t>
      </w:r>
      <w:r w:rsidR="009A2FC1" w:rsidRPr="005C2A34">
        <w:t xml:space="preserve">ining trend in allocation to </w:t>
      </w:r>
      <w:proofErr w:type="spellStart"/>
      <w:r w:rsidR="009A2FC1" w:rsidRPr="005C2A34">
        <w:t>programme</w:t>
      </w:r>
      <w:proofErr w:type="spellEnd"/>
      <w:r w:rsidR="009A2FC1" w:rsidRPr="005C2A34">
        <w:t xml:space="preserve"> “Assistance to disabled persons for purchase, fitting of Assistive devices</w:t>
      </w:r>
      <w:r w:rsidR="00C61F02" w:rsidRPr="005C2A34">
        <w:t>”</w:t>
      </w:r>
      <w:r w:rsidR="009530F3">
        <w:t xml:space="preserve"> when comparing 2017-18 (BE) with 2016-17 (RE); t</w:t>
      </w:r>
      <w:r w:rsidR="009A2FC1" w:rsidRPr="005C2A34">
        <w:t xml:space="preserve">here is a decrease of </w:t>
      </w:r>
      <w:proofErr w:type="spellStart"/>
      <w:r w:rsidR="00C61F02" w:rsidRPr="005C2A34">
        <w:t>Rs</w:t>
      </w:r>
      <w:proofErr w:type="spellEnd"/>
      <w:r w:rsidR="00C61F02" w:rsidRPr="005C2A34">
        <w:t>.</w:t>
      </w:r>
      <w:r w:rsidR="009530F3">
        <w:t xml:space="preserve"> </w:t>
      </w:r>
      <w:r w:rsidR="009A2FC1" w:rsidRPr="005C2A34">
        <w:t xml:space="preserve">20 crore. </w:t>
      </w:r>
      <w:r w:rsidR="002E3050">
        <w:t xml:space="preserve">The allocation or </w:t>
      </w:r>
      <w:r w:rsidR="00AA73E7" w:rsidRPr="005C2A34">
        <w:t>Artificial Limbs Manufacturing Corporation of India (</w:t>
      </w:r>
      <w:r w:rsidR="009A2FC1" w:rsidRPr="005C2A34">
        <w:t>ALIMCO</w:t>
      </w:r>
      <w:r w:rsidR="00AA73E7" w:rsidRPr="005C2A34">
        <w:t>)</w:t>
      </w:r>
      <w:r w:rsidR="009A2FC1" w:rsidRPr="005C2A34">
        <w:t xml:space="preserve"> </w:t>
      </w:r>
      <w:r w:rsidR="002E3050">
        <w:t>has been</w:t>
      </w:r>
      <w:r w:rsidR="009A2FC1" w:rsidRPr="005C2A34">
        <w:t xml:space="preserve"> </w:t>
      </w:r>
      <w:proofErr w:type="spellStart"/>
      <w:r w:rsidR="00C61F02" w:rsidRPr="005C2A34">
        <w:t>Rs</w:t>
      </w:r>
      <w:proofErr w:type="spellEnd"/>
      <w:r w:rsidR="00C61F02" w:rsidRPr="005C2A34">
        <w:t>.</w:t>
      </w:r>
      <w:r w:rsidR="009530F3">
        <w:t xml:space="preserve"> </w:t>
      </w:r>
      <w:r w:rsidR="009A2FC1" w:rsidRPr="005C2A34">
        <w:t xml:space="preserve">5 crore for the last </w:t>
      </w:r>
      <w:r w:rsidR="00C61F02" w:rsidRPr="005C2A34">
        <w:t>three</w:t>
      </w:r>
      <w:r w:rsidR="009A2FC1" w:rsidRPr="005C2A34">
        <w:t xml:space="preserve"> financial years. </w:t>
      </w:r>
      <w:r w:rsidR="009530F3">
        <w:t>The</w:t>
      </w:r>
      <w:r w:rsidR="009A2FC1" w:rsidRPr="005C2A34">
        <w:t xml:space="preserve"> assistive devices ensure personal mobility and </w:t>
      </w:r>
      <w:r w:rsidR="009530F3">
        <w:t>are</w:t>
      </w:r>
      <w:r w:rsidR="009530F3" w:rsidRPr="005C2A34">
        <w:t xml:space="preserve"> </w:t>
      </w:r>
      <w:r w:rsidR="009A2FC1" w:rsidRPr="005C2A34">
        <w:t>first step towards non-discrimination and equal enjoyment of freedom of movement</w:t>
      </w:r>
      <w:r w:rsidR="009530F3">
        <w:t>, and hence allocations for the same are critical</w:t>
      </w:r>
      <w:r w:rsidR="009A2FC1" w:rsidRPr="005C2A34">
        <w:t>.</w:t>
      </w:r>
    </w:p>
    <w:p w:rsidR="00C61F02" w:rsidRPr="005C2A34" w:rsidRDefault="009A2FC1" w:rsidP="00C61F02">
      <w:pPr>
        <w:spacing w:after="0"/>
        <w:jc w:val="center"/>
      </w:pPr>
      <w:r w:rsidRPr="005C2A34">
        <w:t xml:space="preserve">Table </w:t>
      </w:r>
      <w:r w:rsidR="00294594" w:rsidRPr="005C2A34">
        <w:t>18.</w:t>
      </w:r>
      <w:r w:rsidRPr="005C2A34">
        <w:t>1</w:t>
      </w:r>
      <w:r w:rsidR="00F70A5E" w:rsidRPr="005C2A34">
        <w:t>:</w:t>
      </w:r>
      <w:r w:rsidRPr="005C2A34">
        <w:t xml:space="preserve"> </w:t>
      </w:r>
      <w:r w:rsidR="00C61F02" w:rsidRPr="005C2A34">
        <w:t>D</w:t>
      </w:r>
      <w:r w:rsidR="00F70A5E" w:rsidRPr="005C2A34">
        <w:t xml:space="preserve">etails of </w:t>
      </w:r>
      <w:r w:rsidR="00C61F02" w:rsidRPr="005C2A34">
        <w:t>Allocation by the Department for the Empowerment of Persons with Disabilit</w:t>
      </w:r>
      <w:r w:rsidR="00A53340">
        <w:t>ies</w:t>
      </w:r>
    </w:p>
    <w:p w:rsidR="009A2FC1" w:rsidRPr="005C2A34" w:rsidRDefault="00C61F02" w:rsidP="00C61F02">
      <w:pPr>
        <w:spacing w:after="0"/>
        <w:jc w:val="center"/>
      </w:pPr>
      <w:r w:rsidRPr="005C2A34">
        <w:t>(</w:t>
      </w:r>
      <w:proofErr w:type="spellStart"/>
      <w:r w:rsidRPr="005C2A34">
        <w:t>Rs</w:t>
      </w:r>
      <w:proofErr w:type="spellEnd"/>
      <w:r w:rsidRPr="005C2A34">
        <w:t xml:space="preserve">.  </w:t>
      </w:r>
      <w:proofErr w:type="gramStart"/>
      <w:r w:rsidRPr="005C2A34">
        <w:t>crore</w:t>
      </w:r>
      <w:proofErr w:type="gramEnd"/>
      <w:r w:rsidRPr="005C2A34">
        <w:t>)</w:t>
      </w:r>
    </w:p>
    <w:tbl>
      <w:tblPr>
        <w:tblStyle w:val="TableGrid"/>
        <w:tblW w:w="9198" w:type="dxa"/>
        <w:tblLook w:val="04A0" w:firstRow="1" w:lastRow="0" w:firstColumn="1" w:lastColumn="0" w:noHBand="0" w:noVBand="1"/>
      </w:tblPr>
      <w:tblGrid>
        <w:gridCol w:w="4968"/>
        <w:gridCol w:w="1350"/>
        <w:gridCol w:w="1440"/>
        <w:gridCol w:w="1440"/>
      </w:tblGrid>
      <w:tr w:rsidR="00F70A5E" w:rsidRPr="005C2A34" w:rsidTr="009530F3">
        <w:trPr>
          <w:trHeight w:val="575"/>
        </w:trPr>
        <w:tc>
          <w:tcPr>
            <w:tcW w:w="4968" w:type="dxa"/>
            <w:vAlign w:val="bottom"/>
          </w:tcPr>
          <w:p w:rsidR="00F70A5E" w:rsidRPr="005C2A34" w:rsidRDefault="00F70A5E" w:rsidP="009530F3">
            <w:pPr>
              <w:spacing w:line="276" w:lineRule="auto"/>
            </w:pPr>
            <w:r w:rsidRPr="005C2A34">
              <w:t>Particulars</w:t>
            </w:r>
          </w:p>
        </w:tc>
        <w:tc>
          <w:tcPr>
            <w:tcW w:w="1350" w:type="dxa"/>
            <w:vAlign w:val="bottom"/>
          </w:tcPr>
          <w:p w:rsidR="00F70A5E" w:rsidRPr="005C2A34" w:rsidRDefault="00F70A5E" w:rsidP="009530F3">
            <w:pPr>
              <w:spacing w:line="276" w:lineRule="auto"/>
              <w:jc w:val="center"/>
            </w:pPr>
            <w:r w:rsidRPr="005C2A34">
              <w:t>2015-16 (A</w:t>
            </w:r>
            <w:r w:rsidR="005E68AE" w:rsidRPr="005C2A34">
              <w:t>)</w:t>
            </w:r>
          </w:p>
        </w:tc>
        <w:tc>
          <w:tcPr>
            <w:tcW w:w="1440" w:type="dxa"/>
            <w:vAlign w:val="bottom"/>
          </w:tcPr>
          <w:p w:rsidR="00F70A5E" w:rsidRPr="005C2A34" w:rsidRDefault="00F70A5E" w:rsidP="009530F3">
            <w:pPr>
              <w:spacing w:line="276" w:lineRule="auto"/>
              <w:jc w:val="center"/>
            </w:pPr>
            <w:r w:rsidRPr="005C2A34">
              <w:t>2016-17 (RE)</w:t>
            </w:r>
          </w:p>
        </w:tc>
        <w:tc>
          <w:tcPr>
            <w:tcW w:w="1440" w:type="dxa"/>
            <w:vAlign w:val="bottom"/>
          </w:tcPr>
          <w:p w:rsidR="00F70A5E" w:rsidRPr="005C2A34" w:rsidRDefault="00F70A5E" w:rsidP="009530F3">
            <w:pPr>
              <w:spacing w:line="276" w:lineRule="auto"/>
              <w:jc w:val="center"/>
            </w:pPr>
            <w:r w:rsidRPr="005C2A34">
              <w:t>2017-18 (BE)</w:t>
            </w:r>
          </w:p>
        </w:tc>
      </w:tr>
      <w:tr w:rsidR="00F70A5E" w:rsidRPr="005C2A34" w:rsidTr="009530F3">
        <w:tc>
          <w:tcPr>
            <w:tcW w:w="4968" w:type="dxa"/>
            <w:vAlign w:val="bottom"/>
          </w:tcPr>
          <w:p w:rsidR="00F70A5E" w:rsidRPr="005C2A34" w:rsidRDefault="00F70A5E" w:rsidP="009530F3">
            <w:pPr>
              <w:spacing w:line="276" w:lineRule="auto"/>
            </w:pPr>
            <w:r w:rsidRPr="005C2A34">
              <w:t xml:space="preserve">National </w:t>
            </w:r>
            <w:proofErr w:type="spellStart"/>
            <w:r w:rsidRPr="005C2A34">
              <w:t>Programme</w:t>
            </w:r>
            <w:proofErr w:type="spellEnd"/>
            <w:r w:rsidRPr="005C2A34">
              <w:t xml:space="preserve"> for the Welfare of persons with disabilities</w:t>
            </w:r>
          </w:p>
        </w:tc>
        <w:tc>
          <w:tcPr>
            <w:tcW w:w="1350" w:type="dxa"/>
            <w:vAlign w:val="bottom"/>
          </w:tcPr>
          <w:p w:rsidR="00F70A5E" w:rsidRPr="005C2A34" w:rsidRDefault="00F70A5E" w:rsidP="009530F3">
            <w:pPr>
              <w:spacing w:line="276" w:lineRule="auto"/>
              <w:ind w:firstLine="162"/>
              <w:jc w:val="center"/>
            </w:pPr>
            <w:r w:rsidRPr="005C2A34">
              <w:t>320.02</w:t>
            </w:r>
          </w:p>
        </w:tc>
        <w:tc>
          <w:tcPr>
            <w:tcW w:w="1440" w:type="dxa"/>
            <w:vAlign w:val="bottom"/>
          </w:tcPr>
          <w:p w:rsidR="00F70A5E" w:rsidRPr="005C2A34" w:rsidRDefault="00D570C1" w:rsidP="009530F3">
            <w:pPr>
              <w:spacing w:line="276" w:lineRule="auto"/>
              <w:jc w:val="center"/>
            </w:pPr>
            <w:r w:rsidRPr="005C2A34">
              <w:t>326.2</w:t>
            </w:r>
          </w:p>
        </w:tc>
        <w:tc>
          <w:tcPr>
            <w:tcW w:w="1440" w:type="dxa"/>
            <w:vAlign w:val="bottom"/>
          </w:tcPr>
          <w:p w:rsidR="00F70A5E" w:rsidRPr="005C2A34" w:rsidRDefault="00D570C1" w:rsidP="009530F3">
            <w:pPr>
              <w:spacing w:line="276" w:lineRule="auto"/>
              <w:jc w:val="center"/>
            </w:pPr>
            <w:r w:rsidRPr="005C2A34">
              <w:t>351.7</w:t>
            </w:r>
          </w:p>
        </w:tc>
      </w:tr>
      <w:tr w:rsidR="00F70A5E" w:rsidRPr="005C2A34" w:rsidTr="009530F3">
        <w:tc>
          <w:tcPr>
            <w:tcW w:w="4968" w:type="dxa"/>
            <w:vAlign w:val="bottom"/>
          </w:tcPr>
          <w:p w:rsidR="00F70A5E" w:rsidRPr="005C2A34" w:rsidRDefault="00F70A5E" w:rsidP="009530F3">
            <w:pPr>
              <w:spacing w:line="276" w:lineRule="auto"/>
            </w:pPr>
            <w:r w:rsidRPr="005C2A34">
              <w:t>Autonomous bodies</w:t>
            </w:r>
          </w:p>
        </w:tc>
        <w:tc>
          <w:tcPr>
            <w:tcW w:w="1350" w:type="dxa"/>
            <w:vAlign w:val="bottom"/>
          </w:tcPr>
          <w:p w:rsidR="00F70A5E" w:rsidRPr="005C2A34" w:rsidRDefault="00D570C1" w:rsidP="009530F3">
            <w:pPr>
              <w:spacing w:line="276" w:lineRule="auto"/>
              <w:jc w:val="center"/>
            </w:pPr>
            <w:r w:rsidRPr="005C2A34">
              <w:t>164.9</w:t>
            </w:r>
          </w:p>
        </w:tc>
        <w:tc>
          <w:tcPr>
            <w:tcW w:w="1440" w:type="dxa"/>
            <w:vAlign w:val="bottom"/>
          </w:tcPr>
          <w:p w:rsidR="00F70A5E" w:rsidRPr="005C2A34" w:rsidRDefault="00F70A5E" w:rsidP="009530F3">
            <w:pPr>
              <w:spacing w:line="276" w:lineRule="auto"/>
              <w:jc w:val="center"/>
            </w:pPr>
            <w:r w:rsidRPr="005C2A34">
              <w:t>211.50</w:t>
            </w:r>
          </w:p>
        </w:tc>
        <w:tc>
          <w:tcPr>
            <w:tcW w:w="1440" w:type="dxa"/>
            <w:vAlign w:val="bottom"/>
          </w:tcPr>
          <w:p w:rsidR="00F70A5E" w:rsidRPr="005C2A34" w:rsidRDefault="00D570C1" w:rsidP="009530F3">
            <w:pPr>
              <w:spacing w:line="276" w:lineRule="auto"/>
              <w:jc w:val="center"/>
            </w:pPr>
            <w:r w:rsidRPr="005C2A34">
              <w:t>238.7</w:t>
            </w:r>
          </w:p>
        </w:tc>
      </w:tr>
      <w:tr w:rsidR="00F70A5E" w:rsidRPr="005C2A34" w:rsidTr="009530F3">
        <w:tc>
          <w:tcPr>
            <w:tcW w:w="4968" w:type="dxa"/>
            <w:vAlign w:val="bottom"/>
          </w:tcPr>
          <w:p w:rsidR="00F70A5E" w:rsidRPr="005C2A34" w:rsidRDefault="00F70A5E" w:rsidP="009530F3">
            <w:pPr>
              <w:spacing w:line="276" w:lineRule="auto"/>
            </w:pPr>
            <w:r w:rsidRPr="005C2A34">
              <w:t>Public Sector Undertakings</w:t>
            </w:r>
          </w:p>
        </w:tc>
        <w:tc>
          <w:tcPr>
            <w:tcW w:w="1350" w:type="dxa"/>
            <w:vAlign w:val="bottom"/>
          </w:tcPr>
          <w:p w:rsidR="00F70A5E" w:rsidRPr="005C2A34" w:rsidRDefault="00D570C1" w:rsidP="009530F3">
            <w:pPr>
              <w:spacing w:line="276" w:lineRule="auto"/>
              <w:jc w:val="center"/>
            </w:pPr>
            <w:r w:rsidRPr="005C2A34">
              <w:t>39.6</w:t>
            </w:r>
          </w:p>
        </w:tc>
        <w:tc>
          <w:tcPr>
            <w:tcW w:w="1440" w:type="dxa"/>
            <w:vAlign w:val="bottom"/>
          </w:tcPr>
          <w:p w:rsidR="00F70A5E" w:rsidRPr="005C2A34" w:rsidRDefault="00F70A5E" w:rsidP="009530F3">
            <w:pPr>
              <w:spacing w:line="276" w:lineRule="auto"/>
              <w:jc w:val="center"/>
            </w:pPr>
            <w:r w:rsidRPr="005C2A34">
              <w:t>35</w:t>
            </w:r>
          </w:p>
        </w:tc>
        <w:tc>
          <w:tcPr>
            <w:tcW w:w="1440" w:type="dxa"/>
            <w:vAlign w:val="bottom"/>
          </w:tcPr>
          <w:p w:rsidR="00F70A5E" w:rsidRPr="005C2A34" w:rsidRDefault="00D570C1" w:rsidP="009530F3">
            <w:pPr>
              <w:spacing w:line="276" w:lineRule="auto"/>
              <w:jc w:val="center"/>
            </w:pPr>
            <w:r w:rsidRPr="005C2A34">
              <w:t>37.7</w:t>
            </w:r>
          </w:p>
        </w:tc>
      </w:tr>
      <w:tr w:rsidR="00F70A5E" w:rsidRPr="005C2A34" w:rsidTr="009530F3">
        <w:tc>
          <w:tcPr>
            <w:tcW w:w="4968" w:type="dxa"/>
            <w:vAlign w:val="bottom"/>
          </w:tcPr>
          <w:p w:rsidR="00F70A5E" w:rsidRPr="005C2A34" w:rsidRDefault="00F70A5E" w:rsidP="009530F3">
            <w:pPr>
              <w:spacing w:line="276" w:lineRule="auto"/>
            </w:pPr>
            <w:r w:rsidRPr="005C2A34">
              <w:t>Schemes for the Implementation of persons with disabilities Act</w:t>
            </w:r>
          </w:p>
        </w:tc>
        <w:tc>
          <w:tcPr>
            <w:tcW w:w="1350" w:type="dxa"/>
            <w:vAlign w:val="bottom"/>
          </w:tcPr>
          <w:p w:rsidR="00F70A5E" w:rsidRPr="005C2A34" w:rsidRDefault="00D570C1" w:rsidP="009530F3">
            <w:pPr>
              <w:spacing w:line="276" w:lineRule="auto"/>
              <w:jc w:val="center"/>
            </w:pPr>
            <w:r w:rsidRPr="005C2A34">
              <w:t>16.1</w:t>
            </w:r>
          </w:p>
        </w:tc>
        <w:tc>
          <w:tcPr>
            <w:tcW w:w="1440" w:type="dxa"/>
            <w:vAlign w:val="bottom"/>
          </w:tcPr>
          <w:p w:rsidR="00F70A5E" w:rsidRPr="005C2A34" w:rsidRDefault="00D570C1" w:rsidP="009530F3">
            <w:pPr>
              <w:spacing w:line="276" w:lineRule="auto"/>
              <w:jc w:val="center"/>
            </w:pPr>
            <w:r w:rsidRPr="005C2A34">
              <w:t>193.0</w:t>
            </w:r>
          </w:p>
        </w:tc>
        <w:tc>
          <w:tcPr>
            <w:tcW w:w="1440" w:type="dxa"/>
            <w:vAlign w:val="bottom"/>
          </w:tcPr>
          <w:p w:rsidR="00F70A5E" w:rsidRPr="005C2A34" w:rsidRDefault="00D570C1" w:rsidP="009530F3">
            <w:pPr>
              <w:spacing w:line="276" w:lineRule="auto"/>
              <w:jc w:val="center"/>
            </w:pPr>
            <w:r w:rsidRPr="005C2A34">
              <w:t>207.0</w:t>
            </w:r>
          </w:p>
        </w:tc>
      </w:tr>
      <w:tr w:rsidR="002B05C2" w:rsidRPr="005C2A34" w:rsidTr="009530F3">
        <w:tc>
          <w:tcPr>
            <w:tcW w:w="4968" w:type="dxa"/>
            <w:vAlign w:val="bottom"/>
          </w:tcPr>
          <w:p w:rsidR="002B05C2" w:rsidRPr="005C2A34" w:rsidRDefault="002B05C2" w:rsidP="009530F3">
            <w:pPr>
              <w:spacing w:line="276" w:lineRule="auto"/>
            </w:pPr>
            <w:r w:rsidRPr="005C2A34">
              <w:t>Secretariat</w:t>
            </w:r>
          </w:p>
        </w:tc>
        <w:tc>
          <w:tcPr>
            <w:tcW w:w="1350" w:type="dxa"/>
            <w:vAlign w:val="bottom"/>
          </w:tcPr>
          <w:p w:rsidR="002B05C2" w:rsidRPr="005C2A34" w:rsidRDefault="00D570C1" w:rsidP="009530F3">
            <w:pPr>
              <w:spacing w:line="276" w:lineRule="auto"/>
              <w:jc w:val="center"/>
            </w:pPr>
            <w:r w:rsidRPr="005C2A34">
              <w:t>14.9</w:t>
            </w:r>
          </w:p>
        </w:tc>
        <w:tc>
          <w:tcPr>
            <w:tcW w:w="1440" w:type="dxa"/>
            <w:vAlign w:val="bottom"/>
          </w:tcPr>
          <w:p w:rsidR="002B05C2" w:rsidRPr="005C2A34" w:rsidRDefault="00D570C1" w:rsidP="009530F3">
            <w:pPr>
              <w:spacing w:line="276" w:lineRule="auto"/>
              <w:jc w:val="center"/>
            </w:pPr>
            <w:r w:rsidRPr="005C2A34">
              <w:t>17.8</w:t>
            </w:r>
          </w:p>
        </w:tc>
        <w:tc>
          <w:tcPr>
            <w:tcW w:w="1440" w:type="dxa"/>
            <w:vAlign w:val="bottom"/>
          </w:tcPr>
          <w:p w:rsidR="002B05C2" w:rsidRPr="005C2A34" w:rsidRDefault="00D570C1" w:rsidP="009530F3">
            <w:pPr>
              <w:spacing w:line="276" w:lineRule="auto"/>
              <w:jc w:val="center"/>
            </w:pPr>
            <w:r w:rsidRPr="005C2A34">
              <w:t>19.7</w:t>
            </w:r>
          </w:p>
        </w:tc>
      </w:tr>
      <w:tr w:rsidR="00F70A5E" w:rsidRPr="005C2A34" w:rsidTr="009530F3">
        <w:tc>
          <w:tcPr>
            <w:tcW w:w="4968" w:type="dxa"/>
            <w:vAlign w:val="bottom"/>
          </w:tcPr>
          <w:p w:rsidR="00F70A5E" w:rsidRPr="005C2A34" w:rsidRDefault="00F70A5E" w:rsidP="009530F3">
            <w:pPr>
              <w:spacing w:line="276" w:lineRule="auto"/>
            </w:pPr>
            <w:r w:rsidRPr="005C2A34">
              <w:lastRenderedPageBreak/>
              <w:t>Total</w:t>
            </w:r>
          </w:p>
        </w:tc>
        <w:tc>
          <w:tcPr>
            <w:tcW w:w="1350" w:type="dxa"/>
            <w:vAlign w:val="bottom"/>
          </w:tcPr>
          <w:p w:rsidR="00F70A5E" w:rsidRPr="005C2A34" w:rsidRDefault="00D570C1" w:rsidP="009530F3">
            <w:pPr>
              <w:spacing w:line="276" w:lineRule="auto"/>
              <w:jc w:val="center"/>
            </w:pPr>
            <w:r w:rsidRPr="005C2A34">
              <w:t>554.9</w:t>
            </w:r>
          </w:p>
        </w:tc>
        <w:tc>
          <w:tcPr>
            <w:tcW w:w="1440" w:type="dxa"/>
            <w:vAlign w:val="bottom"/>
          </w:tcPr>
          <w:p w:rsidR="00F70A5E" w:rsidRPr="005C2A34" w:rsidRDefault="00D570C1" w:rsidP="009530F3">
            <w:pPr>
              <w:spacing w:line="276" w:lineRule="auto"/>
              <w:jc w:val="center"/>
            </w:pPr>
            <w:r w:rsidRPr="005C2A34">
              <w:t>783.5</w:t>
            </w:r>
          </w:p>
        </w:tc>
        <w:tc>
          <w:tcPr>
            <w:tcW w:w="1440" w:type="dxa"/>
            <w:vAlign w:val="bottom"/>
          </w:tcPr>
          <w:p w:rsidR="00F70A5E" w:rsidRPr="005C2A34" w:rsidRDefault="00D570C1" w:rsidP="009530F3">
            <w:pPr>
              <w:spacing w:line="276" w:lineRule="auto"/>
              <w:jc w:val="center"/>
            </w:pPr>
            <w:r w:rsidRPr="005C2A34">
              <w:t>855.0</w:t>
            </w:r>
          </w:p>
        </w:tc>
      </w:tr>
    </w:tbl>
    <w:p w:rsidR="00F70A5E" w:rsidRPr="005C2A34" w:rsidRDefault="00F70A5E" w:rsidP="005E68AE">
      <w:pPr>
        <w:spacing w:after="0"/>
        <w:jc w:val="both"/>
        <w:rPr>
          <w:sz w:val="18"/>
          <w:szCs w:val="18"/>
        </w:rPr>
      </w:pPr>
      <w:r w:rsidRPr="001262FB">
        <w:rPr>
          <w:i/>
          <w:iCs/>
          <w:sz w:val="18"/>
          <w:szCs w:val="18"/>
        </w:rPr>
        <w:t>Source</w:t>
      </w:r>
      <w:r w:rsidRPr="005C2A34">
        <w:rPr>
          <w:sz w:val="18"/>
          <w:szCs w:val="18"/>
        </w:rPr>
        <w:t xml:space="preserve">: </w:t>
      </w:r>
      <w:r w:rsidR="00D570C1" w:rsidRPr="005C2A34">
        <w:rPr>
          <w:sz w:val="18"/>
          <w:szCs w:val="18"/>
        </w:rPr>
        <w:t>Compiled by CBGA from Union Budget</w:t>
      </w:r>
      <w:r w:rsidR="0029171A">
        <w:rPr>
          <w:sz w:val="18"/>
          <w:szCs w:val="18"/>
        </w:rPr>
        <w:t xml:space="preserve"> 2017-18</w:t>
      </w:r>
      <w:r w:rsidR="007C1B74">
        <w:rPr>
          <w:sz w:val="18"/>
          <w:szCs w:val="18"/>
        </w:rPr>
        <w:t>.</w:t>
      </w:r>
      <w:r w:rsidR="0029171A">
        <w:rPr>
          <w:sz w:val="18"/>
          <w:szCs w:val="18"/>
        </w:rPr>
        <w:t xml:space="preserve"> </w:t>
      </w:r>
    </w:p>
    <w:p w:rsidR="005E68AE" w:rsidRPr="005C2A34" w:rsidRDefault="005E68AE" w:rsidP="00D570C1">
      <w:pPr>
        <w:spacing w:after="0"/>
        <w:jc w:val="center"/>
      </w:pPr>
    </w:p>
    <w:p w:rsidR="00F70A5E" w:rsidRPr="005C2A34" w:rsidRDefault="002B05C2" w:rsidP="00D570C1">
      <w:pPr>
        <w:spacing w:after="0"/>
        <w:jc w:val="center"/>
        <w:rPr>
          <w:b/>
          <w:bCs/>
        </w:rPr>
      </w:pPr>
      <w:r w:rsidRPr="005C2A34">
        <w:rPr>
          <w:b/>
          <w:bCs/>
        </w:rPr>
        <w:t xml:space="preserve">Figure </w:t>
      </w:r>
      <w:r w:rsidR="00684285" w:rsidRPr="005C2A34">
        <w:rPr>
          <w:b/>
          <w:bCs/>
        </w:rPr>
        <w:t>18.</w:t>
      </w:r>
      <w:r w:rsidRPr="005C2A34">
        <w:rPr>
          <w:b/>
          <w:bCs/>
        </w:rPr>
        <w:t xml:space="preserve">1: National </w:t>
      </w:r>
      <w:proofErr w:type="spellStart"/>
      <w:r w:rsidRPr="005C2A34">
        <w:rPr>
          <w:b/>
          <w:bCs/>
        </w:rPr>
        <w:t>Programme</w:t>
      </w:r>
      <w:proofErr w:type="spellEnd"/>
      <w:r w:rsidRPr="005C2A34">
        <w:rPr>
          <w:b/>
          <w:bCs/>
        </w:rPr>
        <w:t xml:space="preserve"> for the Welfare of </w:t>
      </w:r>
      <w:r w:rsidR="00D570C1" w:rsidRPr="005C2A34">
        <w:rPr>
          <w:b/>
          <w:bCs/>
        </w:rPr>
        <w:t>P</w:t>
      </w:r>
      <w:r w:rsidRPr="005C2A34">
        <w:rPr>
          <w:b/>
          <w:bCs/>
        </w:rPr>
        <w:t xml:space="preserve">ersons with </w:t>
      </w:r>
      <w:r w:rsidR="00D570C1" w:rsidRPr="005C2A34">
        <w:rPr>
          <w:b/>
          <w:bCs/>
        </w:rPr>
        <w:t>D</w:t>
      </w:r>
      <w:r w:rsidRPr="005C2A34">
        <w:rPr>
          <w:b/>
          <w:bCs/>
        </w:rPr>
        <w:t>isabilit</w:t>
      </w:r>
      <w:r w:rsidR="00A53340">
        <w:rPr>
          <w:b/>
          <w:bCs/>
        </w:rPr>
        <w:t>ies</w:t>
      </w:r>
      <w:r w:rsidR="00D570C1" w:rsidRPr="005C2A34">
        <w:rPr>
          <w:b/>
          <w:bCs/>
        </w:rPr>
        <w:t xml:space="preserve"> (</w:t>
      </w:r>
      <w:proofErr w:type="spellStart"/>
      <w:r w:rsidR="00D570C1" w:rsidRPr="005C2A34">
        <w:rPr>
          <w:b/>
          <w:bCs/>
        </w:rPr>
        <w:t>Rs</w:t>
      </w:r>
      <w:proofErr w:type="spellEnd"/>
      <w:r w:rsidR="00D570C1" w:rsidRPr="005C2A34">
        <w:rPr>
          <w:b/>
          <w:bCs/>
        </w:rPr>
        <w:t>. crore)</w:t>
      </w:r>
    </w:p>
    <w:p w:rsidR="002B05C2" w:rsidRPr="005C2A34" w:rsidRDefault="002B05C2" w:rsidP="00D869F1">
      <w:pPr>
        <w:spacing w:after="0"/>
        <w:jc w:val="both"/>
      </w:pPr>
    </w:p>
    <w:p w:rsidR="0080693C" w:rsidRPr="005C2A34" w:rsidRDefault="002A33DE" w:rsidP="00D869F1">
      <w:pPr>
        <w:spacing w:after="0"/>
        <w:jc w:val="both"/>
      </w:pPr>
      <w:r w:rsidRPr="005C2A34">
        <w:rPr>
          <w:noProof/>
          <w:lang w:bidi="hi-IN"/>
        </w:rPr>
        <w:drawing>
          <wp:inline distT="0" distB="0" distL="0" distR="0" wp14:anchorId="52224636" wp14:editId="07EC6D8C">
            <wp:extent cx="5732890" cy="3260034"/>
            <wp:effectExtent l="0" t="0" r="2032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3A68" w:rsidRPr="005C2A34" w:rsidRDefault="005B3A68" w:rsidP="005B3A68">
      <w:pPr>
        <w:spacing w:after="0"/>
        <w:jc w:val="both"/>
        <w:rPr>
          <w:sz w:val="18"/>
          <w:szCs w:val="18"/>
        </w:rPr>
      </w:pPr>
      <w:r w:rsidRPr="001262FB">
        <w:rPr>
          <w:i/>
          <w:iCs/>
          <w:sz w:val="18"/>
          <w:szCs w:val="18"/>
        </w:rPr>
        <w:t>Source</w:t>
      </w:r>
      <w:r w:rsidRPr="005C2A34">
        <w:rPr>
          <w:sz w:val="18"/>
          <w:szCs w:val="18"/>
        </w:rPr>
        <w:t>: Compiled by CBGA from Union Budget</w:t>
      </w:r>
      <w:r>
        <w:rPr>
          <w:sz w:val="18"/>
          <w:szCs w:val="18"/>
        </w:rPr>
        <w:t xml:space="preserve"> 2017-18. </w:t>
      </w:r>
    </w:p>
    <w:p w:rsidR="005B3A68" w:rsidRDefault="005B3A68" w:rsidP="000569FF">
      <w:pPr>
        <w:spacing w:after="0"/>
        <w:jc w:val="center"/>
        <w:rPr>
          <w:b/>
          <w:bCs/>
        </w:rPr>
      </w:pPr>
    </w:p>
    <w:p w:rsidR="00356AD9" w:rsidRPr="005C2A34" w:rsidRDefault="0080693C" w:rsidP="000569FF">
      <w:pPr>
        <w:spacing w:after="0"/>
        <w:jc w:val="center"/>
        <w:rPr>
          <w:b/>
          <w:bCs/>
        </w:rPr>
      </w:pPr>
      <w:r w:rsidRPr="005C2A34">
        <w:rPr>
          <w:b/>
          <w:bCs/>
          <w:noProof/>
          <w:lang w:bidi="hi-IN"/>
        </w:rPr>
        <mc:AlternateContent>
          <mc:Choice Requires="wps">
            <w:drawing>
              <wp:anchor distT="0" distB="0" distL="114300" distR="114300" simplePos="0" relativeHeight="251660288" behindDoc="0" locked="0" layoutInCell="1" allowOverlap="1" wp14:anchorId="143344DE" wp14:editId="0DE5A42F">
                <wp:simplePos x="0" y="0"/>
                <wp:positionH relativeFrom="column">
                  <wp:posOffset>7010400</wp:posOffset>
                </wp:positionH>
                <wp:positionV relativeFrom="paragraph">
                  <wp:posOffset>525780</wp:posOffset>
                </wp:positionV>
                <wp:extent cx="1323975" cy="960120"/>
                <wp:effectExtent l="0" t="0" r="2857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1323975" cy="960120"/>
                        </a:xfrm>
                        <a:prstGeom prst="rect">
                          <a:avLst/>
                        </a:prstGeom>
                        <a:solidFill>
                          <a:srgbClr val="FFFFFF"/>
                        </a:solidFill>
                        <a:ln w="9525">
                          <a:solidFill>
                            <a:srgbClr val="000000"/>
                          </a:solidFill>
                          <a:miter lim="800000"/>
                          <a:headEnd/>
                          <a:tailEnd/>
                        </a:ln>
                      </wps:spPr>
                      <wps:txbx>
                        <w:txbxContent>
                          <w:p w:rsidR="00356AD9" w:rsidRDefault="00356AD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552pt;margin-top:41.4pt;width:104.25pt;height:75.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">
                <v:textbox>
                  <w:txbxContent>
                    <w:p w:rsidR="00356AD9" w:rsidRDefault="00356AD9"/>
                  </w:txbxContent>
                </v:textbox>
              </v:shape>
            </w:pict>
          </mc:Fallback>
        </mc:AlternateContent>
      </w:r>
      <w:r w:rsidR="00356AD9" w:rsidRPr="005C2A34">
        <w:rPr>
          <w:b/>
          <w:bCs/>
        </w:rPr>
        <w:t xml:space="preserve">Figure </w:t>
      </w:r>
      <w:r w:rsidR="002A33DE" w:rsidRPr="005C2A34">
        <w:rPr>
          <w:b/>
          <w:bCs/>
        </w:rPr>
        <w:t>18.</w:t>
      </w:r>
      <w:r w:rsidR="00356AD9" w:rsidRPr="005C2A34">
        <w:rPr>
          <w:b/>
          <w:bCs/>
        </w:rPr>
        <w:t xml:space="preserve">2: </w:t>
      </w:r>
      <w:r w:rsidR="00D570C1" w:rsidRPr="005C2A34">
        <w:rPr>
          <w:b/>
          <w:bCs/>
        </w:rPr>
        <w:t xml:space="preserve">Allocation for Autonomous Bodies </w:t>
      </w:r>
      <w:r w:rsidR="000569FF" w:rsidRPr="005C2A34">
        <w:rPr>
          <w:b/>
          <w:bCs/>
        </w:rPr>
        <w:t xml:space="preserve">under Department of Empowerment of Persons with Disabilities </w:t>
      </w:r>
      <w:r w:rsidR="00D570C1" w:rsidRPr="005C2A34">
        <w:rPr>
          <w:b/>
          <w:bCs/>
        </w:rPr>
        <w:t>(</w:t>
      </w:r>
      <w:proofErr w:type="spellStart"/>
      <w:r w:rsidR="00D570C1" w:rsidRPr="005C2A34">
        <w:rPr>
          <w:b/>
          <w:bCs/>
        </w:rPr>
        <w:t>Rs</w:t>
      </w:r>
      <w:proofErr w:type="spellEnd"/>
      <w:r w:rsidR="00D570C1" w:rsidRPr="005C2A34">
        <w:rPr>
          <w:b/>
          <w:bCs/>
        </w:rPr>
        <w:t>. crore)</w:t>
      </w:r>
    </w:p>
    <w:p w:rsidR="00356AD9" w:rsidRPr="005C2A34" w:rsidRDefault="005F1CE2" w:rsidP="00D869F1">
      <w:pPr>
        <w:spacing w:after="0"/>
        <w:jc w:val="both"/>
      </w:pPr>
      <w:r w:rsidRPr="005C2A34">
        <w:rPr>
          <w:noProof/>
          <w:lang w:bidi="hi-IN"/>
        </w:rPr>
        <mc:AlternateContent>
          <mc:Choice Requires="wps">
            <w:drawing>
              <wp:anchor distT="0" distB="0" distL="114300" distR="114300" simplePos="0" relativeHeight="251662336" behindDoc="0" locked="0" layoutInCell="1" allowOverlap="1" wp14:anchorId="3DD86701" wp14:editId="31F47997">
                <wp:simplePos x="0" y="0"/>
                <wp:positionH relativeFrom="column">
                  <wp:posOffset>7172324</wp:posOffset>
                </wp:positionH>
                <wp:positionV relativeFrom="paragraph">
                  <wp:posOffset>584835</wp:posOffset>
                </wp:positionV>
                <wp:extent cx="2162175" cy="242570"/>
                <wp:effectExtent l="0" t="0" r="28575" b="241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42570"/>
                        </a:xfrm>
                        <a:prstGeom prst="rect">
                          <a:avLst/>
                        </a:prstGeom>
                        <a:solidFill>
                          <a:srgbClr val="FFFFFF"/>
                        </a:solidFill>
                        <a:ln w="9525">
                          <a:solidFill>
                            <a:srgbClr val="000000"/>
                          </a:solidFill>
                          <a:miter lim="800000"/>
                          <a:headEnd/>
                          <a:tailEnd/>
                        </a:ln>
                      </wps:spPr>
                      <wps:txbx>
                        <w:txbxContent>
                          <w:p w:rsidR="00F87635" w:rsidRDefault="00F876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564.75pt;margin-top:46.05pt;width:170.25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">
                <v:textbox>
                  <w:txbxContent>
                    <w:p w:rsidR="00F87635" w:rsidRDefault="00F87635"/>
                  </w:txbxContent>
                </v:textbox>
              </v:shape>
            </w:pict>
          </mc:Fallback>
        </mc:AlternateContent>
      </w:r>
      <w:r w:rsidR="002A33DE" w:rsidRPr="005C2A34">
        <w:rPr>
          <w:noProof/>
        </w:rPr>
        <w:t xml:space="preserve"> </w:t>
      </w:r>
      <w:r w:rsidR="002A33DE" w:rsidRPr="005C2A34">
        <w:rPr>
          <w:noProof/>
          <w:lang w:bidi="hi-IN"/>
        </w:rPr>
        <w:drawing>
          <wp:inline distT="0" distB="0" distL="0" distR="0" wp14:anchorId="0AE962BC" wp14:editId="367D87B6">
            <wp:extent cx="5819775" cy="236220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3A68" w:rsidRPr="005C2A34" w:rsidRDefault="005B3A68" w:rsidP="005B3A68">
      <w:pPr>
        <w:spacing w:after="0"/>
        <w:jc w:val="both"/>
        <w:rPr>
          <w:sz w:val="18"/>
          <w:szCs w:val="18"/>
        </w:rPr>
      </w:pPr>
      <w:r w:rsidRPr="001262FB">
        <w:rPr>
          <w:i/>
          <w:iCs/>
          <w:sz w:val="18"/>
          <w:szCs w:val="18"/>
        </w:rPr>
        <w:t>Source</w:t>
      </w:r>
      <w:r w:rsidRPr="005C2A34">
        <w:rPr>
          <w:sz w:val="18"/>
          <w:szCs w:val="18"/>
        </w:rPr>
        <w:t>: Compiled by CBGA from Union Budget</w:t>
      </w:r>
      <w:r>
        <w:rPr>
          <w:sz w:val="18"/>
          <w:szCs w:val="18"/>
        </w:rPr>
        <w:t xml:space="preserve"> 2017-18. </w:t>
      </w:r>
    </w:p>
    <w:p w:rsidR="0020680E" w:rsidRPr="005C2A34" w:rsidRDefault="0020680E" w:rsidP="00D869F1">
      <w:pPr>
        <w:spacing w:after="0"/>
        <w:jc w:val="both"/>
        <w:rPr>
          <w:b/>
          <w:bCs/>
        </w:rPr>
      </w:pPr>
    </w:p>
    <w:p w:rsidR="006B38A6" w:rsidRPr="005C2A34" w:rsidRDefault="0020680E" w:rsidP="00D869F1">
      <w:pPr>
        <w:spacing w:after="0"/>
        <w:jc w:val="both"/>
        <w:rPr>
          <w:b/>
          <w:bCs/>
        </w:rPr>
      </w:pPr>
      <w:r w:rsidRPr="005C2A34">
        <w:rPr>
          <w:b/>
          <w:bCs/>
        </w:rPr>
        <w:t xml:space="preserve">Interventions </w:t>
      </w:r>
      <w:r w:rsidR="00494234" w:rsidRPr="005C2A34">
        <w:rPr>
          <w:b/>
          <w:bCs/>
        </w:rPr>
        <w:t>of</w:t>
      </w:r>
      <w:r w:rsidRPr="005C2A34">
        <w:rPr>
          <w:b/>
          <w:bCs/>
        </w:rPr>
        <w:t xml:space="preserve"> </w:t>
      </w:r>
      <w:r w:rsidR="006B38A6" w:rsidRPr="005C2A34">
        <w:rPr>
          <w:b/>
          <w:bCs/>
        </w:rPr>
        <w:t>Ministry of Human Resource Development</w:t>
      </w:r>
      <w:r w:rsidRPr="005C2A34">
        <w:rPr>
          <w:b/>
          <w:bCs/>
        </w:rPr>
        <w:t xml:space="preserve"> for Person with Disabilities:</w:t>
      </w:r>
    </w:p>
    <w:p w:rsidR="006B38A6" w:rsidRPr="005C2A34" w:rsidRDefault="006B38A6" w:rsidP="00D869F1">
      <w:pPr>
        <w:spacing w:after="0"/>
        <w:jc w:val="both"/>
      </w:pPr>
    </w:p>
    <w:p w:rsidR="0089694D" w:rsidRPr="005C2A34" w:rsidRDefault="00CB4CF7" w:rsidP="00D869F1">
      <w:pPr>
        <w:spacing w:after="0"/>
        <w:jc w:val="both"/>
      </w:pPr>
      <w:r w:rsidRPr="005C2A34">
        <w:t xml:space="preserve">Department of School </w:t>
      </w:r>
      <w:r w:rsidR="001262FB">
        <w:t>E</w:t>
      </w:r>
      <w:r w:rsidRPr="005C2A34">
        <w:t xml:space="preserve">ducation and </w:t>
      </w:r>
      <w:r w:rsidR="00494234" w:rsidRPr="005C2A34">
        <w:t>L</w:t>
      </w:r>
      <w:r w:rsidRPr="005C2A34">
        <w:t xml:space="preserve">iteracy includes persons with disabilities </w:t>
      </w:r>
      <w:r w:rsidR="007C491A" w:rsidRPr="005C2A34">
        <w:t>under the inclus</w:t>
      </w:r>
      <w:r w:rsidRPr="005C2A34">
        <w:t xml:space="preserve">ive </w:t>
      </w:r>
      <w:r w:rsidR="00494234" w:rsidRPr="005C2A34">
        <w:t>e</w:t>
      </w:r>
      <w:r w:rsidRPr="005C2A34">
        <w:t xml:space="preserve">ducation </w:t>
      </w:r>
      <w:r w:rsidR="00494234" w:rsidRPr="005C2A34">
        <w:t>c</w:t>
      </w:r>
      <w:r w:rsidRPr="005C2A34">
        <w:t xml:space="preserve">omponent of </w:t>
      </w:r>
      <w:proofErr w:type="spellStart"/>
      <w:r w:rsidRPr="005C2A34">
        <w:rPr>
          <w:i/>
          <w:iCs/>
        </w:rPr>
        <w:t>Sarva</w:t>
      </w:r>
      <w:proofErr w:type="spellEnd"/>
      <w:r w:rsidRPr="005C2A34">
        <w:rPr>
          <w:i/>
          <w:iCs/>
        </w:rPr>
        <w:t xml:space="preserve"> </w:t>
      </w:r>
      <w:proofErr w:type="spellStart"/>
      <w:r w:rsidRPr="005C2A34">
        <w:rPr>
          <w:i/>
          <w:iCs/>
        </w:rPr>
        <w:t>Shiksha</w:t>
      </w:r>
      <w:proofErr w:type="spellEnd"/>
      <w:r w:rsidRPr="005C2A34">
        <w:rPr>
          <w:i/>
          <w:iCs/>
        </w:rPr>
        <w:t xml:space="preserve"> </w:t>
      </w:r>
      <w:proofErr w:type="spellStart"/>
      <w:r w:rsidRPr="005C2A34">
        <w:rPr>
          <w:i/>
          <w:iCs/>
        </w:rPr>
        <w:t>Abhiyan</w:t>
      </w:r>
      <w:proofErr w:type="spellEnd"/>
      <w:r w:rsidRPr="005C2A34">
        <w:t xml:space="preserve"> (SSA) and </w:t>
      </w:r>
      <w:r w:rsidR="00494234" w:rsidRPr="005C2A34">
        <w:t>‘</w:t>
      </w:r>
      <w:r w:rsidRPr="005C2A34">
        <w:t xml:space="preserve">Inclusive Education for the Disabled at </w:t>
      </w:r>
      <w:r w:rsidRPr="005C2A34">
        <w:lastRenderedPageBreak/>
        <w:t>the Secondary Stage</w:t>
      </w:r>
      <w:r w:rsidR="00494234" w:rsidRPr="005C2A34">
        <w:t>’ (IEDSS) under</w:t>
      </w:r>
      <w:r w:rsidRPr="005C2A34">
        <w:t xml:space="preserve"> </w:t>
      </w:r>
      <w:proofErr w:type="spellStart"/>
      <w:r w:rsidRPr="005C2A34">
        <w:rPr>
          <w:i/>
          <w:iCs/>
        </w:rPr>
        <w:t>Rashtriya</w:t>
      </w:r>
      <w:proofErr w:type="spellEnd"/>
      <w:r w:rsidRPr="005C2A34">
        <w:rPr>
          <w:i/>
          <w:iCs/>
        </w:rPr>
        <w:t xml:space="preserve"> </w:t>
      </w:r>
      <w:proofErr w:type="spellStart"/>
      <w:r w:rsidRPr="005C2A34">
        <w:rPr>
          <w:i/>
          <w:iCs/>
        </w:rPr>
        <w:t>Madhyamik</w:t>
      </w:r>
      <w:proofErr w:type="spellEnd"/>
      <w:r w:rsidRPr="005C2A34">
        <w:rPr>
          <w:i/>
          <w:iCs/>
        </w:rPr>
        <w:t xml:space="preserve"> </w:t>
      </w:r>
      <w:proofErr w:type="spellStart"/>
      <w:r w:rsidRPr="005C2A34">
        <w:rPr>
          <w:i/>
          <w:iCs/>
        </w:rPr>
        <w:t>Shiksha</w:t>
      </w:r>
      <w:proofErr w:type="spellEnd"/>
      <w:r w:rsidRPr="005C2A34">
        <w:rPr>
          <w:i/>
          <w:iCs/>
        </w:rPr>
        <w:t xml:space="preserve"> </w:t>
      </w:r>
      <w:proofErr w:type="spellStart"/>
      <w:r w:rsidRPr="005C2A34">
        <w:rPr>
          <w:i/>
          <w:iCs/>
        </w:rPr>
        <w:t>Abhiyan</w:t>
      </w:r>
      <w:proofErr w:type="spellEnd"/>
      <w:r w:rsidRPr="005C2A34">
        <w:t xml:space="preserve">.  </w:t>
      </w:r>
      <w:r w:rsidR="0089694D" w:rsidRPr="005C2A34">
        <w:t xml:space="preserve">Disaggregated data on the allocation to these </w:t>
      </w:r>
      <w:proofErr w:type="spellStart"/>
      <w:r w:rsidR="0089694D" w:rsidRPr="005C2A34">
        <w:t>programmes</w:t>
      </w:r>
      <w:proofErr w:type="spellEnd"/>
      <w:r w:rsidR="0089694D" w:rsidRPr="005C2A34">
        <w:t xml:space="preserve"> are not available in public domain. However, the study report on “How inclusive is our education towards persons with disability?” prepared by Equals, Centre for Promotion of Social Justice reveals the following:</w:t>
      </w:r>
    </w:p>
    <w:p w:rsidR="00BB059D" w:rsidRPr="005C2A34" w:rsidRDefault="00BB059D" w:rsidP="00D869F1">
      <w:pPr>
        <w:spacing w:after="0"/>
        <w:jc w:val="both"/>
      </w:pPr>
    </w:p>
    <w:p w:rsidR="00BB059D" w:rsidRPr="005C2A34" w:rsidRDefault="00BB059D" w:rsidP="00BB059D">
      <w:pPr>
        <w:spacing w:after="0"/>
        <w:jc w:val="center"/>
        <w:rPr>
          <w:b/>
          <w:bCs/>
        </w:rPr>
      </w:pPr>
      <w:r w:rsidRPr="005C2A34">
        <w:rPr>
          <w:b/>
          <w:bCs/>
        </w:rPr>
        <w:t>Table 18.2: Allocation for Inclusive Education under SSA</w:t>
      </w:r>
    </w:p>
    <w:tbl>
      <w:tblPr>
        <w:tblStyle w:val="TableGrid"/>
        <w:tblW w:w="0" w:type="auto"/>
        <w:tblInd w:w="360" w:type="dxa"/>
        <w:tblLook w:val="04A0" w:firstRow="1" w:lastRow="0" w:firstColumn="1" w:lastColumn="0" w:noHBand="0" w:noVBand="1"/>
      </w:tblPr>
      <w:tblGrid>
        <w:gridCol w:w="2194"/>
        <w:gridCol w:w="2223"/>
        <w:gridCol w:w="2223"/>
        <w:gridCol w:w="2242"/>
      </w:tblGrid>
      <w:tr w:rsidR="0089694D" w:rsidRPr="005C2A34" w:rsidTr="008166A1">
        <w:tc>
          <w:tcPr>
            <w:tcW w:w="2194" w:type="dxa"/>
          </w:tcPr>
          <w:p w:rsidR="0089694D" w:rsidRPr="005C2A34" w:rsidRDefault="0089694D" w:rsidP="00D869F1">
            <w:pPr>
              <w:spacing w:line="276" w:lineRule="auto"/>
              <w:jc w:val="both"/>
            </w:pPr>
            <w:r w:rsidRPr="005C2A34">
              <w:t>Year</w:t>
            </w:r>
          </w:p>
        </w:tc>
        <w:tc>
          <w:tcPr>
            <w:tcW w:w="2223" w:type="dxa"/>
          </w:tcPr>
          <w:p w:rsidR="0089694D" w:rsidRPr="005C2A34" w:rsidRDefault="0089694D" w:rsidP="00494234">
            <w:pPr>
              <w:spacing w:line="276" w:lineRule="auto"/>
              <w:jc w:val="both"/>
            </w:pPr>
            <w:r w:rsidRPr="005C2A34">
              <w:t>Allocation to Inclusive Education (</w:t>
            </w:r>
            <w:proofErr w:type="spellStart"/>
            <w:r w:rsidRPr="005C2A34">
              <w:t>Rs</w:t>
            </w:r>
            <w:proofErr w:type="spellEnd"/>
            <w:r w:rsidRPr="005C2A34">
              <w:t>. crore)</w:t>
            </w:r>
          </w:p>
        </w:tc>
        <w:tc>
          <w:tcPr>
            <w:tcW w:w="2223" w:type="dxa"/>
          </w:tcPr>
          <w:p w:rsidR="0089694D" w:rsidRPr="005C2A34" w:rsidRDefault="0089694D" w:rsidP="00D869F1">
            <w:pPr>
              <w:spacing w:line="276" w:lineRule="auto"/>
              <w:jc w:val="both"/>
            </w:pPr>
            <w:r w:rsidRPr="005C2A34">
              <w:t>Allocation to SSA</w:t>
            </w:r>
          </w:p>
          <w:p w:rsidR="0089694D" w:rsidRPr="005C2A34" w:rsidRDefault="0089694D" w:rsidP="00494234">
            <w:pPr>
              <w:spacing w:line="276" w:lineRule="auto"/>
              <w:jc w:val="both"/>
            </w:pPr>
            <w:r w:rsidRPr="005C2A34">
              <w:t>(</w:t>
            </w:r>
            <w:proofErr w:type="spellStart"/>
            <w:r w:rsidRPr="005C2A34">
              <w:t>Rs</w:t>
            </w:r>
            <w:proofErr w:type="spellEnd"/>
            <w:r w:rsidRPr="005C2A34">
              <w:t xml:space="preserve">. </w:t>
            </w:r>
            <w:r w:rsidR="00494234" w:rsidRPr="005C2A34">
              <w:t>c</w:t>
            </w:r>
            <w:r w:rsidRPr="005C2A34">
              <w:t>rore)</w:t>
            </w:r>
          </w:p>
        </w:tc>
        <w:tc>
          <w:tcPr>
            <w:tcW w:w="2242" w:type="dxa"/>
          </w:tcPr>
          <w:p w:rsidR="0089694D" w:rsidRPr="005C2A34" w:rsidRDefault="0089694D" w:rsidP="00D869F1">
            <w:pPr>
              <w:spacing w:line="276" w:lineRule="auto"/>
              <w:jc w:val="both"/>
            </w:pPr>
            <w:r w:rsidRPr="005C2A34">
              <w:t>Increment</w:t>
            </w:r>
          </w:p>
          <w:p w:rsidR="0089694D" w:rsidRPr="005C2A34" w:rsidRDefault="0089694D" w:rsidP="00D869F1">
            <w:pPr>
              <w:spacing w:line="276" w:lineRule="auto"/>
              <w:jc w:val="both"/>
            </w:pPr>
            <w:r w:rsidRPr="005C2A34">
              <w:t>(percentage)</w:t>
            </w:r>
          </w:p>
        </w:tc>
      </w:tr>
      <w:tr w:rsidR="0089694D" w:rsidRPr="005C2A34" w:rsidTr="008166A1">
        <w:tc>
          <w:tcPr>
            <w:tcW w:w="2194" w:type="dxa"/>
          </w:tcPr>
          <w:p w:rsidR="0089694D" w:rsidRPr="005C2A34" w:rsidRDefault="0089694D" w:rsidP="009325C4">
            <w:pPr>
              <w:spacing w:line="276" w:lineRule="auto"/>
              <w:jc w:val="center"/>
            </w:pPr>
            <w:r w:rsidRPr="005C2A34">
              <w:t>2013-14</w:t>
            </w:r>
          </w:p>
        </w:tc>
        <w:tc>
          <w:tcPr>
            <w:tcW w:w="2223" w:type="dxa"/>
          </w:tcPr>
          <w:p w:rsidR="0089694D" w:rsidRPr="005C2A34" w:rsidRDefault="00BB059D" w:rsidP="009325C4">
            <w:pPr>
              <w:spacing w:line="276" w:lineRule="auto"/>
              <w:jc w:val="center"/>
            </w:pPr>
            <w:r w:rsidRPr="005C2A34">
              <w:t>450.</w:t>
            </w:r>
            <w:r w:rsidR="0089694D" w:rsidRPr="005C2A34">
              <w:t>9</w:t>
            </w:r>
          </w:p>
        </w:tc>
        <w:tc>
          <w:tcPr>
            <w:tcW w:w="2223" w:type="dxa"/>
          </w:tcPr>
          <w:p w:rsidR="0089694D" w:rsidRPr="005C2A34" w:rsidRDefault="00BB059D" w:rsidP="009325C4">
            <w:pPr>
              <w:spacing w:line="276" w:lineRule="auto"/>
              <w:jc w:val="center"/>
            </w:pPr>
            <w:r w:rsidRPr="005C2A34">
              <w:t>24801.9</w:t>
            </w:r>
          </w:p>
        </w:tc>
        <w:tc>
          <w:tcPr>
            <w:tcW w:w="2242" w:type="dxa"/>
          </w:tcPr>
          <w:p w:rsidR="0089694D" w:rsidRPr="005C2A34" w:rsidRDefault="0089694D" w:rsidP="009325C4">
            <w:pPr>
              <w:spacing w:line="276" w:lineRule="auto"/>
              <w:jc w:val="center"/>
            </w:pPr>
          </w:p>
        </w:tc>
      </w:tr>
      <w:tr w:rsidR="0089694D" w:rsidRPr="005C2A34" w:rsidTr="008166A1">
        <w:tc>
          <w:tcPr>
            <w:tcW w:w="2194" w:type="dxa"/>
          </w:tcPr>
          <w:p w:rsidR="0089694D" w:rsidRPr="005C2A34" w:rsidRDefault="0089694D" w:rsidP="009325C4">
            <w:pPr>
              <w:spacing w:line="276" w:lineRule="auto"/>
              <w:jc w:val="center"/>
            </w:pPr>
            <w:r w:rsidRPr="005C2A34">
              <w:t>2014-15</w:t>
            </w:r>
          </w:p>
        </w:tc>
        <w:tc>
          <w:tcPr>
            <w:tcW w:w="2223" w:type="dxa"/>
          </w:tcPr>
          <w:p w:rsidR="0089694D" w:rsidRPr="005C2A34" w:rsidRDefault="00BB059D" w:rsidP="009325C4">
            <w:pPr>
              <w:spacing w:line="276" w:lineRule="auto"/>
              <w:jc w:val="center"/>
            </w:pPr>
            <w:r w:rsidRPr="005C2A34">
              <w:t>505.9</w:t>
            </w:r>
          </w:p>
        </w:tc>
        <w:tc>
          <w:tcPr>
            <w:tcW w:w="2223" w:type="dxa"/>
          </w:tcPr>
          <w:p w:rsidR="0089694D" w:rsidRPr="005C2A34" w:rsidRDefault="00BB059D" w:rsidP="009325C4">
            <w:pPr>
              <w:spacing w:line="276" w:lineRule="auto"/>
              <w:jc w:val="center"/>
            </w:pPr>
            <w:r w:rsidRPr="005C2A34">
              <w:t>24039.1</w:t>
            </w:r>
          </w:p>
        </w:tc>
        <w:tc>
          <w:tcPr>
            <w:tcW w:w="2242" w:type="dxa"/>
          </w:tcPr>
          <w:p w:rsidR="0089694D" w:rsidRPr="005C2A34" w:rsidRDefault="0089694D" w:rsidP="009325C4">
            <w:pPr>
              <w:spacing w:line="276" w:lineRule="auto"/>
              <w:jc w:val="center"/>
            </w:pPr>
            <w:r w:rsidRPr="005C2A34">
              <w:t>55.09</w:t>
            </w:r>
          </w:p>
        </w:tc>
      </w:tr>
      <w:tr w:rsidR="0089694D" w:rsidRPr="005C2A34" w:rsidTr="008166A1">
        <w:tc>
          <w:tcPr>
            <w:tcW w:w="2194" w:type="dxa"/>
          </w:tcPr>
          <w:p w:rsidR="0089694D" w:rsidRPr="005C2A34" w:rsidRDefault="0089694D" w:rsidP="009325C4">
            <w:pPr>
              <w:spacing w:line="276" w:lineRule="auto"/>
              <w:jc w:val="center"/>
            </w:pPr>
            <w:r w:rsidRPr="005C2A34">
              <w:t>2015-16</w:t>
            </w:r>
          </w:p>
        </w:tc>
        <w:tc>
          <w:tcPr>
            <w:tcW w:w="2223" w:type="dxa"/>
          </w:tcPr>
          <w:p w:rsidR="0089694D" w:rsidRPr="005C2A34" w:rsidRDefault="00BB059D" w:rsidP="009325C4">
            <w:pPr>
              <w:spacing w:line="276" w:lineRule="auto"/>
              <w:jc w:val="center"/>
            </w:pPr>
            <w:r w:rsidRPr="005C2A34">
              <w:t>547.2</w:t>
            </w:r>
          </w:p>
        </w:tc>
        <w:tc>
          <w:tcPr>
            <w:tcW w:w="2223" w:type="dxa"/>
          </w:tcPr>
          <w:p w:rsidR="0089694D" w:rsidRPr="005C2A34" w:rsidRDefault="0089694D" w:rsidP="009325C4">
            <w:pPr>
              <w:spacing w:line="276" w:lineRule="auto"/>
              <w:jc w:val="center"/>
            </w:pPr>
            <w:r w:rsidRPr="005C2A34">
              <w:t>21891</w:t>
            </w:r>
          </w:p>
        </w:tc>
        <w:tc>
          <w:tcPr>
            <w:tcW w:w="2242" w:type="dxa"/>
          </w:tcPr>
          <w:p w:rsidR="0089694D" w:rsidRPr="005C2A34" w:rsidRDefault="0089694D" w:rsidP="009325C4">
            <w:pPr>
              <w:spacing w:line="276" w:lineRule="auto"/>
              <w:jc w:val="center"/>
            </w:pPr>
            <w:r w:rsidRPr="005C2A34">
              <w:t>41.23</w:t>
            </w:r>
          </w:p>
        </w:tc>
      </w:tr>
    </w:tbl>
    <w:p w:rsidR="0089694D" w:rsidRPr="005C2A34" w:rsidRDefault="0089694D" w:rsidP="009325C4">
      <w:pPr>
        <w:spacing w:after="0"/>
        <w:jc w:val="center"/>
        <w:rPr>
          <w:sz w:val="18"/>
          <w:szCs w:val="18"/>
        </w:rPr>
      </w:pPr>
      <w:r w:rsidRPr="001262FB">
        <w:rPr>
          <w:i/>
          <w:iCs/>
          <w:sz w:val="18"/>
          <w:szCs w:val="18"/>
        </w:rPr>
        <w:t>Source</w:t>
      </w:r>
      <w:r w:rsidR="00EA32E0" w:rsidRPr="001262FB">
        <w:rPr>
          <w:i/>
          <w:iCs/>
          <w:sz w:val="18"/>
          <w:szCs w:val="18"/>
        </w:rPr>
        <w:t>:</w:t>
      </w:r>
      <w:r w:rsidR="00EA32E0" w:rsidRPr="005C2A34">
        <w:rPr>
          <w:sz w:val="18"/>
          <w:szCs w:val="18"/>
        </w:rPr>
        <w:t xml:space="preserve"> Compiled by CBGA from SSA portal and </w:t>
      </w:r>
      <w:r w:rsidR="00076B69" w:rsidRPr="005C2A34">
        <w:rPr>
          <w:sz w:val="18"/>
          <w:szCs w:val="18"/>
        </w:rPr>
        <w:t>Union Budget</w:t>
      </w:r>
      <w:r w:rsidR="005B3A68">
        <w:rPr>
          <w:sz w:val="18"/>
          <w:szCs w:val="18"/>
        </w:rPr>
        <w:t xml:space="preserve"> </w:t>
      </w:r>
      <w:r w:rsidR="001262FB">
        <w:rPr>
          <w:sz w:val="18"/>
          <w:szCs w:val="18"/>
        </w:rPr>
        <w:t>2017-18</w:t>
      </w:r>
      <w:r w:rsidR="005B3A68">
        <w:rPr>
          <w:sz w:val="18"/>
          <w:szCs w:val="18"/>
        </w:rPr>
        <w:t>.</w:t>
      </w:r>
    </w:p>
    <w:p w:rsidR="0089694D" w:rsidRPr="005C2A34" w:rsidRDefault="0089694D" w:rsidP="00D869F1">
      <w:pPr>
        <w:spacing w:after="0"/>
        <w:jc w:val="both"/>
        <w:rPr>
          <w:sz w:val="18"/>
          <w:szCs w:val="18"/>
        </w:rPr>
      </w:pPr>
    </w:p>
    <w:p w:rsidR="0089694D" w:rsidRPr="005C2A34" w:rsidRDefault="00933A4C" w:rsidP="00D869F1">
      <w:pPr>
        <w:spacing w:after="0"/>
        <w:jc w:val="both"/>
      </w:pPr>
      <w:r w:rsidRPr="005C2A34">
        <w:t xml:space="preserve">Department of </w:t>
      </w:r>
      <w:r w:rsidR="00CC43D1" w:rsidRPr="005C2A34">
        <w:t>H</w:t>
      </w:r>
      <w:r w:rsidRPr="005C2A34">
        <w:t xml:space="preserve">igher </w:t>
      </w:r>
      <w:r w:rsidR="00CC43D1" w:rsidRPr="005C2A34">
        <w:t>E</w:t>
      </w:r>
      <w:r w:rsidRPr="005C2A34">
        <w:t>ducation implement</w:t>
      </w:r>
      <w:r w:rsidR="00494234" w:rsidRPr="005C2A34">
        <w:t xml:space="preserve">s the central sector </w:t>
      </w:r>
      <w:proofErr w:type="spellStart"/>
      <w:r w:rsidR="00494234" w:rsidRPr="005C2A34">
        <w:t>programme</w:t>
      </w:r>
      <w:proofErr w:type="spellEnd"/>
      <w:r w:rsidR="00494234" w:rsidRPr="005C2A34">
        <w:t xml:space="preserve"> ‘</w:t>
      </w:r>
      <w:r w:rsidRPr="005C2A34">
        <w:t>National Initiative on Inclusion of Persons with D</w:t>
      </w:r>
      <w:r w:rsidR="00494234" w:rsidRPr="005C2A34">
        <w:t>isabilities in Higher Education’</w:t>
      </w:r>
      <w:r w:rsidRPr="005C2A34">
        <w:t xml:space="preserve">. The allocation for this </w:t>
      </w:r>
      <w:proofErr w:type="spellStart"/>
      <w:r w:rsidRPr="005C2A34">
        <w:t>programme</w:t>
      </w:r>
      <w:proofErr w:type="spellEnd"/>
      <w:r w:rsidRPr="005C2A34">
        <w:t xml:space="preserve"> remains constant at </w:t>
      </w:r>
      <w:proofErr w:type="spellStart"/>
      <w:r w:rsidRPr="005C2A34">
        <w:t>Rs</w:t>
      </w:r>
      <w:proofErr w:type="spellEnd"/>
      <w:r w:rsidRPr="005C2A34">
        <w:t xml:space="preserve">. </w:t>
      </w:r>
      <w:r w:rsidR="00A53340">
        <w:t>2 c</w:t>
      </w:r>
      <w:r w:rsidRPr="005C2A34">
        <w:t xml:space="preserve">rore for years 2016-17 and 2017-18. The other </w:t>
      </w:r>
      <w:proofErr w:type="spellStart"/>
      <w:r w:rsidR="00A53340">
        <w:t>programmes</w:t>
      </w:r>
      <w:proofErr w:type="spellEnd"/>
      <w:r w:rsidR="00A53340">
        <w:t xml:space="preserve"> such as the HEPSEN and </w:t>
      </w:r>
      <w:r w:rsidR="005B5C54" w:rsidRPr="005C2A34">
        <w:t>TRYPSEN implemented by UGC are</w:t>
      </w:r>
      <w:r w:rsidRPr="005C2A34">
        <w:t xml:space="preserve"> not disaggregated for further analysis.</w:t>
      </w:r>
    </w:p>
    <w:p w:rsidR="00933A4C" w:rsidRPr="005C2A34" w:rsidRDefault="00933A4C" w:rsidP="00D869F1">
      <w:pPr>
        <w:spacing w:after="0"/>
        <w:jc w:val="both"/>
      </w:pPr>
    </w:p>
    <w:p w:rsidR="00494234" w:rsidRPr="005C2A34" w:rsidRDefault="00494234" w:rsidP="00494234">
      <w:pPr>
        <w:spacing w:after="0"/>
        <w:jc w:val="both"/>
        <w:rPr>
          <w:b/>
          <w:bCs/>
        </w:rPr>
      </w:pPr>
      <w:r w:rsidRPr="005C2A34">
        <w:rPr>
          <w:b/>
          <w:bCs/>
        </w:rPr>
        <w:t xml:space="preserve">Interventions of </w:t>
      </w:r>
      <w:r w:rsidR="00933A4C" w:rsidRPr="005C2A34">
        <w:rPr>
          <w:b/>
          <w:bCs/>
        </w:rPr>
        <w:t>Ministry of Health and Family Welfare</w:t>
      </w:r>
      <w:r w:rsidRPr="005C2A34">
        <w:rPr>
          <w:b/>
          <w:bCs/>
        </w:rPr>
        <w:t xml:space="preserve"> for Person with Disabilities:</w:t>
      </w:r>
    </w:p>
    <w:p w:rsidR="00EA32E0" w:rsidRPr="005C2A34" w:rsidRDefault="00EA32E0" w:rsidP="00494234">
      <w:pPr>
        <w:spacing w:after="0"/>
        <w:jc w:val="both"/>
        <w:rPr>
          <w:b/>
          <w:bCs/>
        </w:rPr>
      </w:pPr>
    </w:p>
    <w:p w:rsidR="00717998" w:rsidRPr="005C2A34" w:rsidRDefault="00717998" w:rsidP="00EA32E0">
      <w:pPr>
        <w:spacing w:after="0"/>
        <w:jc w:val="center"/>
        <w:rPr>
          <w:b/>
          <w:bCs/>
        </w:rPr>
      </w:pPr>
      <w:r w:rsidRPr="005C2A34">
        <w:rPr>
          <w:b/>
          <w:bCs/>
        </w:rPr>
        <w:t>Table</w:t>
      </w:r>
      <w:r w:rsidR="00EA32E0" w:rsidRPr="005C2A34">
        <w:rPr>
          <w:b/>
          <w:bCs/>
        </w:rPr>
        <w:t xml:space="preserve"> 18.3</w:t>
      </w:r>
      <w:r w:rsidR="008166A1" w:rsidRPr="005C2A34">
        <w:rPr>
          <w:b/>
          <w:bCs/>
        </w:rPr>
        <w:t xml:space="preserve">: </w:t>
      </w:r>
      <w:r w:rsidRPr="005C2A34">
        <w:rPr>
          <w:b/>
          <w:bCs/>
        </w:rPr>
        <w:t xml:space="preserve"> </w:t>
      </w:r>
      <w:r w:rsidR="00BB059D" w:rsidRPr="005C2A34">
        <w:rPr>
          <w:b/>
          <w:bCs/>
        </w:rPr>
        <w:t>A</w:t>
      </w:r>
      <w:r w:rsidRPr="005C2A34">
        <w:rPr>
          <w:b/>
          <w:bCs/>
        </w:rPr>
        <w:t xml:space="preserve">llocation </w:t>
      </w:r>
      <w:r w:rsidR="00BB059D" w:rsidRPr="005C2A34">
        <w:rPr>
          <w:b/>
          <w:bCs/>
        </w:rPr>
        <w:t>towards Persons with Disabilit</w:t>
      </w:r>
      <w:r w:rsidR="00A53340">
        <w:rPr>
          <w:b/>
          <w:bCs/>
        </w:rPr>
        <w:t>ies</w:t>
      </w:r>
      <w:r w:rsidR="00BB059D" w:rsidRPr="005C2A34">
        <w:rPr>
          <w:b/>
          <w:bCs/>
        </w:rPr>
        <w:t xml:space="preserve"> by the </w:t>
      </w:r>
      <w:r w:rsidRPr="005C2A34">
        <w:rPr>
          <w:b/>
          <w:bCs/>
        </w:rPr>
        <w:t xml:space="preserve">Department </w:t>
      </w:r>
      <w:r w:rsidR="00EA32E0" w:rsidRPr="005C2A34">
        <w:rPr>
          <w:b/>
          <w:bCs/>
        </w:rPr>
        <w:t>of</w:t>
      </w:r>
      <w:r w:rsidR="00BB059D" w:rsidRPr="005C2A34">
        <w:rPr>
          <w:b/>
          <w:bCs/>
        </w:rPr>
        <w:t xml:space="preserve"> </w:t>
      </w:r>
      <w:r w:rsidRPr="005C2A34">
        <w:rPr>
          <w:b/>
          <w:bCs/>
        </w:rPr>
        <w:t xml:space="preserve">Health </w:t>
      </w:r>
      <w:r w:rsidR="00BB059D" w:rsidRPr="005C2A34">
        <w:rPr>
          <w:b/>
          <w:bCs/>
        </w:rPr>
        <w:t xml:space="preserve">&amp; </w:t>
      </w:r>
      <w:r w:rsidRPr="005C2A34">
        <w:rPr>
          <w:b/>
          <w:bCs/>
        </w:rPr>
        <w:t>Family Welfare</w:t>
      </w:r>
      <w:r w:rsidR="00EA32E0" w:rsidRPr="005C2A34">
        <w:rPr>
          <w:b/>
          <w:bCs/>
        </w:rPr>
        <w:t xml:space="preserve"> (</w:t>
      </w:r>
      <w:proofErr w:type="spellStart"/>
      <w:r w:rsidR="00EA32E0" w:rsidRPr="005C2A34">
        <w:rPr>
          <w:b/>
          <w:bCs/>
        </w:rPr>
        <w:t>Rs</w:t>
      </w:r>
      <w:proofErr w:type="spellEnd"/>
      <w:r w:rsidR="00EA32E0" w:rsidRPr="005C2A34">
        <w:rPr>
          <w:b/>
          <w:bCs/>
        </w:rPr>
        <w:t>. crore)</w:t>
      </w:r>
    </w:p>
    <w:tbl>
      <w:tblPr>
        <w:tblStyle w:val="TableGrid"/>
        <w:tblW w:w="0" w:type="auto"/>
        <w:tblLook w:val="04A0" w:firstRow="1" w:lastRow="0" w:firstColumn="1" w:lastColumn="0" w:noHBand="0" w:noVBand="1"/>
      </w:tblPr>
      <w:tblGrid>
        <w:gridCol w:w="3078"/>
        <w:gridCol w:w="2054"/>
        <w:gridCol w:w="2055"/>
        <w:gridCol w:w="2055"/>
      </w:tblGrid>
      <w:tr w:rsidR="00717998" w:rsidRPr="005C2A34" w:rsidTr="00EA32E0">
        <w:trPr>
          <w:trHeight w:val="144"/>
        </w:trPr>
        <w:tc>
          <w:tcPr>
            <w:tcW w:w="3078" w:type="dxa"/>
          </w:tcPr>
          <w:p w:rsidR="00717998" w:rsidRPr="005C2A34" w:rsidRDefault="00717998" w:rsidP="00D869F1">
            <w:pPr>
              <w:spacing w:line="276" w:lineRule="auto"/>
              <w:jc w:val="both"/>
            </w:pPr>
            <w:r w:rsidRPr="005C2A34">
              <w:t>Particulars</w:t>
            </w:r>
          </w:p>
        </w:tc>
        <w:tc>
          <w:tcPr>
            <w:tcW w:w="2054" w:type="dxa"/>
          </w:tcPr>
          <w:p w:rsidR="00717998" w:rsidRPr="005C2A34" w:rsidRDefault="00717998" w:rsidP="00EA32E0">
            <w:pPr>
              <w:spacing w:line="276" w:lineRule="auto"/>
              <w:jc w:val="both"/>
            </w:pPr>
            <w:r w:rsidRPr="005C2A34">
              <w:t>2015-16 (</w:t>
            </w:r>
            <w:r w:rsidR="00EA32E0" w:rsidRPr="005C2A34">
              <w:t>A)</w:t>
            </w:r>
          </w:p>
        </w:tc>
        <w:tc>
          <w:tcPr>
            <w:tcW w:w="2055" w:type="dxa"/>
          </w:tcPr>
          <w:p w:rsidR="00717998" w:rsidRPr="005C2A34" w:rsidRDefault="00717998" w:rsidP="00D869F1">
            <w:pPr>
              <w:spacing w:line="276" w:lineRule="auto"/>
              <w:jc w:val="both"/>
            </w:pPr>
            <w:r w:rsidRPr="005C2A34">
              <w:t>2016-17 (RE)</w:t>
            </w:r>
          </w:p>
          <w:p w:rsidR="00717998" w:rsidRPr="005C2A34" w:rsidRDefault="00717998" w:rsidP="00D869F1">
            <w:pPr>
              <w:spacing w:line="276" w:lineRule="auto"/>
              <w:jc w:val="both"/>
            </w:pPr>
          </w:p>
        </w:tc>
        <w:tc>
          <w:tcPr>
            <w:tcW w:w="2055" w:type="dxa"/>
          </w:tcPr>
          <w:p w:rsidR="00717998" w:rsidRPr="005C2A34" w:rsidRDefault="00717998" w:rsidP="00D869F1">
            <w:pPr>
              <w:spacing w:line="276" w:lineRule="auto"/>
              <w:jc w:val="both"/>
            </w:pPr>
            <w:r w:rsidRPr="005C2A34">
              <w:t>2017-18(BE)</w:t>
            </w:r>
          </w:p>
          <w:p w:rsidR="00717998" w:rsidRPr="005C2A34" w:rsidRDefault="00717998" w:rsidP="00D869F1">
            <w:pPr>
              <w:spacing w:line="276" w:lineRule="auto"/>
              <w:jc w:val="both"/>
            </w:pPr>
          </w:p>
        </w:tc>
      </w:tr>
      <w:tr w:rsidR="00EA32E0" w:rsidRPr="005C2A34" w:rsidTr="00EA32E0">
        <w:trPr>
          <w:trHeight w:val="144"/>
        </w:trPr>
        <w:tc>
          <w:tcPr>
            <w:tcW w:w="3078" w:type="dxa"/>
          </w:tcPr>
          <w:p w:rsidR="00EA32E0" w:rsidRPr="005C2A34" w:rsidRDefault="00EA32E0" w:rsidP="00D869F1">
            <w:pPr>
              <w:spacing w:line="276" w:lineRule="auto"/>
              <w:jc w:val="both"/>
            </w:pPr>
            <w:r w:rsidRPr="005C2A34">
              <w:t>NIMHANS</w:t>
            </w:r>
          </w:p>
        </w:tc>
        <w:tc>
          <w:tcPr>
            <w:tcW w:w="2054"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284.0</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302.2</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350.9</w:t>
            </w:r>
          </w:p>
        </w:tc>
      </w:tr>
      <w:tr w:rsidR="00EA32E0" w:rsidRPr="005C2A34" w:rsidTr="00EA32E0">
        <w:trPr>
          <w:trHeight w:val="144"/>
        </w:trPr>
        <w:tc>
          <w:tcPr>
            <w:tcW w:w="3078" w:type="dxa"/>
          </w:tcPr>
          <w:p w:rsidR="00EA32E0" w:rsidRPr="005C2A34" w:rsidRDefault="00EA32E0" w:rsidP="00D869F1">
            <w:pPr>
              <w:spacing w:line="276" w:lineRule="auto"/>
              <w:jc w:val="both"/>
            </w:pPr>
            <w:r w:rsidRPr="005C2A34">
              <w:t xml:space="preserve">LGB regional Institute of Mental Health, </w:t>
            </w:r>
            <w:proofErr w:type="spellStart"/>
            <w:r w:rsidRPr="005C2A34">
              <w:t>Tezpur</w:t>
            </w:r>
            <w:proofErr w:type="spellEnd"/>
          </w:p>
        </w:tc>
        <w:tc>
          <w:tcPr>
            <w:tcW w:w="2054"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32.1</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80.0</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80.0</w:t>
            </w:r>
          </w:p>
        </w:tc>
      </w:tr>
      <w:tr w:rsidR="00EA32E0" w:rsidRPr="005C2A34" w:rsidTr="00EA32E0">
        <w:trPr>
          <w:trHeight w:val="144"/>
        </w:trPr>
        <w:tc>
          <w:tcPr>
            <w:tcW w:w="3078" w:type="dxa"/>
          </w:tcPr>
          <w:p w:rsidR="00EA32E0" w:rsidRPr="005C2A34" w:rsidRDefault="00EA32E0" w:rsidP="00D869F1">
            <w:pPr>
              <w:spacing w:line="276" w:lineRule="auto"/>
              <w:jc w:val="both"/>
            </w:pPr>
            <w:r w:rsidRPr="005C2A34">
              <w:t xml:space="preserve">National Mental Health </w:t>
            </w:r>
            <w:proofErr w:type="spellStart"/>
            <w:r w:rsidRPr="005C2A34">
              <w:t>Programme</w:t>
            </w:r>
            <w:proofErr w:type="spellEnd"/>
          </w:p>
        </w:tc>
        <w:tc>
          <w:tcPr>
            <w:tcW w:w="2054"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35.4</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35.0</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35.0</w:t>
            </w:r>
          </w:p>
        </w:tc>
      </w:tr>
      <w:tr w:rsidR="00EA32E0" w:rsidRPr="005C2A34" w:rsidTr="00EA32E0">
        <w:trPr>
          <w:trHeight w:val="144"/>
        </w:trPr>
        <w:tc>
          <w:tcPr>
            <w:tcW w:w="3078" w:type="dxa"/>
          </w:tcPr>
          <w:p w:rsidR="00EA32E0" w:rsidRPr="005C2A34" w:rsidRDefault="00EA32E0" w:rsidP="00D869F1">
            <w:pPr>
              <w:spacing w:line="276" w:lineRule="auto"/>
              <w:jc w:val="both"/>
            </w:pPr>
            <w:r w:rsidRPr="005C2A34">
              <w:t xml:space="preserve">Total </w:t>
            </w:r>
          </w:p>
        </w:tc>
        <w:tc>
          <w:tcPr>
            <w:tcW w:w="2054"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351.6</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417.3</w:t>
            </w:r>
          </w:p>
        </w:tc>
        <w:tc>
          <w:tcPr>
            <w:tcW w:w="2055" w:type="dxa"/>
            <w:vAlign w:val="center"/>
          </w:tcPr>
          <w:p w:rsidR="00EA32E0" w:rsidRPr="005C2A34" w:rsidRDefault="00EA32E0" w:rsidP="00EA32E0">
            <w:pPr>
              <w:jc w:val="center"/>
              <w:rPr>
                <w:rFonts w:ascii="Calibri" w:hAnsi="Calibri" w:cs="Calibri"/>
                <w:color w:val="000000"/>
                <w:szCs w:val="22"/>
              </w:rPr>
            </w:pPr>
            <w:r w:rsidRPr="005C2A34">
              <w:rPr>
                <w:rFonts w:ascii="Calibri" w:hAnsi="Calibri" w:cs="Calibri"/>
                <w:color w:val="000000"/>
                <w:szCs w:val="22"/>
              </w:rPr>
              <w:t>466.0</w:t>
            </w:r>
          </w:p>
        </w:tc>
      </w:tr>
    </w:tbl>
    <w:p w:rsidR="009325C4" w:rsidRPr="005C2A34" w:rsidRDefault="009325C4" w:rsidP="00D869F1">
      <w:pPr>
        <w:spacing w:after="0"/>
        <w:jc w:val="both"/>
        <w:rPr>
          <w:sz w:val="18"/>
          <w:szCs w:val="18"/>
        </w:rPr>
      </w:pPr>
      <w:r w:rsidRPr="00A53340">
        <w:rPr>
          <w:i/>
          <w:iCs/>
          <w:sz w:val="18"/>
          <w:szCs w:val="18"/>
        </w:rPr>
        <w:t>Note</w:t>
      </w:r>
      <w:r w:rsidRPr="005C2A34">
        <w:rPr>
          <w:sz w:val="18"/>
          <w:szCs w:val="18"/>
        </w:rPr>
        <w:t>: NIMHANS- National Institute of Mental Health and Neurosciences</w:t>
      </w:r>
    </w:p>
    <w:p w:rsidR="008166A1" w:rsidRPr="005C2A34" w:rsidRDefault="008166A1" w:rsidP="00D869F1">
      <w:pPr>
        <w:spacing w:after="0"/>
        <w:jc w:val="both"/>
        <w:rPr>
          <w:sz w:val="18"/>
          <w:szCs w:val="18"/>
        </w:rPr>
      </w:pPr>
      <w:r w:rsidRPr="00A53340">
        <w:rPr>
          <w:i/>
          <w:iCs/>
          <w:sz w:val="18"/>
          <w:szCs w:val="18"/>
        </w:rPr>
        <w:t>Source</w:t>
      </w:r>
      <w:r w:rsidRPr="005C2A34">
        <w:rPr>
          <w:sz w:val="18"/>
          <w:szCs w:val="18"/>
        </w:rPr>
        <w:t xml:space="preserve">: </w:t>
      </w:r>
      <w:r w:rsidR="00EA32E0" w:rsidRPr="005C2A34">
        <w:rPr>
          <w:sz w:val="18"/>
          <w:szCs w:val="18"/>
        </w:rPr>
        <w:t>Compiled by CBGA from Union Budget</w:t>
      </w:r>
      <w:r w:rsidR="00A53340">
        <w:rPr>
          <w:sz w:val="18"/>
          <w:szCs w:val="18"/>
        </w:rPr>
        <w:t xml:space="preserve"> 2017-18</w:t>
      </w:r>
      <w:r w:rsidR="005B3A68">
        <w:rPr>
          <w:sz w:val="18"/>
          <w:szCs w:val="18"/>
        </w:rPr>
        <w:t>.</w:t>
      </w:r>
    </w:p>
    <w:p w:rsidR="00EA32E0" w:rsidRPr="005C2A34" w:rsidRDefault="00EA32E0" w:rsidP="00D869F1">
      <w:pPr>
        <w:spacing w:after="0"/>
        <w:jc w:val="both"/>
      </w:pPr>
    </w:p>
    <w:p w:rsidR="00717998" w:rsidRPr="005C2A34" w:rsidRDefault="00717998" w:rsidP="00D869F1">
      <w:pPr>
        <w:spacing w:after="0"/>
        <w:jc w:val="both"/>
      </w:pPr>
      <w:r w:rsidRPr="005C2A34">
        <w:t xml:space="preserve">Table </w:t>
      </w:r>
      <w:r w:rsidR="00A53340">
        <w:t>18.3</w:t>
      </w:r>
      <w:r w:rsidRPr="005C2A34">
        <w:t xml:space="preserve"> shows an increasing trend in allocation for NIMHANS but remains </w:t>
      </w:r>
      <w:r w:rsidR="002E3050">
        <w:t>stagnant</w:t>
      </w:r>
      <w:r w:rsidRPr="005C2A34">
        <w:t xml:space="preserve"> for the National Mental Health </w:t>
      </w:r>
      <w:proofErr w:type="spellStart"/>
      <w:r w:rsidRPr="005C2A34">
        <w:t>Programme</w:t>
      </w:r>
      <w:proofErr w:type="spellEnd"/>
      <w:r w:rsidR="00843162" w:rsidRPr="005C2A34">
        <w:t xml:space="preserve">, </w:t>
      </w:r>
      <w:r w:rsidR="007B4D0A" w:rsidRPr="005C2A34">
        <w:t>which has</w:t>
      </w:r>
      <w:r w:rsidR="00843162" w:rsidRPr="005C2A34">
        <w:t xml:space="preserve"> a community </w:t>
      </w:r>
      <w:proofErr w:type="spellStart"/>
      <w:r w:rsidR="00843162" w:rsidRPr="005C2A34">
        <w:t>programme</w:t>
      </w:r>
      <w:proofErr w:type="spellEnd"/>
      <w:r w:rsidR="007B4D0A" w:rsidRPr="005C2A34">
        <w:t xml:space="preserve"> component.</w:t>
      </w:r>
      <w:r w:rsidR="00843162" w:rsidRPr="005C2A34">
        <w:t xml:space="preserve"> </w:t>
      </w:r>
      <w:r w:rsidR="007B4D0A" w:rsidRPr="005C2A34">
        <w:t>This component</w:t>
      </w:r>
      <w:r w:rsidR="00843162" w:rsidRPr="005C2A34">
        <w:t xml:space="preserve"> </w:t>
      </w:r>
      <w:r w:rsidR="00A53340">
        <w:t>can</w:t>
      </w:r>
      <w:r w:rsidR="00843162" w:rsidRPr="005C2A34">
        <w:t xml:space="preserve"> potential</w:t>
      </w:r>
      <w:r w:rsidR="00A53340">
        <w:t>ly restrict increasing long-</w:t>
      </w:r>
      <w:r w:rsidR="00843162" w:rsidRPr="005C2A34">
        <w:t xml:space="preserve">term residential </w:t>
      </w:r>
      <w:r w:rsidR="007B4D0A" w:rsidRPr="005C2A34">
        <w:t xml:space="preserve">care </w:t>
      </w:r>
      <w:r w:rsidR="00A53340">
        <w:t>set-</w:t>
      </w:r>
      <w:r w:rsidR="00843162" w:rsidRPr="005C2A34">
        <w:t>up for persons with psychosocial disability</w:t>
      </w:r>
      <w:r w:rsidR="00A53340">
        <w:t>,</w:t>
      </w:r>
      <w:r w:rsidR="00843162" w:rsidRPr="005C2A34">
        <w:t xml:space="preserve"> where </w:t>
      </w:r>
      <w:r w:rsidR="007B4D0A" w:rsidRPr="005C2A34">
        <w:t xml:space="preserve">the </w:t>
      </w:r>
      <w:r w:rsidR="00843162" w:rsidRPr="005C2A34">
        <w:t>exten</w:t>
      </w:r>
      <w:r w:rsidR="00FE7829" w:rsidRPr="005C2A34">
        <w:t xml:space="preserve">t of human rights violations </w:t>
      </w:r>
      <w:r w:rsidR="00390DA3">
        <w:t>has</w:t>
      </w:r>
      <w:r w:rsidR="00843162" w:rsidRPr="005C2A34">
        <w:t xml:space="preserve"> proven to be high</w:t>
      </w:r>
      <w:r w:rsidRPr="005C2A34">
        <w:t xml:space="preserve">. Though there is an overall increasing trend for </w:t>
      </w:r>
      <w:r w:rsidR="00EA32E0" w:rsidRPr="005C2A34">
        <w:t xml:space="preserve">these </w:t>
      </w:r>
      <w:proofErr w:type="spellStart"/>
      <w:r w:rsidR="00EA32E0" w:rsidRPr="005C2A34">
        <w:t>programmes</w:t>
      </w:r>
      <w:proofErr w:type="spellEnd"/>
      <w:r w:rsidRPr="005C2A34">
        <w:t>,</w:t>
      </w:r>
      <w:r w:rsidR="00A53340">
        <w:t xml:space="preserve"> a</w:t>
      </w:r>
      <w:r w:rsidRPr="005C2A34">
        <w:t xml:space="preserve"> comparison with the total allocation to the </w:t>
      </w:r>
      <w:r w:rsidR="00390DA3">
        <w:t xml:space="preserve">allocation for the </w:t>
      </w:r>
      <w:r w:rsidRPr="005C2A34">
        <w:t>Department shows a decreasing trend. The following figure explains the same.</w:t>
      </w:r>
      <w:r w:rsidR="00843162" w:rsidRPr="005C2A34">
        <w:t xml:space="preserve"> </w:t>
      </w:r>
    </w:p>
    <w:p w:rsidR="00843162" w:rsidRPr="005C2A34" w:rsidRDefault="00843162" w:rsidP="00D869F1">
      <w:pPr>
        <w:spacing w:after="0"/>
        <w:jc w:val="both"/>
      </w:pPr>
    </w:p>
    <w:p w:rsidR="00933A4C" w:rsidRPr="005C2A34" w:rsidRDefault="00614D1D" w:rsidP="00D869F1">
      <w:pPr>
        <w:spacing w:after="0"/>
        <w:jc w:val="both"/>
        <w:rPr>
          <w:b/>
          <w:bCs/>
        </w:rPr>
      </w:pPr>
      <w:r w:rsidRPr="005C2A34">
        <w:rPr>
          <w:b/>
          <w:bCs/>
        </w:rPr>
        <w:t>Figure</w:t>
      </w:r>
      <w:r w:rsidR="00EA32E0" w:rsidRPr="005C2A34">
        <w:rPr>
          <w:b/>
          <w:bCs/>
        </w:rPr>
        <w:t xml:space="preserve"> 18.</w:t>
      </w:r>
      <w:r w:rsidR="008166A1" w:rsidRPr="005C2A34">
        <w:rPr>
          <w:b/>
          <w:bCs/>
        </w:rPr>
        <w:t xml:space="preserve">3: </w:t>
      </w:r>
      <w:r w:rsidR="00EA32E0" w:rsidRPr="005C2A34">
        <w:rPr>
          <w:b/>
          <w:bCs/>
        </w:rPr>
        <w:t xml:space="preserve">Allocation for PWDs In Comparison </w:t>
      </w:r>
      <w:r w:rsidR="00A53340">
        <w:rPr>
          <w:b/>
          <w:bCs/>
        </w:rPr>
        <w:t>t</w:t>
      </w:r>
      <w:r w:rsidR="00EA32E0" w:rsidRPr="005C2A34">
        <w:rPr>
          <w:b/>
          <w:bCs/>
        </w:rPr>
        <w:t>o the Overall Allocation of the Department</w:t>
      </w:r>
    </w:p>
    <w:p w:rsidR="00717998" w:rsidRPr="005C2A34" w:rsidRDefault="005C2A34" w:rsidP="00D869F1">
      <w:pPr>
        <w:spacing w:after="0"/>
        <w:jc w:val="both"/>
      </w:pPr>
      <w:r>
        <w:rPr>
          <w:noProof/>
          <w:lang w:bidi="hi-IN"/>
        </w:rPr>
        <w:lastRenderedPageBreak/>
        <w:drawing>
          <wp:inline distT="0" distB="0" distL="0" distR="0" wp14:anchorId="08CC1A8D" wp14:editId="19234700">
            <wp:extent cx="5375082" cy="2059388"/>
            <wp:effectExtent l="0" t="0" r="1651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32E0" w:rsidRPr="005C2A34" w:rsidRDefault="00EA32E0" w:rsidP="00EA32E0">
      <w:pPr>
        <w:spacing w:after="0"/>
        <w:jc w:val="both"/>
        <w:rPr>
          <w:sz w:val="18"/>
          <w:szCs w:val="18"/>
        </w:rPr>
      </w:pPr>
      <w:r w:rsidRPr="00A53340">
        <w:rPr>
          <w:i/>
          <w:iCs/>
          <w:sz w:val="18"/>
          <w:szCs w:val="18"/>
        </w:rPr>
        <w:t>Source:</w:t>
      </w:r>
      <w:r w:rsidRPr="005C2A34">
        <w:rPr>
          <w:sz w:val="18"/>
          <w:szCs w:val="18"/>
        </w:rPr>
        <w:t xml:space="preserve"> Compiled by CBGA from Union Budget</w:t>
      </w:r>
      <w:r w:rsidR="00A53340">
        <w:rPr>
          <w:sz w:val="18"/>
          <w:szCs w:val="18"/>
        </w:rPr>
        <w:t xml:space="preserve"> 2017-18</w:t>
      </w:r>
      <w:r w:rsidR="005B3A68">
        <w:rPr>
          <w:sz w:val="18"/>
          <w:szCs w:val="18"/>
        </w:rPr>
        <w:t>.</w:t>
      </w:r>
    </w:p>
    <w:p w:rsidR="008166A1" w:rsidRPr="005C2A34" w:rsidRDefault="008166A1" w:rsidP="00D869F1">
      <w:pPr>
        <w:spacing w:after="0"/>
        <w:jc w:val="both"/>
        <w:rPr>
          <w:sz w:val="18"/>
          <w:szCs w:val="18"/>
          <w:vertAlign w:val="superscript"/>
        </w:rPr>
      </w:pPr>
    </w:p>
    <w:p w:rsidR="008166A1" w:rsidRPr="005C2A34" w:rsidRDefault="008166A1" w:rsidP="00D869F1">
      <w:pPr>
        <w:spacing w:after="0"/>
        <w:jc w:val="both"/>
        <w:rPr>
          <w:sz w:val="18"/>
          <w:szCs w:val="18"/>
          <w:vertAlign w:val="superscript"/>
        </w:rPr>
      </w:pPr>
    </w:p>
    <w:p w:rsidR="008C54FF" w:rsidRPr="005C2A34" w:rsidRDefault="008C54FF" w:rsidP="008C54FF">
      <w:pPr>
        <w:spacing w:after="0"/>
        <w:jc w:val="both"/>
        <w:rPr>
          <w:b/>
          <w:bCs/>
        </w:rPr>
      </w:pPr>
      <w:r w:rsidRPr="005C2A34">
        <w:rPr>
          <w:b/>
          <w:bCs/>
        </w:rPr>
        <w:t>Interventions of Ministry of Youth Affairs and Sports for Person with Disabilities:</w:t>
      </w:r>
    </w:p>
    <w:p w:rsidR="007C491A" w:rsidRPr="005C2A34" w:rsidRDefault="007C491A" w:rsidP="00D869F1">
      <w:pPr>
        <w:spacing w:after="0"/>
        <w:jc w:val="both"/>
      </w:pPr>
    </w:p>
    <w:p w:rsidR="007C491A" w:rsidRPr="005C2A34" w:rsidRDefault="007C491A" w:rsidP="00EB0D39">
      <w:pPr>
        <w:spacing w:after="0"/>
        <w:jc w:val="center"/>
        <w:rPr>
          <w:b/>
          <w:bCs/>
        </w:rPr>
      </w:pPr>
      <w:r w:rsidRPr="005C2A34">
        <w:rPr>
          <w:b/>
          <w:bCs/>
        </w:rPr>
        <w:t xml:space="preserve">Table </w:t>
      </w:r>
      <w:r w:rsidR="008C54FF" w:rsidRPr="005C2A34">
        <w:rPr>
          <w:b/>
          <w:bCs/>
        </w:rPr>
        <w:t>18.4</w:t>
      </w:r>
      <w:r w:rsidRPr="005C2A34">
        <w:rPr>
          <w:b/>
          <w:bCs/>
        </w:rPr>
        <w:t xml:space="preserve">: </w:t>
      </w:r>
      <w:r w:rsidR="008C54FF" w:rsidRPr="005C2A34">
        <w:rPr>
          <w:b/>
          <w:bCs/>
        </w:rPr>
        <w:t>Allocation</w:t>
      </w:r>
      <w:r w:rsidRPr="005C2A34">
        <w:rPr>
          <w:b/>
          <w:bCs/>
        </w:rPr>
        <w:t xml:space="preserve"> by the Ministry</w:t>
      </w:r>
      <w:r w:rsidR="00EB0D39" w:rsidRPr="005C2A34">
        <w:rPr>
          <w:b/>
          <w:bCs/>
        </w:rPr>
        <w:t xml:space="preserve"> of Youth Affairs &amp; Sports for P</w:t>
      </w:r>
      <w:r w:rsidRPr="005C2A34">
        <w:rPr>
          <w:b/>
          <w:bCs/>
        </w:rPr>
        <w:t>romotion of Sports</w:t>
      </w:r>
      <w:r w:rsidR="00EB0D39" w:rsidRPr="005C2A34">
        <w:rPr>
          <w:b/>
          <w:bCs/>
        </w:rPr>
        <w:t xml:space="preserve"> among Disabled (</w:t>
      </w:r>
      <w:proofErr w:type="spellStart"/>
      <w:r w:rsidR="00EB0D39" w:rsidRPr="005C2A34">
        <w:rPr>
          <w:b/>
          <w:bCs/>
        </w:rPr>
        <w:t>Rs</w:t>
      </w:r>
      <w:proofErr w:type="spellEnd"/>
      <w:r w:rsidR="00EB0D39" w:rsidRPr="005C2A34">
        <w:rPr>
          <w:b/>
          <w:bCs/>
        </w:rPr>
        <w:t>. crore)</w:t>
      </w:r>
    </w:p>
    <w:tbl>
      <w:tblPr>
        <w:tblStyle w:val="TableGrid"/>
        <w:tblW w:w="0" w:type="auto"/>
        <w:tblLook w:val="04A0" w:firstRow="1" w:lastRow="0" w:firstColumn="1" w:lastColumn="0" w:noHBand="0" w:noVBand="1"/>
      </w:tblPr>
      <w:tblGrid>
        <w:gridCol w:w="2310"/>
        <w:gridCol w:w="2310"/>
        <w:gridCol w:w="2311"/>
        <w:gridCol w:w="2311"/>
      </w:tblGrid>
      <w:tr w:rsidR="007C491A" w:rsidRPr="005C2A34" w:rsidTr="008C4A64">
        <w:tc>
          <w:tcPr>
            <w:tcW w:w="2310" w:type="dxa"/>
          </w:tcPr>
          <w:p w:rsidR="007C491A" w:rsidRPr="005C2A34" w:rsidRDefault="007C491A" w:rsidP="00D869F1">
            <w:pPr>
              <w:spacing w:line="276" w:lineRule="auto"/>
              <w:jc w:val="both"/>
            </w:pPr>
            <w:r w:rsidRPr="005C2A34">
              <w:t>Particulars</w:t>
            </w:r>
          </w:p>
        </w:tc>
        <w:tc>
          <w:tcPr>
            <w:tcW w:w="2310" w:type="dxa"/>
          </w:tcPr>
          <w:p w:rsidR="007C491A" w:rsidRPr="005C2A34" w:rsidRDefault="007C491A" w:rsidP="00D869F1">
            <w:pPr>
              <w:spacing w:line="276" w:lineRule="auto"/>
              <w:jc w:val="both"/>
            </w:pPr>
            <w:r w:rsidRPr="005C2A34">
              <w:t>2015-16 (A</w:t>
            </w:r>
            <w:r w:rsidR="00EB0D39" w:rsidRPr="005C2A34">
              <w:t>)</w:t>
            </w:r>
          </w:p>
          <w:p w:rsidR="007C491A" w:rsidRPr="005C2A34" w:rsidRDefault="007C491A" w:rsidP="00D869F1">
            <w:pPr>
              <w:spacing w:line="276" w:lineRule="auto"/>
              <w:jc w:val="both"/>
            </w:pPr>
          </w:p>
        </w:tc>
        <w:tc>
          <w:tcPr>
            <w:tcW w:w="2311" w:type="dxa"/>
          </w:tcPr>
          <w:p w:rsidR="007C491A" w:rsidRPr="005C2A34" w:rsidRDefault="007C491A" w:rsidP="00D869F1">
            <w:pPr>
              <w:spacing w:line="276" w:lineRule="auto"/>
              <w:jc w:val="both"/>
            </w:pPr>
            <w:r w:rsidRPr="005C2A34">
              <w:t>2016-2017 (RE)</w:t>
            </w:r>
          </w:p>
          <w:p w:rsidR="007C491A" w:rsidRPr="005C2A34" w:rsidRDefault="007C491A" w:rsidP="00D869F1">
            <w:pPr>
              <w:spacing w:line="276" w:lineRule="auto"/>
              <w:jc w:val="both"/>
            </w:pPr>
          </w:p>
        </w:tc>
        <w:tc>
          <w:tcPr>
            <w:tcW w:w="2311" w:type="dxa"/>
          </w:tcPr>
          <w:p w:rsidR="007C491A" w:rsidRPr="005C2A34" w:rsidRDefault="007C491A" w:rsidP="00D869F1">
            <w:pPr>
              <w:spacing w:line="276" w:lineRule="auto"/>
              <w:jc w:val="both"/>
            </w:pPr>
            <w:r w:rsidRPr="005C2A34">
              <w:t>2017-2018 (BE)</w:t>
            </w:r>
          </w:p>
          <w:p w:rsidR="007C491A" w:rsidRPr="005C2A34" w:rsidRDefault="007C491A" w:rsidP="00D869F1">
            <w:pPr>
              <w:spacing w:line="276" w:lineRule="auto"/>
              <w:jc w:val="both"/>
            </w:pPr>
          </w:p>
        </w:tc>
      </w:tr>
      <w:tr w:rsidR="007C491A" w:rsidRPr="005C2A34" w:rsidTr="008C4A64">
        <w:tc>
          <w:tcPr>
            <w:tcW w:w="2310" w:type="dxa"/>
          </w:tcPr>
          <w:p w:rsidR="007C491A" w:rsidRPr="005C2A34" w:rsidRDefault="007C491A" w:rsidP="00D869F1">
            <w:pPr>
              <w:spacing w:line="276" w:lineRule="auto"/>
              <w:jc w:val="both"/>
            </w:pPr>
            <w:r w:rsidRPr="005C2A34">
              <w:t>Promotion of sports among disabled</w:t>
            </w:r>
          </w:p>
        </w:tc>
        <w:tc>
          <w:tcPr>
            <w:tcW w:w="2310" w:type="dxa"/>
          </w:tcPr>
          <w:p w:rsidR="007C491A" w:rsidRPr="005C2A34" w:rsidRDefault="007C491A" w:rsidP="00D869F1">
            <w:pPr>
              <w:spacing w:line="276" w:lineRule="auto"/>
              <w:jc w:val="both"/>
            </w:pPr>
            <w:r w:rsidRPr="005C2A34">
              <w:t>2.06</w:t>
            </w:r>
          </w:p>
        </w:tc>
        <w:tc>
          <w:tcPr>
            <w:tcW w:w="2311" w:type="dxa"/>
          </w:tcPr>
          <w:p w:rsidR="007C491A" w:rsidRPr="005C2A34" w:rsidRDefault="007C491A" w:rsidP="00D869F1">
            <w:pPr>
              <w:spacing w:line="276" w:lineRule="auto"/>
              <w:jc w:val="both"/>
            </w:pPr>
            <w:r w:rsidRPr="005C2A34">
              <w:t>4.00</w:t>
            </w:r>
          </w:p>
        </w:tc>
        <w:tc>
          <w:tcPr>
            <w:tcW w:w="2311" w:type="dxa"/>
          </w:tcPr>
          <w:p w:rsidR="007C491A" w:rsidRPr="005C2A34" w:rsidRDefault="007C491A" w:rsidP="00D869F1">
            <w:pPr>
              <w:spacing w:line="276" w:lineRule="auto"/>
              <w:jc w:val="both"/>
            </w:pPr>
            <w:r w:rsidRPr="005C2A34">
              <w:t>0.01</w:t>
            </w:r>
          </w:p>
        </w:tc>
      </w:tr>
    </w:tbl>
    <w:p w:rsidR="00A53340" w:rsidRPr="005C2A34" w:rsidRDefault="00A53340" w:rsidP="00A53340">
      <w:pPr>
        <w:spacing w:after="0"/>
        <w:jc w:val="both"/>
        <w:rPr>
          <w:sz w:val="18"/>
          <w:szCs w:val="18"/>
        </w:rPr>
      </w:pPr>
      <w:r w:rsidRPr="00A53340">
        <w:rPr>
          <w:i/>
          <w:iCs/>
          <w:sz w:val="18"/>
          <w:szCs w:val="18"/>
        </w:rPr>
        <w:t>Source:</w:t>
      </w:r>
      <w:r w:rsidRPr="005C2A34">
        <w:rPr>
          <w:sz w:val="18"/>
          <w:szCs w:val="18"/>
        </w:rPr>
        <w:t xml:space="preserve"> Compiled by CBGA from Union Budget</w:t>
      </w:r>
      <w:r>
        <w:rPr>
          <w:sz w:val="18"/>
          <w:szCs w:val="18"/>
        </w:rPr>
        <w:t xml:space="preserve"> 2017-18</w:t>
      </w:r>
      <w:r w:rsidR="005B3A68">
        <w:rPr>
          <w:sz w:val="18"/>
          <w:szCs w:val="18"/>
        </w:rPr>
        <w:t>.</w:t>
      </w:r>
    </w:p>
    <w:p w:rsidR="00A53340" w:rsidRPr="005C2A34" w:rsidRDefault="00A53340" w:rsidP="00A53340">
      <w:pPr>
        <w:spacing w:after="0"/>
        <w:jc w:val="both"/>
        <w:rPr>
          <w:sz w:val="18"/>
          <w:szCs w:val="18"/>
          <w:vertAlign w:val="superscript"/>
        </w:rPr>
      </w:pPr>
    </w:p>
    <w:p w:rsidR="007C491A" w:rsidRPr="005C2A34" w:rsidRDefault="007C491A" w:rsidP="00D869F1">
      <w:pPr>
        <w:spacing w:after="0"/>
        <w:jc w:val="both"/>
      </w:pPr>
      <w:r w:rsidRPr="005C2A34">
        <w:t>The table above is self</w:t>
      </w:r>
      <w:r w:rsidR="00BA3A6B" w:rsidRPr="005C2A34">
        <w:t>-</w:t>
      </w:r>
      <w:r w:rsidRPr="005C2A34">
        <w:t>explanatory and trend in allocation does not match the expectation</w:t>
      </w:r>
      <w:r w:rsidR="00390DA3">
        <w:t>s</w:t>
      </w:r>
      <w:r w:rsidRPr="005C2A34">
        <w:t xml:space="preserve"> of the disability movement.</w:t>
      </w:r>
    </w:p>
    <w:p w:rsidR="007C491A" w:rsidRPr="005C2A34" w:rsidRDefault="007C491A" w:rsidP="00D869F1">
      <w:pPr>
        <w:spacing w:after="0"/>
        <w:jc w:val="both"/>
      </w:pPr>
    </w:p>
    <w:p w:rsidR="007C491A" w:rsidRPr="005C2A34" w:rsidRDefault="007C491A" w:rsidP="00D869F1">
      <w:pPr>
        <w:spacing w:after="0"/>
        <w:jc w:val="both"/>
        <w:rPr>
          <w:b/>
          <w:bCs/>
        </w:rPr>
      </w:pPr>
      <w:r w:rsidRPr="005C2A34">
        <w:rPr>
          <w:b/>
          <w:bCs/>
        </w:rPr>
        <w:t>Conclusion</w:t>
      </w:r>
    </w:p>
    <w:p w:rsidR="000B4D2B" w:rsidRPr="005C2A34" w:rsidRDefault="000B4D2B" w:rsidP="00D869F1">
      <w:pPr>
        <w:spacing w:after="0"/>
        <w:jc w:val="both"/>
      </w:pPr>
    </w:p>
    <w:p w:rsidR="000B4D2B" w:rsidRPr="005C2A34" w:rsidRDefault="000B4D2B" w:rsidP="00D869F1">
      <w:pPr>
        <w:spacing w:after="0"/>
        <w:jc w:val="both"/>
        <w:rPr>
          <w:rFonts w:cstheme="minorHAnsi"/>
        </w:rPr>
      </w:pPr>
      <w:r w:rsidRPr="005C2A34">
        <w:rPr>
          <w:rFonts w:cstheme="minorHAnsi"/>
        </w:rPr>
        <w:t xml:space="preserve">Article 31 of </w:t>
      </w:r>
      <w:r w:rsidR="009325C4" w:rsidRPr="005C2A34">
        <w:rPr>
          <w:rFonts w:cstheme="minorHAnsi"/>
          <w:color w:val="222222"/>
          <w:shd w:val="clear" w:color="auto" w:fill="FFFFFF"/>
        </w:rPr>
        <w:t>Committee on the Rights of Persons with Disabilities (</w:t>
      </w:r>
      <w:r w:rsidRPr="005C2A34">
        <w:rPr>
          <w:rFonts w:cstheme="minorHAnsi"/>
        </w:rPr>
        <w:t>CRPD</w:t>
      </w:r>
      <w:r w:rsidR="009325C4" w:rsidRPr="005C2A34">
        <w:rPr>
          <w:rFonts w:cstheme="minorHAnsi"/>
        </w:rPr>
        <w:t>) and</w:t>
      </w:r>
      <w:r w:rsidRPr="005C2A34">
        <w:rPr>
          <w:rFonts w:cstheme="minorHAnsi"/>
        </w:rPr>
        <w:t xml:space="preserve"> Goal 17 of the SDG mandates disaggregation of all data based on disability</w:t>
      </w:r>
      <w:r w:rsidR="008E57AB" w:rsidRPr="005C2A34">
        <w:rPr>
          <w:rFonts w:cstheme="minorHAnsi"/>
        </w:rPr>
        <w:t>, which India has committed to implement</w:t>
      </w:r>
      <w:r w:rsidRPr="005C2A34">
        <w:rPr>
          <w:rFonts w:cstheme="minorHAnsi"/>
        </w:rPr>
        <w:t>. The overall analysis across sector</w:t>
      </w:r>
      <w:r w:rsidR="00A53340">
        <w:rPr>
          <w:rFonts w:cstheme="minorHAnsi"/>
        </w:rPr>
        <w:t>s</w:t>
      </w:r>
      <w:r w:rsidRPr="005C2A34">
        <w:rPr>
          <w:rFonts w:cstheme="minorHAnsi"/>
        </w:rPr>
        <w:t xml:space="preserve"> reveals that </w:t>
      </w:r>
      <w:r w:rsidR="008E57AB" w:rsidRPr="005C2A34">
        <w:rPr>
          <w:rFonts w:cstheme="minorHAnsi"/>
        </w:rPr>
        <w:t xml:space="preserve">as </w:t>
      </w:r>
      <w:r w:rsidRPr="005C2A34">
        <w:rPr>
          <w:rFonts w:cstheme="minorHAnsi"/>
        </w:rPr>
        <w:t xml:space="preserve">more and more schemes get subsumed under larger flagship </w:t>
      </w:r>
      <w:proofErr w:type="spellStart"/>
      <w:r w:rsidRPr="005C2A34">
        <w:rPr>
          <w:rFonts w:cstheme="minorHAnsi"/>
        </w:rPr>
        <w:t>programmes</w:t>
      </w:r>
      <w:proofErr w:type="spellEnd"/>
      <w:r w:rsidRPr="005C2A34">
        <w:rPr>
          <w:rFonts w:cstheme="minorHAnsi"/>
        </w:rPr>
        <w:t>, disaggregation of data gets limited. This creates a gap in effective monitoring, accountability and appropriate planning. Therefore, there is a need to disaggregate financial data on persons with disabilit</w:t>
      </w:r>
      <w:r w:rsidR="00A53340">
        <w:rPr>
          <w:rFonts w:cstheme="minorHAnsi"/>
        </w:rPr>
        <w:t>ies</w:t>
      </w:r>
      <w:r w:rsidRPr="005C2A34">
        <w:rPr>
          <w:rFonts w:cstheme="minorHAnsi"/>
        </w:rPr>
        <w:t xml:space="preserve"> across sector</w:t>
      </w:r>
      <w:r w:rsidR="00390DA3">
        <w:rPr>
          <w:rFonts w:cstheme="minorHAnsi"/>
        </w:rPr>
        <w:t>s</w:t>
      </w:r>
      <w:r w:rsidRPr="005C2A34">
        <w:rPr>
          <w:rFonts w:cstheme="minorHAnsi"/>
        </w:rPr>
        <w:t xml:space="preserve"> under a minor head. It is </w:t>
      </w:r>
      <w:r w:rsidR="008E57AB" w:rsidRPr="005C2A34">
        <w:rPr>
          <w:rFonts w:cstheme="minorHAnsi"/>
        </w:rPr>
        <w:t xml:space="preserve">also important to come out with </w:t>
      </w:r>
      <w:r w:rsidRPr="005C2A34">
        <w:rPr>
          <w:rFonts w:cstheme="minorHAnsi"/>
        </w:rPr>
        <w:t>persons with disabilit</w:t>
      </w:r>
      <w:r w:rsidR="00A53340">
        <w:rPr>
          <w:rFonts w:cstheme="minorHAnsi"/>
        </w:rPr>
        <w:t>ies</w:t>
      </w:r>
      <w:r w:rsidRPr="005C2A34">
        <w:rPr>
          <w:rFonts w:cstheme="minorHAnsi"/>
        </w:rPr>
        <w:t xml:space="preserve"> budget statement</w:t>
      </w:r>
      <w:r w:rsidR="00A53340">
        <w:rPr>
          <w:rFonts w:cstheme="minorHAnsi"/>
        </w:rPr>
        <w:t>,</w:t>
      </w:r>
      <w:r w:rsidRPr="005C2A34">
        <w:rPr>
          <w:rFonts w:cstheme="minorHAnsi"/>
        </w:rPr>
        <w:t xml:space="preserve"> similar to </w:t>
      </w:r>
      <w:r w:rsidR="00A53340">
        <w:rPr>
          <w:rFonts w:cstheme="minorHAnsi"/>
        </w:rPr>
        <w:t xml:space="preserve">the </w:t>
      </w:r>
      <w:r w:rsidRPr="005C2A34">
        <w:rPr>
          <w:rFonts w:cstheme="minorHAnsi"/>
        </w:rPr>
        <w:t>gender budget statement.</w:t>
      </w:r>
    </w:p>
    <w:p w:rsidR="009325C4" w:rsidRPr="005C2A34" w:rsidRDefault="009325C4" w:rsidP="00D869F1">
      <w:pPr>
        <w:spacing w:after="0"/>
        <w:jc w:val="both"/>
        <w:rPr>
          <w:rFonts w:cstheme="minorHAnsi"/>
        </w:rPr>
      </w:pPr>
    </w:p>
    <w:p w:rsidR="00BA3A6B" w:rsidRPr="005C2A34" w:rsidRDefault="00BA3A6B" w:rsidP="00D869F1">
      <w:pPr>
        <w:spacing w:after="0"/>
        <w:jc w:val="both"/>
        <w:rPr>
          <w:rFonts w:cstheme="minorHAnsi"/>
          <w:szCs w:val="22"/>
        </w:rPr>
      </w:pPr>
    </w:p>
    <w:p w:rsidR="009325C4" w:rsidRPr="009325C4" w:rsidRDefault="009325C4" w:rsidP="00D869F1">
      <w:pPr>
        <w:spacing w:after="0"/>
        <w:jc w:val="both"/>
        <w:rPr>
          <w:rFonts w:cstheme="minorHAnsi"/>
          <w:szCs w:val="22"/>
        </w:rPr>
      </w:pPr>
    </w:p>
    <w:sectPr w:rsidR="009325C4" w:rsidRPr="009325C4" w:rsidSect="00FB69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90" w:rsidRDefault="005F0190" w:rsidP="00933A4C">
      <w:pPr>
        <w:spacing w:after="0" w:line="240" w:lineRule="auto"/>
      </w:pPr>
      <w:r>
        <w:separator/>
      </w:r>
    </w:p>
  </w:endnote>
  <w:endnote w:type="continuationSeparator" w:id="0">
    <w:p w:rsidR="005F0190" w:rsidRDefault="005F0190" w:rsidP="0093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90" w:rsidRDefault="005F0190" w:rsidP="00933A4C">
      <w:pPr>
        <w:spacing w:after="0" w:line="240" w:lineRule="auto"/>
      </w:pPr>
      <w:r>
        <w:separator/>
      </w:r>
    </w:p>
  </w:footnote>
  <w:footnote w:type="continuationSeparator" w:id="0">
    <w:p w:rsidR="005F0190" w:rsidRDefault="005F0190" w:rsidP="00933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D23B5"/>
    <w:multiLevelType w:val="hybridMultilevel"/>
    <w:tmpl w:val="40EAB6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F0548"/>
    <w:multiLevelType w:val="hybridMultilevel"/>
    <w:tmpl w:val="3DFC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B6078"/>
    <w:multiLevelType w:val="hybridMultilevel"/>
    <w:tmpl w:val="DEA2A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37"/>
    <w:rsid w:val="000569FF"/>
    <w:rsid w:val="00076B69"/>
    <w:rsid w:val="00082096"/>
    <w:rsid w:val="000B4D2B"/>
    <w:rsid w:val="001262FB"/>
    <w:rsid w:val="001929EA"/>
    <w:rsid w:val="0020680E"/>
    <w:rsid w:val="0029171A"/>
    <w:rsid w:val="00294594"/>
    <w:rsid w:val="002A33DE"/>
    <w:rsid w:val="002B05C2"/>
    <w:rsid w:val="002E3050"/>
    <w:rsid w:val="002F062C"/>
    <w:rsid w:val="00356AD9"/>
    <w:rsid w:val="003735F9"/>
    <w:rsid w:val="00390DA3"/>
    <w:rsid w:val="00494234"/>
    <w:rsid w:val="00535A75"/>
    <w:rsid w:val="005B3A68"/>
    <w:rsid w:val="005B5C54"/>
    <w:rsid w:val="005C2A34"/>
    <w:rsid w:val="005E68AE"/>
    <w:rsid w:val="005F0190"/>
    <w:rsid w:val="005F1CE2"/>
    <w:rsid w:val="00614D1D"/>
    <w:rsid w:val="00684285"/>
    <w:rsid w:val="006B38A6"/>
    <w:rsid w:val="00717998"/>
    <w:rsid w:val="007B4D0A"/>
    <w:rsid w:val="007C1B74"/>
    <w:rsid w:val="007C491A"/>
    <w:rsid w:val="007D6255"/>
    <w:rsid w:val="0080693C"/>
    <w:rsid w:val="008166A1"/>
    <w:rsid w:val="00843162"/>
    <w:rsid w:val="0089694D"/>
    <w:rsid w:val="008C54FF"/>
    <w:rsid w:val="008E57AB"/>
    <w:rsid w:val="00905A9A"/>
    <w:rsid w:val="00917437"/>
    <w:rsid w:val="009325C4"/>
    <w:rsid w:val="00933A4C"/>
    <w:rsid w:val="009345FA"/>
    <w:rsid w:val="009530F3"/>
    <w:rsid w:val="009A2FC1"/>
    <w:rsid w:val="009E3B82"/>
    <w:rsid w:val="00A53340"/>
    <w:rsid w:val="00A80C36"/>
    <w:rsid w:val="00AA73E7"/>
    <w:rsid w:val="00AD3F8B"/>
    <w:rsid w:val="00AD6494"/>
    <w:rsid w:val="00AF725E"/>
    <w:rsid w:val="00B252F2"/>
    <w:rsid w:val="00B35E7A"/>
    <w:rsid w:val="00B40637"/>
    <w:rsid w:val="00BA3A6B"/>
    <w:rsid w:val="00BB059D"/>
    <w:rsid w:val="00BD6539"/>
    <w:rsid w:val="00C4558B"/>
    <w:rsid w:val="00C56ADB"/>
    <w:rsid w:val="00C61F02"/>
    <w:rsid w:val="00C90686"/>
    <w:rsid w:val="00CB4CF7"/>
    <w:rsid w:val="00CC43D1"/>
    <w:rsid w:val="00D03F80"/>
    <w:rsid w:val="00D570C1"/>
    <w:rsid w:val="00D72CB6"/>
    <w:rsid w:val="00D869F1"/>
    <w:rsid w:val="00DF7E16"/>
    <w:rsid w:val="00E33B44"/>
    <w:rsid w:val="00E774F7"/>
    <w:rsid w:val="00EA32E0"/>
    <w:rsid w:val="00EB0D39"/>
    <w:rsid w:val="00EC0F42"/>
    <w:rsid w:val="00F70A5E"/>
    <w:rsid w:val="00F87635"/>
    <w:rsid w:val="00FB6927"/>
    <w:rsid w:val="00FC32F8"/>
    <w:rsid w:val="00FE78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F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72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B6"/>
    <w:rPr>
      <w:rFonts w:ascii="Tahoma" w:hAnsi="Tahoma" w:cs="Tahoma"/>
      <w:sz w:val="16"/>
      <w:szCs w:val="16"/>
    </w:rPr>
  </w:style>
  <w:style w:type="character" w:styleId="Hyperlink">
    <w:name w:val="Hyperlink"/>
    <w:basedOn w:val="DefaultParagraphFont"/>
    <w:uiPriority w:val="99"/>
    <w:unhideWhenUsed/>
    <w:rsid w:val="00356AD9"/>
    <w:rPr>
      <w:color w:val="0000FF" w:themeColor="hyperlink"/>
      <w:u w:val="single"/>
    </w:rPr>
  </w:style>
  <w:style w:type="paragraph" w:styleId="FootnoteText">
    <w:name w:val="footnote text"/>
    <w:basedOn w:val="Normal"/>
    <w:link w:val="FootnoteTextChar"/>
    <w:uiPriority w:val="99"/>
    <w:semiHidden/>
    <w:unhideWhenUsed/>
    <w:rsid w:val="00933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A4C"/>
    <w:rPr>
      <w:sz w:val="20"/>
      <w:szCs w:val="20"/>
    </w:rPr>
  </w:style>
  <w:style w:type="character" w:styleId="FootnoteReference">
    <w:name w:val="footnote reference"/>
    <w:basedOn w:val="DefaultParagraphFont"/>
    <w:uiPriority w:val="99"/>
    <w:semiHidden/>
    <w:unhideWhenUsed/>
    <w:rsid w:val="00933A4C"/>
    <w:rPr>
      <w:vertAlign w:val="superscript"/>
    </w:rPr>
  </w:style>
  <w:style w:type="paragraph" w:styleId="ListParagraph">
    <w:name w:val="List Paragraph"/>
    <w:basedOn w:val="Normal"/>
    <w:uiPriority w:val="34"/>
    <w:qFormat/>
    <w:rsid w:val="00D869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F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72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B6"/>
    <w:rPr>
      <w:rFonts w:ascii="Tahoma" w:hAnsi="Tahoma" w:cs="Tahoma"/>
      <w:sz w:val="16"/>
      <w:szCs w:val="16"/>
    </w:rPr>
  </w:style>
  <w:style w:type="character" w:styleId="Hyperlink">
    <w:name w:val="Hyperlink"/>
    <w:basedOn w:val="DefaultParagraphFont"/>
    <w:uiPriority w:val="99"/>
    <w:unhideWhenUsed/>
    <w:rsid w:val="00356AD9"/>
    <w:rPr>
      <w:color w:val="0000FF" w:themeColor="hyperlink"/>
      <w:u w:val="single"/>
    </w:rPr>
  </w:style>
  <w:style w:type="paragraph" w:styleId="FootnoteText">
    <w:name w:val="footnote text"/>
    <w:basedOn w:val="Normal"/>
    <w:link w:val="FootnoteTextChar"/>
    <w:uiPriority w:val="99"/>
    <w:semiHidden/>
    <w:unhideWhenUsed/>
    <w:rsid w:val="00933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A4C"/>
    <w:rPr>
      <w:sz w:val="20"/>
      <w:szCs w:val="20"/>
    </w:rPr>
  </w:style>
  <w:style w:type="character" w:styleId="FootnoteReference">
    <w:name w:val="footnote reference"/>
    <w:basedOn w:val="DefaultParagraphFont"/>
    <w:uiPriority w:val="99"/>
    <w:semiHidden/>
    <w:unhideWhenUsed/>
    <w:rsid w:val="00933A4C"/>
    <w:rPr>
      <w:vertAlign w:val="superscript"/>
    </w:rPr>
  </w:style>
  <w:style w:type="paragraph" w:styleId="ListParagraph">
    <w:name w:val="List Paragraph"/>
    <w:basedOn w:val="Normal"/>
    <w:uiPriority w:val="34"/>
    <w:qFormat/>
    <w:rsid w:val="00D8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ownloads\sbe9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ownloads\sbe9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wnloads\sbe9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2.4363233665559248E-2"/>
          <c:y val="8.7642872811558969E-2"/>
          <c:w val="0.95127353266888148"/>
          <c:h val="0.37362534534147579"/>
        </c:manualLayout>
      </c:layout>
      <c:barChart>
        <c:barDir val="col"/>
        <c:grouping val="clustered"/>
        <c:varyColors val="0"/>
        <c:ser>
          <c:idx val="0"/>
          <c:order val="0"/>
          <c:tx>
            <c:strRef>
              <c:f>[sbe90.xlsx]Sheet3!$G$4</c:f>
              <c:strCache>
                <c:ptCount val="1"/>
                <c:pt idx="0">
                  <c:v>2016-17 (BE)</c:v>
                </c:pt>
              </c:strCache>
            </c:strRef>
          </c:tx>
          <c:spPr>
            <a:solidFill>
              <a:schemeClr val="tx1"/>
            </a:solidFill>
          </c:spPr>
          <c:invertIfNegative val="0"/>
          <c:dLbls>
            <c:dLbl>
              <c:idx val="0"/>
              <c:layout>
                <c:manualLayout>
                  <c:x val="-1.3291725464817916E-2"/>
                  <c:y val="7.7913297836771029E-3"/>
                </c:manualLayout>
              </c:layout>
              <c:showLegendKey val="0"/>
              <c:showVal val="1"/>
              <c:showCatName val="0"/>
              <c:showSerName val="0"/>
              <c:showPercent val="0"/>
              <c:showBubbleSize val="0"/>
            </c:dLbl>
            <c:dLbl>
              <c:idx val="1"/>
              <c:layout>
                <c:manualLayout>
                  <c:x val="-6.6458627324089596E-3"/>
                  <c:y val="3.8956648918385514E-3"/>
                </c:manualLayout>
              </c:layout>
              <c:showLegendKey val="0"/>
              <c:showVal val="1"/>
              <c:showCatName val="0"/>
              <c:showSerName val="0"/>
              <c:showPercent val="0"/>
              <c:showBubbleSize val="0"/>
            </c:dLbl>
            <c:dLbl>
              <c:idx val="2"/>
              <c:layout>
                <c:manualLayout>
                  <c:x val="-4.4305751549393061E-3"/>
                  <c:y val="1.9478324459192793E-2"/>
                </c:manualLayout>
              </c:layout>
              <c:showLegendKey val="0"/>
              <c:showVal val="1"/>
              <c:showCatName val="0"/>
              <c:showSerName val="0"/>
              <c:showPercent val="0"/>
              <c:showBubbleSize val="0"/>
            </c:dLbl>
            <c:dLbl>
              <c:idx val="8"/>
              <c:layout>
                <c:manualLayout>
                  <c:x val="-6.6458627324089596E-3"/>
                  <c:y val="1.5582659567354206E-2"/>
                </c:manualLayout>
              </c:layout>
              <c:showLegendKey val="0"/>
              <c:showVal val="1"/>
              <c:showCatName val="0"/>
              <c:showSerName val="0"/>
              <c:showPercent val="0"/>
              <c:showBubbleSize val="0"/>
            </c:dLbl>
            <c:dLbl>
              <c:idx val="9"/>
              <c:layout>
                <c:manualLayout>
                  <c:x val="-8.8611503098786123E-3"/>
                  <c:y val="1.168699467551565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[sbe90.xlsx]Sheet3!$B$5:$F$18</c:f>
              <c:strCache>
                <c:ptCount val="14"/>
                <c:pt idx="0">
                  <c:v>Assistance to Disabled Persons for Purchase/Fitting of Aids and Applicances</c:v>
                </c:pt>
                <c:pt idx="1">
                  <c:v>Information and Mass Education Cell</c:v>
                </c:pt>
                <c:pt idx="2">
                  <c:v>Deendayal Disabled Rehabilitation Scheme</c:v>
                </c:pt>
                <c:pt idx="3">
                  <c:v>Support to Establishment/Modernization/Capacity augmentation of Braille Presses</c:v>
                </c:pt>
                <c:pt idx="4">
                  <c:v>In-service training and sensitization, employment of physically challenged</c:v>
                </c:pt>
                <c:pt idx="5">
                  <c:v>Support of National Trust</c:v>
                </c:pt>
                <c:pt idx="6">
                  <c:v>Setting up of State Spinal Injury Centre</c:v>
                </c:pt>
                <c:pt idx="7">
                  <c:v>Indian Spinal Injury Centre</c:v>
                </c:pt>
                <c:pt idx="8">
                  <c:v>National Fellowship for Persons with  Disabilities (PwD)</c:v>
                </c:pt>
                <c:pt idx="9">
                  <c:v>Post-matric Scholarship to students with disabilities</c:v>
                </c:pt>
                <c:pt idx="10">
                  <c:v>Pre-matric Scholarship to students with disabilities</c:v>
                </c:pt>
                <c:pt idx="11">
                  <c:v>National Overseas Scholarship for Students with Disabilities</c:v>
                </c:pt>
                <c:pt idx="12">
                  <c:v>Free Coaching for Students with Disabilites</c:v>
                </c:pt>
                <c:pt idx="13">
                  <c:v>Scholarship For Top Class Education for Students with Disabilities</c:v>
                </c:pt>
              </c:strCache>
            </c:strRef>
          </c:cat>
          <c:val>
            <c:numRef>
              <c:f>[sbe90.xlsx]Sheet3!$G$5:$G$18</c:f>
              <c:numCache>
                <c:formatCode>0</c:formatCode>
                <c:ptCount val="14"/>
                <c:pt idx="0">
                  <c:v>130</c:v>
                </c:pt>
                <c:pt idx="1">
                  <c:v>70</c:v>
                </c:pt>
                <c:pt idx="2">
                  <c:v>45</c:v>
                </c:pt>
                <c:pt idx="3">
                  <c:v>9.1</c:v>
                </c:pt>
                <c:pt idx="4">
                  <c:v>5.51</c:v>
                </c:pt>
                <c:pt idx="5">
                  <c:v>5</c:v>
                </c:pt>
                <c:pt idx="6">
                  <c:v>4</c:v>
                </c:pt>
                <c:pt idx="7">
                  <c:v>2</c:v>
                </c:pt>
                <c:pt idx="8">
                  <c:v>19.5</c:v>
                </c:pt>
                <c:pt idx="9">
                  <c:v>8</c:v>
                </c:pt>
                <c:pt idx="10">
                  <c:v>4</c:v>
                </c:pt>
                <c:pt idx="11">
                  <c:v>1</c:v>
                </c:pt>
                <c:pt idx="12">
                  <c:v>1</c:v>
                </c:pt>
                <c:pt idx="13">
                  <c:v>1</c:v>
                </c:pt>
              </c:numCache>
            </c:numRef>
          </c:val>
        </c:ser>
        <c:ser>
          <c:idx val="1"/>
          <c:order val="1"/>
          <c:tx>
            <c:strRef>
              <c:f>[sbe90.xlsx]Sheet3!$H$4</c:f>
              <c:strCache>
                <c:ptCount val="1"/>
                <c:pt idx="0">
                  <c:v>2017-18 (BE)</c:v>
                </c:pt>
              </c:strCache>
            </c:strRef>
          </c:tx>
          <c:spPr>
            <a:ln>
              <a:solidFill>
                <a:schemeClr val="tx1"/>
              </a:solidFill>
            </a:ln>
          </c:spPr>
          <c:invertIfNegative val="0"/>
          <c:dLbls>
            <c:dLbl>
              <c:idx val="1"/>
              <c:layout>
                <c:manualLayout>
                  <c:x val="6.6458627324089596E-3"/>
                  <c:y val="1.5582659567354206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[sbe90.xlsx]Sheet3!$B$5:$F$18</c:f>
              <c:strCache>
                <c:ptCount val="14"/>
                <c:pt idx="0">
                  <c:v>Assistance to Disabled Persons for Purchase/Fitting of Aids and Applicances</c:v>
                </c:pt>
                <c:pt idx="1">
                  <c:v>Information and Mass Education Cell</c:v>
                </c:pt>
                <c:pt idx="2">
                  <c:v>Deendayal Disabled Rehabilitation Scheme</c:v>
                </c:pt>
                <c:pt idx="3">
                  <c:v>Support to Establishment/Modernization/Capacity augmentation of Braille Presses</c:v>
                </c:pt>
                <c:pt idx="4">
                  <c:v>In-service training and sensitization, employment of physically challenged</c:v>
                </c:pt>
                <c:pt idx="5">
                  <c:v>Support of National Trust</c:v>
                </c:pt>
                <c:pt idx="6">
                  <c:v>Setting up of State Spinal Injury Centre</c:v>
                </c:pt>
                <c:pt idx="7">
                  <c:v>Indian Spinal Injury Centre</c:v>
                </c:pt>
                <c:pt idx="8">
                  <c:v>National Fellowship for Persons with  Disabilities (PwD)</c:v>
                </c:pt>
                <c:pt idx="9">
                  <c:v>Post-matric Scholarship to students with disabilities</c:v>
                </c:pt>
                <c:pt idx="10">
                  <c:v>Pre-matric Scholarship to students with disabilities</c:v>
                </c:pt>
                <c:pt idx="11">
                  <c:v>National Overseas Scholarship for Students with Disabilities</c:v>
                </c:pt>
                <c:pt idx="12">
                  <c:v>Free Coaching for Students with Disabilites</c:v>
                </c:pt>
                <c:pt idx="13">
                  <c:v>Scholarship For Top Class Education for Students with Disabilities</c:v>
                </c:pt>
              </c:strCache>
            </c:strRef>
          </c:cat>
          <c:val>
            <c:numRef>
              <c:f>[sbe90.xlsx]Sheet3!$H$5:$H$18</c:f>
              <c:numCache>
                <c:formatCode>0</c:formatCode>
                <c:ptCount val="14"/>
                <c:pt idx="0">
                  <c:v>150</c:v>
                </c:pt>
                <c:pt idx="1">
                  <c:v>50</c:v>
                </c:pt>
                <c:pt idx="2">
                  <c:v>60</c:v>
                </c:pt>
                <c:pt idx="3">
                  <c:v>10</c:v>
                </c:pt>
                <c:pt idx="4">
                  <c:v>5.1100000000000003</c:v>
                </c:pt>
                <c:pt idx="5">
                  <c:v>15.22</c:v>
                </c:pt>
                <c:pt idx="6">
                  <c:v>5</c:v>
                </c:pt>
                <c:pt idx="7">
                  <c:v>2</c:v>
                </c:pt>
                <c:pt idx="8">
                  <c:v>24</c:v>
                </c:pt>
                <c:pt idx="9">
                  <c:v>10</c:v>
                </c:pt>
                <c:pt idx="10">
                  <c:v>7</c:v>
                </c:pt>
                <c:pt idx="11">
                  <c:v>2</c:v>
                </c:pt>
                <c:pt idx="12">
                  <c:v>2</c:v>
                </c:pt>
                <c:pt idx="13">
                  <c:v>5.4</c:v>
                </c:pt>
              </c:numCache>
            </c:numRef>
          </c:val>
        </c:ser>
        <c:dLbls>
          <c:showLegendKey val="0"/>
          <c:showVal val="0"/>
          <c:showCatName val="0"/>
          <c:showSerName val="0"/>
          <c:showPercent val="0"/>
          <c:showBubbleSize val="0"/>
        </c:dLbls>
        <c:gapWidth val="150"/>
        <c:axId val="70926720"/>
        <c:axId val="70928256"/>
      </c:barChart>
      <c:catAx>
        <c:axId val="70926720"/>
        <c:scaling>
          <c:orientation val="minMax"/>
        </c:scaling>
        <c:delete val="0"/>
        <c:axPos val="b"/>
        <c:majorTickMark val="out"/>
        <c:minorTickMark val="none"/>
        <c:tickLblPos val="nextTo"/>
        <c:txPr>
          <a:bodyPr rot="-5400000" vert="horz"/>
          <a:lstStyle/>
          <a:p>
            <a:pPr>
              <a:defRPr sz="800"/>
            </a:pPr>
            <a:endParaRPr lang="en-US"/>
          </a:p>
        </c:txPr>
        <c:crossAx val="70928256"/>
        <c:crosses val="autoZero"/>
        <c:auto val="1"/>
        <c:lblAlgn val="ctr"/>
        <c:lblOffset val="100"/>
        <c:noMultiLvlLbl val="0"/>
      </c:catAx>
      <c:valAx>
        <c:axId val="70928256"/>
        <c:scaling>
          <c:orientation val="minMax"/>
        </c:scaling>
        <c:delete val="1"/>
        <c:axPos val="l"/>
        <c:numFmt formatCode="0" sourceLinked="1"/>
        <c:majorTickMark val="out"/>
        <c:minorTickMark val="none"/>
        <c:tickLblPos val="nextTo"/>
        <c:crossAx val="70926720"/>
        <c:crosses val="autoZero"/>
        <c:crossBetween val="between"/>
      </c:valAx>
    </c:plotArea>
    <c:legend>
      <c:legendPos val="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[sbe90.xlsx]Sheet3!$H$23</c:f>
              <c:strCache>
                <c:ptCount val="1"/>
                <c:pt idx="0">
                  <c:v>2016-17 (BE)</c:v>
                </c:pt>
              </c:strCache>
            </c:strRef>
          </c:tx>
          <c:spPr>
            <a:solidFill>
              <a:schemeClr val="tx1"/>
            </a:solidFill>
          </c:spPr>
          <c:invertIfNegative val="0"/>
          <c:dLbls>
            <c:showLegendKey val="0"/>
            <c:showVal val="1"/>
            <c:showCatName val="0"/>
            <c:showSerName val="0"/>
            <c:showPercent val="0"/>
            <c:showBubbleSize val="0"/>
            <c:showLeaderLines val="0"/>
          </c:dLbls>
          <c:cat>
            <c:strRef>
              <c:f>[sbe90.xlsx]Sheet3!$C$25:$G$28</c:f>
              <c:strCache>
                <c:ptCount val="4"/>
                <c:pt idx="0">
                  <c:v>National University of Rehabilitation Science and Disabiltiy Studies</c:v>
                </c:pt>
                <c:pt idx="1">
                  <c:v>Rehabilitation Council of India</c:v>
                </c:pt>
                <c:pt idx="2">
                  <c:v>Indian Sign Language, Research and Training Centre</c:v>
                </c:pt>
                <c:pt idx="3">
                  <c:v>Centre for Disability Sports</c:v>
                </c:pt>
              </c:strCache>
            </c:strRef>
          </c:cat>
          <c:val>
            <c:numRef>
              <c:f>[sbe90.xlsx]Sheet3!$H$25:$H$28</c:f>
              <c:numCache>
                <c:formatCode>0.00</c:formatCode>
                <c:ptCount val="4"/>
                <c:pt idx="0">
                  <c:v>45</c:v>
                </c:pt>
                <c:pt idx="1">
                  <c:v>6</c:v>
                </c:pt>
                <c:pt idx="2">
                  <c:v>3</c:v>
                </c:pt>
                <c:pt idx="3">
                  <c:v>1</c:v>
                </c:pt>
              </c:numCache>
            </c:numRef>
          </c:val>
        </c:ser>
        <c:ser>
          <c:idx val="1"/>
          <c:order val="1"/>
          <c:tx>
            <c:strRef>
              <c:f>[sbe90.xlsx]Sheet3!$I$23</c:f>
              <c:strCache>
                <c:ptCount val="1"/>
                <c:pt idx="0">
                  <c:v>2017-18 (BE)</c:v>
                </c:pt>
              </c:strCache>
            </c:strRef>
          </c:tx>
          <c:spPr>
            <a:solidFill>
              <a:schemeClr val="bg1">
                <a:lumMod val="85000"/>
              </a:schemeClr>
            </a:solidFill>
            <a:ln>
              <a:solidFill>
                <a:schemeClr val="tx1"/>
              </a:solidFill>
            </a:ln>
          </c:spPr>
          <c:invertIfNegative val="0"/>
          <c:dLbls>
            <c:showLegendKey val="0"/>
            <c:showVal val="1"/>
            <c:showCatName val="0"/>
            <c:showSerName val="0"/>
            <c:showPercent val="0"/>
            <c:showBubbleSize val="0"/>
            <c:showLeaderLines val="0"/>
          </c:dLbls>
          <c:cat>
            <c:strRef>
              <c:f>[sbe90.xlsx]Sheet3!$C$25:$G$28</c:f>
              <c:strCache>
                <c:ptCount val="4"/>
                <c:pt idx="0">
                  <c:v>National University of Rehabilitation Science and Disabiltiy Studies</c:v>
                </c:pt>
                <c:pt idx="1">
                  <c:v>Rehabilitation Council of India</c:v>
                </c:pt>
                <c:pt idx="2">
                  <c:v>Indian Sign Language, Research and Training Centre</c:v>
                </c:pt>
                <c:pt idx="3">
                  <c:v>Centre for Disability Sports</c:v>
                </c:pt>
              </c:strCache>
            </c:strRef>
          </c:cat>
          <c:val>
            <c:numRef>
              <c:f>[sbe90.xlsx]Sheet3!$I$25:$I$28</c:f>
              <c:numCache>
                <c:formatCode>0.00</c:formatCode>
                <c:ptCount val="4"/>
                <c:pt idx="0">
                  <c:v>35</c:v>
                </c:pt>
                <c:pt idx="1">
                  <c:v>6.35</c:v>
                </c:pt>
                <c:pt idx="2">
                  <c:v>4.5</c:v>
                </c:pt>
                <c:pt idx="3">
                  <c:v>2.5</c:v>
                </c:pt>
              </c:numCache>
            </c:numRef>
          </c:val>
        </c:ser>
        <c:dLbls>
          <c:showLegendKey val="0"/>
          <c:showVal val="0"/>
          <c:showCatName val="0"/>
          <c:showSerName val="0"/>
          <c:showPercent val="0"/>
          <c:showBubbleSize val="0"/>
        </c:dLbls>
        <c:gapWidth val="150"/>
        <c:axId val="70998656"/>
        <c:axId val="71000448"/>
      </c:barChart>
      <c:catAx>
        <c:axId val="70998656"/>
        <c:scaling>
          <c:orientation val="minMax"/>
        </c:scaling>
        <c:delete val="0"/>
        <c:axPos val="b"/>
        <c:majorTickMark val="out"/>
        <c:minorTickMark val="none"/>
        <c:tickLblPos val="nextTo"/>
        <c:crossAx val="71000448"/>
        <c:crosses val="autoZero"/>
        <c:auto val="1"/>
        <c:lblAlgn val="ctr"/>
        <c:lblOffset val="100"/>
        <c:noMultiLvlLbl val="0"/>
      </c:catAx>
      <c:valAx>
        <c:axId val="71000448"/>
        <c:scaling>
          <c:orientation val="minMax"/>
        </c:scaling>
        <c:delete val="1"/>
        <c:axPos val="l"/>
        <c:numFmt formatCode="0.00" sourceLinked="1"/>
        <c:majorTickMark val="out"/>
        <c:minorTickMark val="none"/>
        <c:tickLblPos val="nextTo"/>
        <c:crossAx val="70998656"/>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a:solidFill>
                <a:schemeClr val="tx1"/>
              </a:solidFill>
            </a:ln>
          </c:spPr>
          <c:marker>
            <c:spPr>
              <a:ln>
                <a:solidFill>
                  <a:schemeClr val="tx1"/>
                </a:solidFill>
              </a:ln>
            </c:spPr>
          </c:marker>
          <c:dLbls>
            <c:dLblPos val="t"/>
            <c:showLegendKey val="0"/>
            <c:showVal val="1"/>
            <c:showCatName val="0"/>
            <c:showSerName val="0"/>
            <c:showPercent val="0"/>
            <c:showBubbleSize val="0"/>
            <c:showLeaderLines val="0"/>
          </c:dLbls>
          <c:cat>
            <c:strRef>
              <c:f>[sbe90.xlsx]Sheet3!$L$38:$L$40</c:f>
              <c:strCache>
                <c:ptCount val="3"/>
                <c:pt idx="0">
                  <c:v>2015-16 (A)</c:v>
                </c:pt>
                <c:pt idx="1">
                  <c:v>2016-17(RE)</c:v>
                </c:pt>
                <c:pt idx="2">
                  <c:v>2017-18(BE)</c:v>
                </c:pt>
              </c:strCache>
            </c:strRef>
          </c:cat>
          <c:val>
            <c:numRef>
              <c:f>[sbe90.xlsx]Sheet3!$M$38:$M$40</c:f>
              <c:numCache>
                <c:formatCode>General</c:formatCode>
                <c:ptCount val="3"/>
                <c:pt idx="0">
                  <c:v>1.06</c:v>
                </c:pt>
                <c:pt idx="1">
                  <c:v>1.08</c:v>
                </c:pt>
                <c:pt idx="2">
                  <c:v>0.98</c:v>
                </c:pt>
              </c:numCache>
            </c:numRef>
          </c:val>
          <c:smooth val="0"/>
        </c:ser>
        <c:dLbls>
          <c:showLegendKey val="0"/>
          <c:showVal val="0"/>
          <c:showCatName val="0"/>
          <c:showSerName val="0"/>
          <c:showPercent val="0"/>
          <c:showBubbleSize val="0"/>
        </c:dLbls>
        <c:marker val="1"/>
        <c:smooth val="0"/>
        <c:axId val="91333376"/>
        <c:axId val="91334912"/>
      </c:lineChart>
      <c:catAx>
        <c:axId val="91333376"/>
        <c:scaling>
          <c:orientation val="minMax"/>
        </c:scaling>
        <c:delete val="0"/>
        <c:axPos val="b"/>
        <c:majorTickMark val="out"/>
        <c:minorTickMark val="none"/>
        <c:tickLblPos val="nextTo"/>
        <c:crossAx val="91334912"/>
        <c:crosses val="autoZero"/>
        <c:auto val="1"/>
        <c:lblAlgn val="ctr"/>
        <c:lblOffset val="100"/>
        <c:noMultiLvlLbl val="0"/>
      </c:catAx>
      <c:valAx>
        <c:axId val="91334912"/>
        <c:scaling>
          <c:orientation val="minMax"/>
        </c:scaling>
        <c:delete val="1"/>
        <c:axPos val="l"/>
        <c:numFmt formatCode="General" sourceLinked="1"/>
        <c:majorTickMark val="out"/>
        <c:minorTickMark val="none"/>
        <c:tickLblPos val="nextTo"/>
        <c:crossAx val="913333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A5912-0766-49BF-8061-649E7BE5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B.Meenakshi</dc:creator>
  <cp:lastModifiedBy>SAUMYA</cp:lastModifiedBy>
  <cp:revision>3</cp:revision>
  <dcterms:created xsi:type="dcterms:W3CDTF">2017-02-02T02:53:00Z</dcterms:created>
  <dcterms:modified xsi:type="dcterms:W3CDTF">2017-02-02T03:51:00Z</dcterms:modified>
</cp:coreProperties>
</file>