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AA" w:rsidRDefault="004A06AA" w:rsidP="0007746B">
      <w:pPr>
        <w:jc w:val="center"/>
        <w:rPr>
          <w:rFonts w:cs="Arial Narrow"/>
          <w:lang w:bidi="bn-IN"/>
        </w:rPr>
      </w:pPr>
      <w:bookmarkStart w:id="0" w:name="_GoBack"/>
      <w:bookmarkEnd w:id="0"/>
      <w:r w:rsidRPr="0007746B">
        <w:rPr>
          <w:rFonts w:cs="Arial Narrow"/>
          <w:lang w:bidi="bn-IN"/>
        </w:rPr>
        <w:t>12</w:t>
      </w:r>
      <w:r w:rsidR="008679B5">
        <w:rPr>
          <w:rFonts w:cs="Arial Narrow"/>
          <w:lang w:bidi="bn-IN"/>
        </w:rPr>
        <w:t>.</w:t>
      </w:r>
      <w:r w:rsidRPr="0007746B">
        <w:rPr>
          <w:rFonts w:cs="Arial Narrow"/>
          <w:lang w:bidi="bn-IN"/>
        </w:rPr>
        <w:t xml:space="preserve"> CHILDREN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79B5" w:rsidTr="008679B5">
        <w:tc>
          <w:tcPr>
            <w:tcW w:w="9242" w:type="dxa"/>
          </w:tcPr>
          <w:p w:rsidR="008679B5" w:rsidRPr="0007746B" w:rsidRDefault="008679B5" w:rsidP="007B10C2">
            <w:pPr>
              <w:jc w:val="center"/>
              <w:rPr>
                <w:rFonts w:cs="Arial Narrow"/>
                <w:lang w:bidi="bn-IN"/>
              </w:rPr>
            </w:pPr>
            <w:r w:rsidRPr="0007746B">
              <w:rPr>
                <w:rFonts w:cs="Arial Narrow"/>
                <w:lang w:bidi="bn-IN"/>
              </w:rPr>
              <w:t>Highlights</w:t>
            </w:r>
          </w:p>
          <w:p w:rsidR="008679B5" w:rsidRPr="0007746B" w:rsidRDefault="008679B5" w:rsidP="008679B5">
            <w:pPr>
              <w:pStyle w:val="ListParagraph"/>
              <w:numPr>
                <w:ilvl w:val="0"/>
                <w:numId w:val="2"/>
              </w:numPr>
              <w:spacing w:before="86"/>
              <w:ind w:right="-20"/>
              <w:jc w:val="both"/>
              <w:rPr>
                <w:rFonts w:eastAsia="Calibri" w:cs="Calibri"/>
              </w:rPr>
            </w:pPr>
            <w:r w:rsidRPr="0007746B">
              <w:rPr>
                <w:rFonts w:eastAsia="Calibri" w:cs="Calibri"/>
              </w:rPr>
              <w:t>No n</w:t>
            </w:r>
            <w:r w:rsidRPr="0007746B">
              <w:rPr>
                <w:rFonts w:eastAsia="Calibri" w:cs="Calibri"/>
                <w:spacing w:val="-1"/>
              </w:rPr>
              <w:t>e</w:t>
            </w:r>
            <w:r w:rsidRPr="0007746B">
              <w:rPr>
                <w:rFonts w:eastAsia="Calibri" w:cs="Calibri"/>
              </w:rPr>
              <w:t>w announceme</w:t>
            </w:r>
            <w:r w:rsidRPr="0007746B">
              <w:rPr>
                <w:rFonts w:eastAsia="Calibri" w:cs="Calibri"/>
                <w:spacing w:val="-2"/>
              </w:rPr>
              <w:t>n</w:t>
            </w:r>
            <w:r w:rsidRPr="0007746B">
              <w:rPr>
                <w:rFonts w:eastAsia="Calibri" w:cs="Calibri"/>
              </w:rPr>
              <w:t>ts specific</w:t>
            </w:r>
            <w:r w:rsidRPr="0007746B">
              <w:rPr>
                <w:rFonts w:eastAsia="Calibri" w:cs="Calibri"/>
                <w:spacing w:val="-6"/>
              </w:rPr>
              <w:t xml:space="preserve"> </w:t>
            </w:r>
            <w:r w:rsidRPr="0007746B">
              <w:rPr>
                <w:rFonts w:eastAsia="Calibri" w:cs="Calibri"/>
                <w:spacing w:val="-2"/>
              </w:rPr>
              <w:t>t</w:t>
            </w:r>
            <w:r w:rsidRPr="0007746B">
              <w:rPr>
                <w:rFonts w:eastAsia="Calibri" w:cs="Calibri"/>
              </w:rPr>
              <w:t>o child</w:t>
            </w:r>
            <w:r w:rsidRPr="0007746B">
              <w:rPr>
                <w:rFonts w:eastAsia="Calibri" w:cs="Calibri"/>
                <w:spacing w:val="-2"/>
              </w:rPr>
              <w:t>r</w:t>
            </w:r>
            <w:r w:rsidRPr="0007746B">
              <w:rPr>
                <w:rFonts w:eastAsia="Calibri" w:cs="Calibri"/>
              </w:rPr>
              <w:t>en h</w:t>
            </w:r>
            <w:r w:rsidRPr="0007746B">
              <w:rPr>
                <w:rFonts w:eastAsia="Calibri" w:cs="Calibri"/>
                <w:spacing w:val="-3"/>
              </w:rPr>
              <w:t>a</w:t>
            </w:r>
            <w:r w:rsidRPr="0007746B">
              <w:rPr>
                <w:rFonts w:eastAsia="Calibri" w:cs="Calibri"/>
                <w:spacing w:val="-2"/>
              </w:rPr>
              <w:t>v</w:t>
            </w:r>
            <w:r w:rsidRPr="0007746B">
              <w:rPr>
                <w:rFonts w:eastAsia="Calibri" w:cs="Calibri"/>
              </w:rPr>
              <w:t>e been made in the Bud</w:t>
            </w:r>
            <w:r w:rsidRPr="0007746B">
              <w:rPr>
                <w:rFonts w:eastAsia="Calibri" w:cs="Calibri"/>
                <w:spacing w:val="-1"/>
              </w:rPr>
              <w:t>ge</w:t>
            </w:r>
            <w:r w:rsidRPr="0007746B">
              <w:rPr>
                <w:rFonts w:eastAsia="Calibri" w:cs="Calibri"/>
              </w:rPr>
              <w:t>t Speech.</w:t>
            </w:r>
          </w:p>
          <w:p w:rsidR="008679B5" w:rsidRDefault="008679B5" w:rsidP="008679B5">
            <w:pPr>
              <w:pStyle w:val="ListParagraph"/>
              <w:numPr>
                <w:ilvl w:val="0"/>
                <w:numId w:val="2"/>
              </w:numPr>
              <w:spacing w:before="86"/>
              <w:ind w:right="-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</w:t>
            </w:r>
            <w:r w:rsidRPr="0007746B">
              <w:rPr>
                <w:rFonts w:eastAsia="Calibri" w:cs="Calibri"/>
              </w:rPr>
              <w:t>he total budget</w:t>
            </w:r>
            <w:r>
              <w:rPr>
                <w:rFonts w:eastAsia="Calibri" w:cs="Calibri"/>
              </w:rPr>
              <w:t xml:space="preserve"> for children</w:t>
            </w:r>
            <w:r w:rsidRPr="0007746B">
              <w:rPr>
                <w:rFonts w:eastAsia="Calibri" w:cs="Calibri"/>
              </w:rPr>
              <w:t xml:space="preserve"> has increased by </w:t>
            </w:r>
            <w:proofErr w:type="spellStart"/>
            <w:r w:rsidRPr="0007746B">
              <w:rPr>
                <w:rFonts w:eastAsia="Calibri" w:cs="Calibri"/>
              </w:rPr>
              <w:t>Rs</w:t>
            </w:r>
            <w:proofErr w:type="spellEnd"/>
            <w:r w:rsidRPr="0007746B">
              <w:rPr>
                <w:rFonts w:eastAsia="Calibri" w:cs="Calibri"/>
              </w:rPr>
              <w:t xml:space="preserve"> 5</w:t>
            </w:r>
            <w:r w:rsidR="009C2C7F">
              <w:rPr>
                <w:rFonts w:eastAsia="Calibri" w:cs="Calibri"/>
              </w:rPr>
              <w:t>,</w:t>
            </w:r>
            <w:r w:rsidRPr="0007746B">
              <w:rPr>
                <w:rFonts w:eastAsia="Calibri" w:cs="Calibri"/>
              </w:rPr>
              <w:t>547 crore in 2017-18 (BE) from 2016-17 (BE)</w:t>
            </w:r>
            <w:r>
              <w:rPr>
                <w:rFonts w:eastAsia="Calibri" w:cs="Calibri"/>
              </w:rPr>
              <w:t>.</w:t>
            </w:r>
          </w:p>
          <w:p w:rsidR="008679B5" w:rsidRPr="0007746B" w:rsidRDefault="008679B5" w:rsidP="008679B5">
            <w:pPr>
              <w:pStyle w:val="ListParagraph"/>
              <w:numPr>
                <w:ilvl w:val="0"/>
                <w:numId w:val="2"/>
              </w:numPr>
              <w:spacing w:before="86"/>
              <w:ind w:right="-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</w:t>
            </w:r>
            <w:r w:rsidRPr="0007746B">
              <w:rPr>
                <w:rFonts w:eastAsia="Calibri" w:cs="Calibri"/>
              </w:rPr>
              <w:t xml:space="preserve">he share of child specific interventions in the total Union Budget has remained stagnant </w:t>
            </w:r>
            <w:r>
              <w:rPr>
                <w:rFonts w:eastAsia="Calibri" w:cs="Calibri"/>
              </w:rPr>
              <w:t xml:space="preserve">at 3.3% during the last 3 years. </w:t>
            </w:r>
            <w:r w:rsidR="009C2C7F">
              <w:rPr>
                <w:rFonts w:eastAsia="Calibri" w:cs="Calibri"/>
              </w:rPr>
              <w:t xml:space="preserve">It </w:t>
            </w:r>
            <w:r>
              <w:rPr>
                <w:rFonts w:eastAsia="Calibri" w:cs="Calibri"/>
              </w:rPr>
              <w:t>ha</w:t>
            </w:r>
            <w:r w:rsidR="009C2C7F">
              <w:rPr>
                <w:rFonts w:eastAsia="Calibri" w:cs="Calibri"/>
              </w:rPr>
              <w:t>s</w:t>
            </w:r>
            <w:r>
              <w:rPr>
                <w:rFonts w:eastAsia="Calibri" w:cs="Calibri"/>
              </w:rPr>
              <w:t xml:space="preserve"> registered a declining trend </w:t>
            </w:r>
            <w:r w:rsidRPr="0007746B">
              <w:rPr>
                <w:rFonts w:eastAsia="Calibri" w:cs="Calibri"/>
              </w:rPr>
              <w:t>from 2012-13 (RE).</w:t>
            </w:r>
          </w:p>
          <w:p w:rsidR="008679B5" w:rsidRPr="008679B5" w:rsidRDefault="008679B5" w:rsidP="008679B5">
            <w:pPr>
              <w:pStyle w:val="ListParagraph"/>
              <w:numPr>
                <w:ilvl w:val="0"/>
                <w:numId w:val="2"/>
              </w:numPr>
              <w:spacing w:before="86"/>
              <w:ind w:right="-20"/>
              <w:jc w:val="both"/>
              <w:rPr>
                <w:rFonts w:eastAsia="Calibri" w:cs="Calibri"/>
              </w:rPr>
            </w:pPr>
            <w:r w:rsidRPr="0007746B">
              <w:rPr>
                <w:rFonts w:eastAsia="Calibri" w:cs="Calibri"/>
                <w:spacing w:val="-3"/>
              </w:rPr>
              <w:t>E</w:t>
            </w:r>
            <w:r w:rsidRPr="0007746B">
              <w:rPr>
                <w:rFonts w:eastAsia="Calibri" w:cs="Calibri"/>
              </w:rPr>
              <w:t>du</w:t>
            </w:r>
            <w:r w:rsidRPr="0007746B">
              <w:rPr>
                <w:rFonts w:eastAsia="Calibri" w:cs="Calibri"/>
                <w:spacing w:val="-2"/>
              </w:rPr>
              <w:t>ca</w:t>
            </w:r>
            <w:r w:rsidRPr="0007746B">
              <w:rPr>
                <w:rFonts w:eastAsia="Calibri" w:cs="Calibri"/>
              </w:rPr>
              <w:t>tion</w:t>
            </w:r>
            <w:r w:rsidRPr="0007746B">
              <w:rPr>
                <w:rFonts w:eastAsia="Calibri" w:cs="Calibri"/>
                <w:spacing w:val="8"/>
              </w:rPr>
              <w:t xml:space="preserve"> </w:t>
            </w:r>
            <w:r w:rsidRPr="0007746B">
              <w:rPr>
                <w:rFonts w:eastAsia="Calibri" w:cs="Calibri"/>
              </w:rPr>
              <w:t>ac</w:t>
            </w:r>
            <w:r w:rsidRPr="0007746B">
              <w:rPr>
                <w:rFonts w:eastAsia="Calibri" w:cs="Calibri"/>
                <w:spacing w:val="-2"/>
              </w:rPr>
              <w:t>c</w:t>
            </w:r>
            <w:r w:rsidRPr="0007746B">
              <w:rPr>
                <w:rFonts w:eastAsia="Calibri" w:cs="Calibri"/>
              </w:rPr>
              <w:t>ou</w:t>
            </w:r>
            <w:r w:rsidRPr="0007746B">
              <w:rPr>
                <w:rFonts w:eastAsia="Calibri" w:cs="Calibri"/>
                <w:spacing w:val="-2"/>
              </w:rPr>
              <w:t>n</w:t>
            </w:r>
            <w:r w:rsidRPr="0007746B">
              <w:rPr>
                <w:rFonts w:eastAsia="Calibri" w:cs="Calibri"/>
              </w:rPr>
              <w:t>ts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  <w:spacing w:val="-4"/>
              </w:rPr>
              <w:t>f</w:t>
            </w:r>
            <w:r w:rsidRPr="0007746B">
              <w:rPr>
                <w:rFonts w:eastAsia="Calibri" w:cs="Calibri"/>
              </w:rPr>
              <w:t>or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a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high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sha</w:t>
            </w:r>
            <w:r w:rsidRPr="0007746B">
              <w:rPr>
                <w:rFonts w:eastAsia="Calibri" w:cs="Calibri"/>
                <w:spacing w:val="-3"/>
              </w:rPr>
              <w:t>r</w:t>
            </w:r>
            <w:r w:rsidRPr="0007746B">
              <w:rPr>
                <w:rFonts w:eastAsia="Calibri" w:cs="Calibri"/>
              </w:rPr>
              <w:t>e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in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the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bud</w:t>
            </w:r>
            <w:r w:rsidRPr="0007746B">
              <w:rPr>
                <w:rFonts w:eastAsia="Calibri" w:cs="Calibri"/>
                <w:spacing w:val="-1"/>
              </w:rPr>
              <w:t>ge</w:t>
            </w:r>
            <w:r w:rsidRPr="0007746B">
              <w:rPr>
                <w:rFonts w:eastAsia="Calibri" w:cs="Calibri"/>
              </w:rPr>
              <w:t>t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  <w:spacing w:val="-4"/>
              </w:rPr>
              <w:t>f</w:t>
            </w:r>
            <w:r w:rsidRPr="0007746B">
              <w:rPr>
                <w:rFonts w:eastAsia="Calibri" w:cs="Calibri"/>
              </w:rPr>
              <w:t>or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child</w:t>
            </w:r>
            <w:r w:rsidRPr="0007746B">
              <w:rPr>
                <w:rFonts w:eastAsia="Calibri" w:cs="Calibri"/>
                <w:spacing w:val="-2"/>
              </w:rPr>
              <w:t>r</w:t>
            </w:r>
            <w:r w:rsidRPr="0007746B">
              <w:rPr>
                <w:rFonts w:eastAsia="Calibri" w:cs="Calibri"/>
              </w:rPr>
              <w:t>en,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with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child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health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and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child</w:t>
            </w:r>
            <w:r w:rsidRPr="0007746B">
              <w:rPr>
                <w:rFonts w:eastAsia="Calibri" w:cs="Calibri"/>
                <w:spacing w:val="11"/>
              </w:rPr>
              <w:t xml:space="preserve"> </w:t>
            </w:r>
            <w:r w:rsidRPr="0007746B">
              <w:rPr>
                <w:rFonts w:eastAsia="Calibri" w:cs="Calibri"/>
              </w:rPr>
              <w:t>p</w:t>
            </w:r>
            <w:r w:rsidRPr="0007746B">
              <w:rPr>
                <w:rFonts w:eastAsia="Calibri" w:cs="Calibri"/>
                <w:spacing w:val="-3"/>
              </w:rPr>
              <w:t>r</w:t>
            </w:r>
            <w:r w:rsidRPr="0007746B">
              <w:rPr>
                <w:rFonts w:eastAsia="Calibri" w:cs="Calibri"/>
              </w:rPr>
              <w:t>o</w:t>
            </w:r>
            <w:r w:rsidRPr="0007746B">
              <w:rPr>
                <w:rFonts w:eastAsia="Calibri" w:cs="Calibri"/>
                <w:spacing w:val="-2"/>
              </w:rPr>
              <w:t>t</w:t>
            </w:r>
            <w:r w:rsidRPr="0007746B">
              <w:rPr>
                <w:rFonts w:eastAsia="Calibri" w:cs="Calibri"/>
              </w:rPr>
              <w:t xml:space="preserve">ection schemes </w:t>
            </w:r>
            <w:r w:rsidRPr="0007746B">
              <w:rPr>
                <w:rFonts w:eastAsia="Calibri" w:cs="Calibri"/>
                <w:spacing w:val="-2"/>
              </w:rPr>
              <w:t>c</w:t>
            </w:r>
            <w:r w:rsidRPr="0007746B">
              <w:rPr>
                <w:rFonts w:eastAsia="Calibri" w:cs="Calibri"/>
              </w:rPr>
              <w:t>o</w:t>
            </w:r>
            <w:r w:rsidRPr="0007746B">
              <w:rPr>
                <w:rFonts w:eastAsia="Calibri" w:cs="Calibri"/>
                <w:spacing w:val="-2"/>
              </w:rPr>
              <w:t>n</w:t>
            </w:r>
            <w:r w:rsidRPr="0007746B">
              <w:rPr>
                <w:rFonts w:eastAsia="Calibri" w:cs="Calibri"/>
              </w:rPr>
              <w:t>tinuing</w:t>
            </w:r>
            <w:r w:rsidRPr="0007746B">
              <w:rPr>
                <w:rFonts w:eastAsia="Calibri" w:cs="Calibri"/>
                <w:spacing w:val="-6"/>
              </w:rPr>
              <w:t xml:space="preserve"> </w:t>
            </w:r>
            <w:r w:rsidRPr="0007746B">
              <w:rPr>
                <w:rFonts w:eastAsia="Calibri" w:cs="Calibri"/>
                <w:spacing w:val="-2"/>
              </w:rPr>
              <w:t>t</w:t>
            </w:r>
            <w:r w:rsidRPr="0007746B">
              <w:rPr>
                <w:rFonts w:eastAsia="Calibri" w:cs="Calibri"/>
              </w:rPr>
              <w:t xml:space="preserve">o </w:t>
            </w:r>
            <w:r w:rsidRPr="0007746B">
              <w:rPr>
                <w:rFonts w:eastAsia="Calibri" w:cs="Calibri"/>
                <w:spacing w:val="-2"/>
              </w:rPr>
              <w:t>g</w:t>
            </w:r>
            <w:r w:rsidRPr="0007746B">
              <w:rPr>
                <w:rFonts w:eastAsia="Calibri" w:cs="Calibri"/>
                <w:spacing w:val="-1"/>
              </w:rPr>
              <w:t>e</w:t>
            </w:r>
            <w:r w:rsidRPr="0007746B">
              <w:rPr>
                <w:rFonts w:eastAsia="Calibri" w:cs="Calibri"/>
              </w:rPr>
              <w:t>t l</w:t>
            </w:r>
            <w:r w:rsidRPr="0007746B">
              <w:rPr>
                <w:rFonts w:eastAsia="Calibri" w:cs="Calibri"/>
                <w:spacing w:val="-1"/>
              </w:rPr>
              <w:t>o</w:t>
            </w:r>
            <w:r w:rsidRPr="0007746B">
              <w:rPr>
                <w:rFonts w:eastAsia="Calibri" w:cs="Calibri"/>
              </w:rPr>
              <w:t>w allo</w:t>
            </w:r>
            <w:r w:rsidRPr="0007746B">
              <w:rPr>
                <w:rFonts w:eastAsia="Calibri" w:cs="Calibri"/>
                <w:spacing w:val="-1"/>
              </w:rPr>
              <w:t>c</w:t>
            </w:r>
            <w:r w:rsidRPr="0007746B">
              <w:rPr>
                <w:rFonts w:eastAsia="Calibri" w:cs="Calibri"/>
                <w:spacing w:val="-2"/>
              </w:rPr>
              <w:t>a</w:t>
            </w:r>
            <w:r w:rsidRPr="0007746B">
              <w:rPr>
                <w:rFonts w:eastAsia="Calibri" w:cs="Calibri"/>
              </w:rPr>
              <w:t>tions.</w:t>
            </w:r>
          </w:p>
        </w:tc>
      </w:tr>
    </w:tbl>
    <w:p w:rsidR="008679B5" w:rsidRPr="0007746B" w:rsidRDefault="008679B5" w:rsidP="0007746B">
      <w:pPr>
        <w:jc w:val="center"/>
        <w:rPr>
          <w:rFonts w:cs="Arial Narrow"/>
          <w:lang w:bidi="bn-IN"/>
        </w:rPr>
      </w:pPr>
    </w:p>
    <w:p w:rsidR="009D62D9" w:rsidRPr="0007746B" w:rsidRDefault="00AD4E7A" w:rsidP="0007746B">
      <w:pPr>
        <w:jc w:val="both"/>
        <w:rPr>
          <w:lang w:val="en-US"/>
        </w:rPr>
      </w:pPr>
      <w:r>
        <w:rPr>
          <w:lang w:val="en-US"/>
        </w:rPr>
        <w:t>Similar to previous</w:t>
      </w:r>
      <w:r w:rsidR="009D62D9" w:rsidRPr="0007746B">
        <w:rPr>
          <w:lang w:val="en-US"/>
        </w:rPr>
        <w:t xml:space="preserve"> Union Budget</w:t>
      </w:r>
      <w:r>
        <w:rPr>
          <w:lang w:val="en-US"/>
        </w:rPr>
        <w:t xml:space="preserve">s, </w:t>
      </w:r>
      <w:r w:rsidR="009D62D9" w:rsidRPr="0007746B">
        <w:rPr>
          <w:lang w:val="en-US"/>
        </w:rPr>
        <w:t xml:space="preserve">the </w:t>
      </w:r>
      <w:r w:rsidR="00B535D6" w:rsidRPr="0007746B">
        <w:rPr>
          <w:lang w:val="en-US"/>
        </w:rPr>
        <w:t>allocation</w:t>
      </w:r>
      <w:r w:rsidR="009C2C7F">
        <w:rPr>
          <w:lang w:val="en-US"/>
        </w:rPr>
        <w:t>s</w:t>
      </w:r>
      <w:r w:rsidR="00B535D6" w:rsidRPr="0007746B">
        <w:rPr>
          <w:lang w:val="en-US"/>
        </w:rPr>
        <w:t xml:space="preserve"> for child related interventions remain stagnant at about </w:t>
      </w:r>
      <w:r w:rsidR="009C2C7F">
        <w:rPr>
          <w:lang w:val="en-US"/>
        </w:rPr>
        <w:t>three</w:t>
      </w:r>
      <w:r w:rsidR="00B535D6" w:rsidRPr="0007746B">
        <w:rPr>
          <w:lang w:val="en-US"/>
        </w:rPr>
        <w:t xml:space="preserve"> percent of the total Union Budget (Figure 12.1). </w:t>
      </w:r>
      <w:r w:rsidR="009D62D9" w:rsidRPr="0007746B">
        <w:rPr>
          <w:lang w:val="en-US"/>
        </w:rPr>
        <w:t xml:space="preserve">No major announcements were made </w:t>
      </w:r>
      <w:r w:rsidR="009C2C7F">
        <w:rPr>
          <w:lang w:val="en-US"/>
        </w:rPr>
        <w:t>in th</w:t>
      </w:r>
      <w:r w:rsidR="001F35A0">
        <w:rPr>
          <w:lang w:val="en-US"/>
        </w:rPr>
        <w:t>is</w:t>
      </w:r>
      <w:r w:rsidR="009C2C7F">
        <w:rPr>
          <w:lang w:val="en-US"/>
        </w:rPr>
        <w:t xml:space="preserve"> Union Budget </w:t>
      </w:r>
      <w:r w:rsidR="009D62D9" w:rsidRPr="0007746B">
        <w:rPr>
          <w:lang w:val="en-US"/>
        </w:rPr>
        <w:t xml:space="preserve">for </w:t>
      </w:r>
      <w:r w:rsidR="00EF082C">
        <w:rPr>
          <w:lang w:val="en-US"/>
        </w:rPr>
        <w:t>children</w:t>
      </w:r>
      <w:r w:rsidR="00E554C5">
        <w:rPr>
          <w:lang w:val="en-US"/>
        </w:rPr>
        <w:t>,</w:t>
      </w:r>
      <w:r w:rsidR="00EF082C">
        <w:rPr>
          <w:lang w:val="en-US"/>
        </w:rPr>
        <w:t xml:space="preserve"> who </w:t>
      </w:r>
      <w:r>
        <w:rPr>
          <w:lang w:val="en-US"/>
        </w:rPr>
        <w:t>constitute</w:t>
      </w:r>
      <w:r w:rsidR="009C2C7F">
        <w:rPr>
          <w:lang w:val="en-US"/>
        </w:rPr>
        <w:t xml:space="preserve"> </w:t>
      </w:r>
      <w:r w:rsidR="009D62D9" w:rsidRPr="0007746B">
        <w:rPr>
          <w:lang w:val="en-US"/>
        </w:rPr>
        <w:t>39 percent of India</w:t>
      </w:r>
      <w:r w:rsidR="00EF082C">
        <w:rPr>
          <w:lang w:val="en-US"/>
        </w:rPr>
        <w:t>’s</w:t>
      </w:r>
      <w:r w:rsidR="009D62D9" w:rsidRPr="0007746B">
        <w:rPr>
          <w:lang w:val="en-US"/>
        </w:rPr>
        <w:t xml:space="preserve"> </w:t>
      </w:r>
      <w:r w:rsidR="00176DFA" w:rsidRPr="0007746B">
        <w:rPr>
          <w:lang w:val="en-US"/>
        </w:rPr>
        <w:t xml:space="preserve">population. </w:t>
      </w:r>
      <w:r w:rsidR="00D94FAF" w:rsidRPr="0007746B">
        <w:rPr>
          <w:rFonts w:eastAsia="Calibri" w:cs="Calibri"/>
        </w:rPr>
        <w:t>About 16 Central Ministries allocate resources for children through various interventions; of th</w:t>
      </w:r>
      <w:r>
        <w:rPr>
          <w:rFonts w:eastAsia="Calibri" w:cs="Calibri"/>
        </w:rPr>
        <w:t>e</w:t>
      </w:r>
      <w:r w:rsidR="00D94FAF" w:rsidRPr="0007746B">
        <w:rPr>
          <w:rFonts w:eastAsia="Calibri" w:cs="Calibri"/>
        </w:rPr>
        <w:t>s</w:t>
      </w:r>
      <w:r>
        <w:rPr>
          <w:rFonts w:eastAsia="Calibri" w:cs="Calibri"/>
        </w:rPr>
        <w:t>e,</w:t>
      </w:r>
      <w:r w:rsidR="00D94FAF" w:rsidRPr="0007746B">
        <w:rPr>
          <w:rFonts w:eastAsia="Calibri" w:cs="Calibri"/>
        </w:rPr>
        <w:t xml:space="preserve"> the major share comes from the Ministry of Human Resource Development (MHRD) and Ministry of Women and Child Development. </w:t>
      </w:r>
    </w:p>
    <w:p w:rsidR="001937A0" w:rsidRPr="0007746B" w:rsidRDefault="001937A0" w:rsidP="0007746B">
      <w:pPr>
        <w:jc w:val="center"/>
        <w:rPr>
          <w:rFonts w:cs="Arial Narrow"/>
          <w:lang w:bidi="bn-IN"/>
        </w:rPr>
      </w:pPr>
      <w:r w:rsidRPr="0007746B">
        <w:rPr>
          <w:rFonts w:eastAsia="Calibri" w:cs="Calibri"/>
          <w:b/>
          <w:bCs/>
        </w:rPr>
        <w:t>Figu</w:t>
      </w:r>
      <w:r w:rsidRPr="0007746B">
        <w:rPr>
          <w:rFonts w:eastAsia="Calibri" w:cs="Calibri"/>
          <w:b/>
          <w:bCs/>
          <w:spacing w:val="-3"/>
        </w:rPr>
        <w:t>r</w:t>
      </w:r>
      <w:r w:rsidRPr="0007746B">
        <w:rPr>
          <w:rFonts w:eastAsia="Calibri" w:cs="Calibri"/>
          <w:b/>
          <w:bCs/>
        </w:rPr>
        <w:t xml:space="preserve">e 12.1: </w:t>
      </w:r>
      <w:r w:rsidRPr="0007746B">
        <w:rPr>
          <w:rFonts w:eastAsia="Calibri" w:cs="Calibri"/>
          <w:b/>
          <w:bCs/>
          <w:spacing w:val="-19"/>
        </w:rPr>
        <w:t>T</w:t>
      </w:r>
      <w:r w:rsidRPr="0007746B">
        <w:rPr>
          <w:rFonts w:eastAsia="Calibri" w:cs="Calibri"/>
          <w:b/>
          <w:bCs/>
        </w:rPr>
        <w:t>o</w:t>
      </w:r>
      <w:r w:rsidRPr="0007746B">
        <w:rPr>
          <w:rFonts w:eastAsia="Calibri" w:cs="Calibri"/>
          <w:b/>
          <w:bCs/>
          <w:spacing w:val="-2"/>
        </w:rPr>
        <w:t>t</w:t>
      </w:r>
      <w:r w:rsidRPr="0007746B">
        <w:rPr>
          <w:rFonts w:eastAsia="Calibri" w:cs="Calibri"/>
          <w:b/>
          <w:bCs/>
        </w:rPr>
        <w:t>al Bud</w:t>
      </w:r>
      <w:r w:rsidRPr="0007746B">
        <w:rPr>
          <w:rFonts w:eastAsia="Calibri" w:cs="Calibri"/>
          <w:b/>
          <w:bCs/>
          <w:spacing w:val="-3"/>
        </w:rPr>
        <w:t>g</w:t>
      </w:r>
      <w:r w:rsidRPr="0007746B">
        <w:rPr>
          <w:rFonts w:eastAsia="Calibri" w:cs="Calibri"/>
          <w:b/>
          <w:bCs/>
          <w:spacing w:val="-1"/>
        </w:rPr>
        <w:t>e</w:t>
      </w:r>
      <w:r w:rsidRPr="0007746B">
        <w:rPr>
          <w:rFonts w:eastAsia="Calibri" w:cs="Calibri"/>
          <w:b/>
          <w:bCs/>
          <w:spacing w:val="-2"/>
        </w:rPr>
        <w:t>t</w:t>
      </w:r>
      <w:r w:rsidRPr="0007746B">
        <w:rPr>
          <w:rFonts w:eastAsia="Calibri" w:cs="Calibri"/>
          <w:b/>
          <w:bCs/>
        </w:rPr>
        <w:t>a</w:t>
      </w:r>
      <w:r w:rsidRPr="0007746B">
        <w:rPr>
          <w:rFonts w:eastAsia="Calibri" w:cs="Calibri"/>
          <w:b/>
          <w:bCs/>
          <w:spacing w:val="1"/>
        </w:rPr>
        <w:t>r</w:t>
      </w:r>
      <w:r w:rsidRPr="0007746B">
        <w:rPr>
          <w:rFonts w:eastAsia="Calibri" w:cs="Calibri"/>
          <w:b/>
          <w:bCs/>
        </w:rPr>
        <w:t xml:space="preserve">y Spending on Child </w:t>
      </w:r>
      <w:r w:rsidRPr="0007746B">
        <w:rPr>
          <w:rFonts w:eastAsia="Calibri" w:cs="Calibri"/>
          <w:b/>
          <w:bCs/>
          <w:spacing w:val="-4"/>
        </w:rPr>
        <w:t>F</w:t>
      </w:r>
      <w:r w:rsidRPr="0007746B">
        <w:rPr>
          <w:rFonts w:eastAsia="Calibri" w:cs="Calibri"/>
          <w:b/>
          <w:bCs/>
        </w:rPr>
        <w:t>ocused Interventions (Percent)</w:t>
      </w:r>
    </w:p>
    <w:p w:rsidR="001937A0" w:rsidRPr="0007746B" w:rsidRDefault="001937A0" w:rsidP="00E51A74">
      <w:pPr>
        <w:spacing w:after="0"/>
        <w:jc w:val="both"/>
        <w:rPr>
          <w:rFonts w:cs="Arial Narrow"/>
          <w:lang w:bidi="bn-IN"/>
        </w:rPr>
      </w:pPr>
      <w:r w:rsidRPr="0007746B">
        <w:rPr>
          <w:noProof/>
          <w:lang w:val="en-IN" w:eastAsia="en-IN"/>
        </w:rPr>
        <w:drawing>
          <wp:inline distT="0" distB="0" distL="0" distR="0" wp14:anchorId="5C9BF65D" wp14:editId="66473196">
            <wp:extent cx="5731510" cy="2522168"/>
            <wp:effectExtent l="0" t="0" r="2159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37A0" w:rsidRPr="00C128C1" w:rsidRDefault="001937A0" w:rsidP="00E51A74">
      <w:pPr>
        <w:spacing w:after="0"/>
        <w:jc w:val="both"/>
        <w:rPr>
          <w:sz w:val="18"/>
          <w:szCs w:val="18"/>
          <w:lang w:val="en-US"/>
        </w:rPr>
      </w:pPr>
      <w:r w:rsidRPr="00F534D9">
        <w:rPr>
          <w:i/>
          <w:iCs/>
          <w:sz w:val="18"/>
          <w:szCs w:val="18"/>
          <w:lang w:val="en-US"/>
        </w:rPr>
        <w:t>Source:</w:t>
      </w:r>
      <w:r w:rsidRPr="00C128C1">
        <w:rPr>
          <w:sz w:val="18"/>
          <w:szCs w:val="18"/>
          <w:lang w:val="en-US"/>
        </w:rPr>
        <w:t xml:space="preserve"> Compiled by CBGA from Child Budget Statement for various years</w:t>
      </w:r>
      <w:r w:rsidR="002C6105">
        <w:rPr>
          <w:sz w:val="18"/>
          <w:szCs w:val="18"/>
          <w:lang w:val="en-US"/>
        </w:rPr>
        <w:t xml:space="preserve">. </w:t>
      </w:r>
    </w:p>
    <w:p w:rsidR="00E51A74" w:rsidRPr="00C128C1" w:rsidRDefault="00E51A74" w:rsidP="00E51A74">
      <w:pPr>
        <w:spacing w:after="0"/>
        <w:jc w:val="both"/>
        <w:rPr>
          <w:sz w:val="18"/>
          <w:szCs w:val="18"/>
          <w:lang w:val="en-US"/>
        </w:rPr>
      </w:pPr>
    </w:p>
    <w:p w:rsidR="009D62D9" w:rsidRPr="0007746B" w:rsidRDefault="009D62D9" w:rsidP="0007746B">
      <w:pPr>
        <w:jc w:val="both"/>
        <w:rPr>
          <w:rFonts w:eastAsia="Calibri" w:cs="Calibri"/>
        </w:rPr>
      </w:pPr>
      <w:r w:rsidRPr="0007746B">
        <w:rPr>
          <w:lang w:val="en-US"/>
        </w:rPr>
        <w:t>India’s working age population is projected to grow significantly over the next three decades providing an edge to the Indian economy over the other comparable economies</w:t>
      </w:r>
      <w:r w:rsidR="00D94FAF" w:rsidRPr="0007746B">
        <w:rPr>
          <w:lang w:val="en-US"/>
        </w:rPr>
        <w:t xml:space="preserve"> (Economic Survey 2016-17)</w:t>
      </w:r>
      <w:r w:rsidRPr="0007746B">
        <w:rPr>
          <w:lang w:val="en-US"/>
        </w:rPr>
        <w:t xml:space="preserve">. Children of </w:t>
      </w:r>
      <w:r w:rsidR="00AD4E7A">
        <w:rPr>
          <w:lang w:val="en-US"/>
        </w:rPr>
        <w:t>today</w:t>
      </w:r>
      <w:r w:rsidR="00AD4E7A" w:rsidRPr="0007746B">
        <w:rPr>
          <w:lang w:val="en-US"/>
        </w:rPr>
        <w:t xml:space="preserve"> </w:t>
      </w:r>
      <w:r w:rsidR="00B535D6" w:rsidRPr="0007746B">
        <w:rPr>
          <w:lang w:val="en-US"/>
        </w:rPr>
        <w:t xml:space="preserve">are the work force of tomorrow. </w:t>
      </w:r>
      <w:r w:rsidR="00AD4E7A">
        <w:rPr>
          <w:lang w:val="en-US"/>
        </w:rPr>
        <w:t xml:space="preserve">For the </w:t>
      </w:r>
      <w:r w:rsidR="00317A75">
        <w:rPr>
          <w:lang w:val="en-US"/>
        </w:rPr>
        <w:t>benefit of</w:t>
      </w:r>
      <w:r w:rsidR="00AD4E7A">
        <w:rPr>
          <w:lang w:val="en-US"/>
        </w:rPr>
        <w:t xml:space="preserve"> </w:t>
      </w:r>
      <w:r w:rsidRPr="0007746B">
        <w:rPr>
          <w:lang w:val="en-US"/>
        </w:rPr>
        <w:t xml:space="preserve">this young population it is important </w:t>
      </w:r>
      <w:r w:rsidR="00B535D6" w:rsidRPr="0007746B">
        <w:rPr>
          <w:lang w:val="en-US"/>
        </w:rPr>
        <w:t>to</w:t>
      </w:r>
      <w:r w:rsidRPr="0007746B">
        <w:rPr>
          <w:lang w:val="en-US"/>
        </w:rPr>
        <w:t xml:space="preserve"> </w:t>
      </w:r>
      <w:r w:rsidR="00B535D6" w:rsidRPr="0007746B">
        <w:rPr>
          <w:lang w:val="en-US"/>
        </w:rPr>
        <w:t>invest</w:t>
      </w:r>
      <w:r w:rsidRPr="0007746B">
        <w:rPr>
          <w:lang w:val="en-US"/>
        </w:rPr>
        <w:t xml:space="preserve"> in </w:t>
      </w:r>
      <w:r w:rsidR="003B3BB6">
        <w:rPr>
          <w:lang w:val="en-US"/>
        </w:rPr>
        <w:t>their</w:t>
      </w:r>
      <w:r w:rsidRPr="0007746B">
        <w:rPr>
          <w:lang w:val="en-US"/>
        </w:rPr>
        <w:t xml:space="preserve"> education, health and </w:t>
      </w:r>
      <w:r w:rsidR="003B3BB6">
        <w:rPr>
          <w:lang w:val="en-US"/>
        </w:rPr>
        <w:t xml:space="preserve">a </w:t>
      </w:r>
      <w:r w:rsidRPr="0007746B">
        <w:rPr>
          <w:lang w:val="en-US"/>
        </w:rPr>
        <w:t xml:space="preserve">safe environment </w:t>
      </w:r>
      <w:r w:rsidR="003B3BB6">
        <w:rPr>
          <w:lang w:val="en-US"/>
        </w:rPr>
        <w:t>for</w:t>
      </w:r>
      <w:r w:rsidR="003B3BB6" w:rsidRPr="0007746B">
        <w:rPr>
          <w:lang w:val="en-US"/>
        </w:rPr>
        <w:t xml:space="preserve"> </w:t>
      </w:r>
      <w:r w:rsidRPr="0007746B">
        <w:rPr>
          <w:lang w:val="en-US"/>
        </w:rPr>
        <w:t>grow</w:t>
      </w:r>
      <w:r w:rsidR="003B3BB6">
        <w:rPr>
          <w:lang w:val="en-US"/>
        </w:rPr>
        <w:t>th</w:t>
      </w:r>
      <w:r w:rsidRPr="0007746B">
        <w:rPr>
          <w:lang w:val="en-US"/>
        </w:rPr>
        <w:t xml:space="preserve">.  </w:t>
      </w:r>
      <w:r w:rsidR="00A30BD4" w:rsidRPr="0007746B">
        <w:rPr>
          <w:lang w:val="en-US"/>
        </w:rPr>
        <w:t xml:space="preserve">While there are schemes and </w:t>
      </w:r>
      <w:proofErr w:type="spellStart"/>
      <w:r w:rsidR="00A30BD4" w:rsidRPr="0007746B">
        <w:rPr>
          <w:lang w:val="en-US"/>
        </w:rPr>
        <w:t>programmes</w:t>
      </w:r>
      <w:proofErr w:type="spellEnd"/>
      <w:r w:rsidR="00A30BD4" w:rsidRPr="0007746B">
        <w:rPr>
          <w:lang w:val="en-US"/>
        </w:rPr>
        <w:t xml:space="preserve"> focusing on these issues, the</w:t>
      </w:r>
      <w:r w:rsidR="003B3BB6">
        <w:rPr>
          <w:lang w:val="en-US"/>
        </w:rPr>
        <w:t>ir</w:t>
      </w:r>
      <w:r w:rsidR="00A30BD4" w:rsidRPr="0007746B">
        <w:rPr>
          <w:lang w:val="en-US"/>
        </w:rPr>
        <w:t xml:space="preserve"> delivery is </w:t>
      </w:r>
      <w:r w:rsidR="003B3BB6">
        <w:rPr>
          <w:lang w:val="en-US"/>
        </w:rPr>
        <w:t xml:space="preserve">adversely </w:t>
      </w:r>
      <w:r w:rsidR="00A30BD4" w:rsidRPr="0007746B">
        <w:rPr>
          <w:lang w:val="en-US"/>
        </w:rPr>
        <w:t xml:space="preserve">affected </w:t>
      </w:r>
      <w:r w:rsidR="003B3BB6">
        <w:rPr>
          <w:lang w:val="en-US"/>
        </w:rPr>
        <w:t>due to</w:t>
      </w:r>
      <w:r w:rsidR="00A30BD4" w:rsidRPr="0007746B">
        <w:rPr>
          <w:lang w:val="en-US"/>
        </w:rPr>
        <w:t xml:space="preserve"> </w:t>
      </w:r>
      <w:r w:rsidR="00317A75">
        <w:rPr>
          <w:lang w:val="en-US"/>
        </w:rPr>
        <w:t xml:space="preserve">inadequate </w:t>
      </w:r>
      <w:r w:rsidR="00317A75" w:rsidRPr="0007746B">
        <w:rPr>
          <w:lang w:val="en-US"/>
        </w:rPr>
        <w:t>fund</w:t>
      </w:r>
      <w:r w:rsidR="00A30BD4" w:rsidRPr="0007746B">
        <w:rPr>
          <w:lang w:val="en-US"/>
        </w:rPr>
        <w:t xml:space="preserve"> allocation</w:t>
      </w:r>
      <w:r w:rsidR="003B3BB6">
        <w:rPr>
          <w:lang w:val="en-US"/>
        </w:rPr>
        <w:t>s</w:t>
      </w:r>
      <w:r w:rsidR="00A30BD4" w:rsidRPr="0007746B">
        <w:rPr>
          <w:lang w:val="en-US"/>
        </w:rPr>
        <w:t xml:space="preserve"> and shortage of staff. </w:t>
      </w:r>
      <w:r w:rsidR="00A30BD4" w:rsidRPr="0007746B">
        <w:rPr>
          <w:rFonts w:eastAsia="Calibri" w:cs="Calibri"/>
        </w:rPr>
        <w:t xml:space="preserve">In </w:t>
      </w:r>
      <w:r w:rsidR="00D87316">
        <w:rPr>
          <w:rFonts w:eastAsia="Calibri" w:cs="Calibri"/>
        </w:rPr>
        <w:t xml:space="preserve">school </w:t>
      </w:r>
      <w:r w:rsidR="00317A75" w:rsidRPr="0007746B">
        <w:rPr>
          <w:rFonts w:eastAsia="Calibri" w:cs="Calibri"/>
        </w:rPr>
        <w:t>education,</w:t>
      </w:r>
      <w:r w:rsidR="00A30BD4" w:rsidRPr="0007746B">
        <w:rPr>
          <w:rFonts w:eastAsia="Calibri" w:cs="Calibri"/>
        </w:rPr>
        <w:t xml:space="preserve"> India has achieved significant progress </w:t>
      </w:r>
      <w:r w:rsidR="00317A75">
        <w:rPr>
          <w:rFonts w:eastAsia="Calibri" w:cs="Calibri"/>
        </w:rPr>
        <w:t xml:space="preserve">towards </w:t>
      </w:r>
      <w:r w:rsidR="00317A75" w:rsidRPr="0007746B">
        <w:rPr>
          <w:rFonts w:eastAsia="Calibri" w:cs="Calibri"/>
        </w:rPr>
        <w:t>increasing</w:t>
      </w:r>
      <w:r w:rsidR="00A30BD4" w:rsidRPr="0007746B">
        <w:rPr>
          <w:rFonts w:eastAsia="Calibri" w:cs="Calibri"/>
        </w:rPr>
        <w:t xml:space="preserve"> school participation; but the quality of education remains a grave concern. Our schools lack trained and professionally qualified teachers. Standing </w:t>
      </w:r>
      <w:r w:rsidR="003B3BB6">
        <w:rPr>
          <w:rFonts w:eastAsia="Calibri" w:cs="Calibri"/>
        </w:rPr>
        <w:t>C</w:t>
      </w:r>
      <w:r w:rsidR="00A30BD4" w:rsidRPr="0007746B">
        <w:rPr>
          <w:rFonts w:eastAsia="Calibri" w:cs="Calibri"/>
        </w:rPr>
        <w:t>ommittee Report of MHRD</w:t>
      </w:r>
      <w:r w:rsidR="00D87316">
        <w:rPr>
          <w:rFonts w:eastAsia="Calibri" w:cs="Calibri"/>
        </w:rPr>
        <w:t>,</w:t>
      </w:r>
      <w:r w:rsidR="00A30BD4" w:rsidRPr="0007746B">
        <w:rPr>
          <w:rFonts w:eastAsia="Calibri" w:cs="Calibri"/>
        </w:rPr>
        <w:t xml:space="preserve"> 2015, </w:t>
      </w:r>
      <w:r w:rsidR="003B3BB6">
        <w:rPr>
          <w:rFonts w:eastAsia="Calibri" w:cs="Calibri"/>
        </w:rPr>
        <w:t xml:space="preserve">cites </w:t>
      </w:r>
      <w:r w:rsidR="00A30BD4" w:rsidRPr="0007746B">
        <w:rPr>
          <w:rFonts w:eastAsia="Calibri" w:cs="Calibri"/>
        </w:rPr>
        <w:t xml:space="preserve">shortage of teachers as one of the reasons for the poor quality of education in India. </w:t>
      </w:r>
    </w:p>
    <w:p w:rsidR="00D51B5A" w:rsidRPr="0007746B" w:rsidRDefault="00521C0B" w:rsidP="0007746B">
      <w:pPr>
        <w:jc w:val="both"/>
        <w:rPr>
          <w:rFonts w:eastAsia="Calibri" w:cs="Calibri"/>
        </w:rPr>
      </w:pPr>
      <w:r w:rsidRPr="0007746B">
        <w:rPr>
          <w:rFonts w:eastAsia="Calibri" w:cs="Calibri"/>
        </w:rPr>
        <w:lastRenderedPageBreak/>
        <w:t>Education</w:t>
      </w:r>
      <w:r w:rsidR="00D94FAF" w:rsidRPr="0007746B">
        <w:rPr>
          <w:rFonts w:eastAsia="Calibri" w:cs="Calibri"/>
        </w:rPr>
        <w:t xml:space="preserve"> </w:t>
      </w:r>
      <w:r w:rsidRPr="0007746B">
        <w:rPr>
          <w:rFonts w:eastAsia="Calibri" w:cs="Calibri"/>
        </w:rPr>
        <w:t>gets the hi</w:t>
      </w:r>
      <w:r w:rsidR="00745D52" w:rsidRPr="0007746B">
        <w:rPr>
          <w:rFonts w:eastAsia="Calibri" w:cs="Calibri"/>
        </w:rPr>
        <w:t>ghest share</w:t>
      </w:r>
      <w:r w:rsidR="00D94FAF" w:rsidRPr="0007746B">
        <w:rPr>
          <w:rFonts w:eastAsia="Calibri" w:cs="Calibri"/>
        </w:rPr>
        <w:t xml:space="preserve"> of </w:t>
      </w:r>
      <w:r w:rsidR="003B3BB6">
        <w:rPr>
          <w:rFonts w:eastAsia="Calibri" w:cs="Calibri"/>
        </w:rPr>
        <w:t xml:space="preserve">total </w:t>
      </w:r>
      <w:r w:rsidR="00D94FAF" w:rsidRPr="0007746B">
        <w:rPr>
          <w:rFonts w:eastAsia="Calibri" w:cs="Calibri"/>
        </w:rPr>
        <w:t>allocation</w:t>
      </w:r>
      <w:r w:rsidR="003B3BB6">
        <w:rPr>
          <w:rFonts w:eastAsia="Calibri" w:cs="Calibri"/>
        </w:rPr>
        <w:t>s</w:t>
      </w:r>
      <w:r w:rsidR="00745D52" w:rsidRPr="0007746B">
        <w:rPr>
          <w:rFonts w:eastAsia="Calibri" w:cs="Calibri"/>
        </w:rPr>
        <w:t xml:space="preserve"> in the child budget followed by development (largely comprising </w:t>
      </w:r>
      <w:r w:rsidR="00D94FAF" w:rsidRPr="0007746B">
        <w:rPr>
          <w:rFonts w:eastAsia="Calibri" w:cs="Calibri"/>
        </w:rPr>
        <w:t xml:space="preserve">of </w:t>
      </w:r>
      <w:r w:rsidR="00745D52" w:rsidRPr="0007746B">
        <w:rPr>
          <w:rFonts w:eastAsia="Calibri" w:cs="Calibri"/>
        </w:rPr>
        <w:t>allocation</w:t>
      </w:r>
      <w:r w:rsidR="003B3BB6">
        <w:rPr>
          <w:rFonts w:eastAsia="Calibri" w:cs="Calibri"/>
        </w:rPr>
        <w:t>s</w:t>
      </w:r>
      <w:r w:rsidR="00745D52" w:rsidRPr="0007746B">
        <w:rPr>
          <w:rFonts w:eastAsia="Calibri" w:cs="Calibri"/>
        </w:rPr>
        <w:t xml:space="preserve"> for </w:t>
      </w:r>
      <w:r w:rsidR="00CB04B4">
        <w:rPr>
          <w:rFonts w:eastAsia="Calibri" w:cs="Calibri"/>
        </w:rPr>
        <w:t>Integrated Child Development Services (ICDS)</w:t>
      </w:r>
      <w:r w:rsidR="00745D52" w:rsidRPr="0007746B">
        <w:rPr>
          <w:rFonts w:eastAsia="Calibri" w:cs="Calibri"/>
        </w:rPr>
        <w:t xml:space="preserve"> and </w:t>
      </w:r>
      <w:r w:rsidR="003B3BB6">
        <w:rPr>
          <w:rFonts w:eastAsia="Calibri" w:cs="Calibri"/>
        </w:rPr>
        <w:t xml:space="preserve">other </w:t>
      </w:r>
      <w:r w:rsidR="00745D52" w:rsidRPr="0007746B">
        <w:rPr>
          <w:rFonts w:eastAsia="Calibri" w:cs="Calibri"/>
        </w:rPr>
        <w:t>nutrition related scheme</w:t>
      </w:r>
      <w:r w:rsidR="003B3BB6">
        <w:rPr>
          <w:rFonts w:eastAsia="Calibri" w:cs="Calibri"/>
        </w:rPr>
        <w:t>s</w:t>
      </w:r>
      <w:r w:rsidR="00D94FAF" w:rsidRPr="0007746B">
        <w:rPr>
          <w:rFonts w:eastAsia="Calibri" w:cs="Calibri"/>
        </w:rPr>
        <w:t>)</w:t>
      </w:r>
      <w:r w:rsidR="00745D52" w:rsidRPr="0007746B">
        <w:rPr>
          <w:rFonts w:eastAsia="Calibri" w:cs="Calibri"/>
        </w:rPr>
        <w:t>, health and protection</w:t>
      </w:r>
      <w:r w:rsidR="00176DFA">
        <w:rPr>
          <w:rFonts w:eastAsia="Calibri" w:cs="Calibri"/>
        </w:rPr>
        <w:t xml:space="preserve">. </w:t>
      </w:r>
      <w:r w:rsidR="00176DFA" w:rsidRPr="0007746B">
        <w:rPr>
          <w:rFonts w:eastAsia="Calibri" w:cs="Calibri"/>
        </w:rPr>
        <w:t xml:space="preserve">In </w:t>
      </w:r>
      <w:r w:rsidR="003B3BB6">
        <w:rPr>
          <w:rFonts w:eastAsia="Calibri" w:cs="Calibri"/>
        </w:rPr>
        <w:t>his</w:t>
      </w:r>
      <w:r w:rsidR="003B3BB6" w:rsidRPr="0007746B">
        <w:rPr>
          <w:rFonts w:eastAsia="Calibri" w:cs="Calibri"/>
        </w:rPr>
        <w:t xml:space="preserve"> </w:t>
      </w:r>
      <w:r w:rsidR="00176DFA" w:rsidRPr="0007746B">
        <w:rPr>
          <w:rFonts w:eastAsia="Calibri" w:cs="Calibri"/>
        </w:rPr>
        <w:t xml:space="preserve">budget speech, Finance Minister associated poor health with poverty and </w:t>
      </w:r>
      <w:r w:rsidR="00197A4F">
        <w:rPr>
          <w:rFonts w:eastAsia="Calibri" w:cs="Calibri"/>
        </w:rPr>
        <w:t>announced</w:t>
      </w:r>
      <w:r w:rsidR="00176DFA" w:rsidRPr="0007746B">
        <w:rPr>
          <w:rFonts w:eastAsia="Calibri" w:cs="Calibri"/>
        </w:rPr>
        <w:t xml:space="preserve"> an action plan to reduce I</w:t>
      </w:r>
      <w:r w:rsidR="00197A4F">
        <w:rPr>
          <w:rFonts w:eastAsia="Calibri" w:cs="Calibri"/>
        </w:rPr>
        <w:t xml:space="preserve">nfant </w:t>
      </w:r>
      <w:r w:rsidR="00176DFA" w:rsidRPr="0007746B">
        <w:rPr>
          <w:rFonts w:eastAsia="Calibri" w:cs="Calibri"/>
        </w:rPr>
        <w:t>M</w:t>
      </w:r>
      <w:r w:rsidR="00197A4F">
        <w:rPr>
          <w:rFonts w:eastAsia="Calibri" w:cs="Calibri"/>
        </w:rPr>
        <w:t xml:space="preserve">ortality </w:t>
      </w:r>
      <w:r w:rsidR="00176DFA" w:rsidRPr="0007746B">
        <w:rPr>
          <w:rFonts w:eastAsia="Calibri" w:cs="Calibri"/>
        </w:rPr>
        <w:t>R</w:t>
      </w:r>
      <w:r w:rsidR="00197A4F">
        <w:rPr>
          <w:rFonts w:eastAsia="Calibri" w:cs="Calibri"/>
        </w:rPr>
        <w:t>ate (IMR)</w:t>
      </w:r>
      <w:r w:rsidR="00176DFA" w:rsidRPr="0007746B">
        <w:rPr>
          <w:rFonts w:eastAsia="Calibri" w:cs="Calibri"/>
        </w:rPr>
        <w:t xml:space="preserve"> from 39 in 2014 to 28 by 2019 (IMR as per SRS Bulletin 2016 is 37). However, this target </w:t>
      </w:r>
      <w:r w:rsidR="00197A4F">
        <w:rPr>
          <w:rFonts w:eastAsia="Calibri" w:cs="Calibri"/>
        </w:rPr>
        <w:t>has</w:t>
      </w:r>
      <w:r w:rsidR="00197A4F" w:rsidRPr="0007746B">
        <w:rPr>
          <w:rFonts w:eastAsia="Calibri" w:cs="Calibri"/>
        </w:rPr>
        <w:t xml:space="preserve"> </w:t>
      </w:r>
      <w:r w:rsidR="00176DFA" w:rsidRPr="0007746B">
        <w:rPr>
          <w:rFonts w:eastAsia="Calibri" w:cs="Calibri"/>
        </w:rPr>
        <w:t>not translated into increased budget allocation for the health related schemes focussing on children (Figure 12.2)</w:t>
      </w:r>
    </w:p>
    <w:p w:rsidR="00063A5B" w:rsidRPr="0007746B" w:rsidRDefault="00063A5B" w:rsidP="0007746B">
      <w:pPr>
        <w:jc w:val="center"/>
        <w:rPr>
          <w:b/>
          <w:bCs/>
        </w:rPr>
      </w:pPr>
      <w:r w:rsidRPr="0007746B">
        <w:rPr>
          <w:b/>
          <w:bCs/>
        </w:rPr>
        <w:t xml:space="preserve">Figure 12.2: </w:t>
      </w:r>
      <w:r w:rsidR="0007746B">
        <w:rPr>
          <w:b/>
          <w:bCs/>
        </w:rPr>
        <w:t>Sector W</w:t>
      </w:r>
      <w:r w:rsidRPr="0007746B">
        <w:rPr>
          <w:b/>
          <w:bCs/>
        </w:rPr>
        <w:t>ise</w:t>
      </w:r>
      <w:r w:rsidR="0007746B">
        <w:rPr>
          <w:b/>
          <w:bCs/>
        </w:rPr>
        <w:t xml:space="preserve"> Composition of Total Child Budget (in Percent)</w:t>
      </w:r>
    </w:p>
    <w:p w:rsidR="00063A5B" w:rsidRPr="0007746B" w:rsidRDefault="00063A5B" w:rsidP="00E51A74">
      <w:pPr>
        <w:spacing w:after="0" w:line="240" w:lineRule="auto"/>
        <w:jc w:val="both"/>
        <w:rPr>
          <w:b/>
          <w:bCs/>
        </w:rPr>
      </w:pPr>
      <w:r w:rsidRPr="0007746B">
        <w:rPr>
          <w:noProof/>
          <w:lang w:val="en-IN" w:eastAsia="en-IN"/>
        </w:rPr>
        <w:drawing>
          <wp:inline distT="0" distB="0" distL="0" distR="0" wp14:anchorId="5B23B904" wp14:editId="047DA812">
            <wp:extent cx="626745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63A5B" w:rsidRPr="00C128C1" w:rsidRDefault="00063A5B" w:rsidP="00E51A74">
      <w:pPr>
        <w:spacing w:after="0" w:line="240" w:lineRule="auto"/>
        <w:jc w:val="both"/>
        <w:rPr>
          <w:sz w:val="18"/>
          <w:szCs w:val="18"/>
          <w:lang w:val="en-US"/>
        </w:rPr>
      </w:pPr>
      <w:r w:rsidRPr="00F534D9">
        <w:rPr>
          <w:i/>
          <w:iCs/>
          <w:sz w:val="18"/>
          <w:szCs w:val="18"/>
          <w:lang w:val="en-US"/>
        </w:rPr>
        <w:t>Source:</w:t>
      </w:r>
      <w:r w:rsidRPr="00C128C1">
        <w:rPr>
          <w:sz w:val="18"/>
          <w:szCs w:val="18"/>
          <w:lang w:val="en-US"/>
        </w:rPr>
        <w:t xml:space="preserve"> Compiled by CBGA from Child Budget Statement for various years</w:t>
      </w:r>
      <w:r w:rsidR="002C6105">
        <w:rPr>
          <w:sz w:val="18"/>
          <w:szCs w:val="18"/>
          <w:lang w:val="en-US"/>
        </w:rPr>
        <w:t>.</w:t>
      </w:r>
    </w:p>
    <w:p w:rsidR="00E51A74" w:rsidRPr="0007746B" w:rsidRDefault="00E51A74" w:rsidP="00E51A74">
      <w:pPr>
        <w:spacing w:after="0" w:line="240" w:lineRule="auto"/>
        <w:jc w:val="both"/>
        <w:rPr>
          <w:lang w:val="en-US"/>
        </w:rPr>
      </w:pPr>
    </w:p>
    <w:p w:rsidR="00D51B5A" w:rsidRPr="0007746B" w:rsidRDefault="00695201" w:rsidP="0007746B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Undernutrition </w:t>
      </w:r>
      <w:r w:rsidR="00197A4F">
        <w:rPr>
          <w:rFonts w:eastAsia="Calibri" w:cs="Calibri"/>
        </w:rPr>
        <w:t xml:space="preserve">among </w:t>
      </w:r>
      <w:r>
        <w:rPr>
          <w:rFonts w:eastAsia="Calibri" w:cs="Calibri"/>
        </w:rPr>
        <w:t>children is a serious problem in India</w:t>
      </w:r>
      <w:r w:rsidR="00197A4F">
        <w:rPr>
          <w:rFonts w:eastAsia="Calibri" w:cs="Calibri"/>
        </w:rPr>
        <w:t>;</w:t>
      </w:r>
      <w:r>
        <w:rPr>
          <w:rFonts w:eastAsia="Calibri" w:cs="Calibri"/>
        </w:rPr>
        <w:t xml:space="preserve"> a</w:t>
      </w:r>
      <w:r w:rsidR="00BE7A94" w:rsidRPr="0007746B">
        <w:rPr>
          <w:rFonts w:eastAsia="Calibri" w:cs="Calibri"/>
        </w:rPr>
        <w:t xml:space="preserve">lmost 40 percent of the world’s stunted children and nearly 50 percent of the wasted children </w:t>
      </w:r>
      <w:r w:rsidR="00181826" w:rsidRPr="0007746B">
        <w:rPr>
          <w:rFonts w:eastAsia="Calibri" w:cs="Calibri"/>
        </w:rPr>
        <w:t xml:space="preserve">under the age of 5 </w:t>
      </w:r>
      <w:r w:rsidR="00181826">
        <w:rPr>
          <w:rFonts w:eastAsia="Calibri" w:cs="Calibri"/>
        </w:rPr>
        <w:t>years</w:t>
      </w:r>
      <w:r w:rsidR="00181826" w:rsidRPr="0007746B">
        <w:rPr>
          <w:rFonts w:eastAsia="Calibri" w:cs="Calibri"/>
        </w:rPr>
        <w:t xml:space="preserve"> </w:t>
      </w:r>
      <w:r w:rsidR="00BE7A94" w:rsidRPr="0007746B">
        <w:rPr>
          <w:rFonts w:eastAsia="Calibri" w:cs="Calibri"/>
        </w:rPr>
        <w:t>live in India (Global Nutrition Report 2015).</w:t>
      </w:r>
      <w:r w:rsidR="00DA5FCA">
        <w:rPr>
          <w:rFonts w:eastAsia="Calibri" w:cs="Calibri"/>
        </w:rPr>
        <w:t xml:space="preserve"> </w:t>
      </w:r>
      <w:r w:rsidR="00181826">
        <w:rPr>
          <w:rFonts w:eastAsia="Calibri" w:cs="Calibri"/>
        </w:rPr>
        <w:t xml:space="preserve">The budget allocations for </w:t>
      </w:r>
      <w:r w:rsidR="00DA5FCA">
        <w:rPr>
          <w:rFonts w:eastAsia="Calibri" w:cs="Calibri"/>
        </w:rPr>
        <w:t>ICDS</w:t>
      </w:r>
      <w:r w:rsidR="00D87316">
        <w:rPr>
          <w:rFonts w:eastAsia="Calibri" w:cs="Calibri"/>
        </w:rPr>
        <w:t>,</w:t>
      </w:r>
      <w:r w:rsidRPr="0007746B">
        <w:rPr>
          <w:rFonts w:eastAsia="Calibri" w:cs="Calibri"/>
        </w:rPr>
        <w:t xml:space="preserve"> </w:t>
      </w:r>
      <w:r w:rsidR="00BE7A94" w:rsidRPr="0007746B">
        <w:rPr>
          <w:rFonts w:eastAsia="Calibri" w:cs="Calibri"/>
        </w:rPr>
        <w:t xml:space="preserve">which is a combination </w:t>
      </w:r>
      <w:r w:rsidR="00C14329" w:rsidRPr="0007746B">
        <w:rPr>
          <w:rFonts w:eastAsia="Calibri" w:cs="Calibri"/>
        </w:rPr>
        <w:t xml:space="preserve">of six services </w:t>
      </w:r>
      <w:r w:rsidR="00181826">
        <w:rPr>
          <w:rFonts w:eastAsia="Calibri" w:cs="Calibri"/>
        </w:rPr>
        <w:t>including</w:t>
      </w:r>
      <w:r w:rsidR="00C14329" w:rsidRPr="0007746B">
        <w:rPr>
          <w:rFonts w:eastAsia="Calibri" w:cs="Calibri"/>
        </w:rPr>
        <w:t xml:space="preserve"> </w:t>
      </w:r>
      <w:r w:rsidR="00181826">
        <w:rPr>
          <w:rFonts w:eastAsia="Calibri" w:cs="Calibri"/>
        </w:rPr>
        <w:t xml:space="preserve">interventions related to </w:t>
      </w:r>
      <w:r w:rsidR="00C14329" w:rsidRPr="0007746B">
        <w:rPr>
          <w:rFonts w:eastAsia="Calibri" w:cs="Calibri"/>
        </w:rPr>
        <w:t>nutrition</w:t>
      </w:r>
      <w:r w:rsidR="00181826">
        <w:rPr>
          <w:rFonts w:eastAsia="Calibri" w:cs="Calibri"/>
        </w:rPr>
        <w:t>,</w:t>
      </w:r>
      <w:r w:rsidR="00C14329" w:rsidRPr="0007746B">
        <w:rPr>
          <w:rFonts w:eastAsia="Calibri" w:cs="Calibri"/>
        </w:rPr>
        <w:t xml:space="preserve"> health </w:t>
      </w:r>
      <w:r w:rsidR="00181826">
        <w:rPr>
          <w:rFonts w:eastAsia="Calibri" w:cs="Calibri"/>
        </w:rPr>
        <w:t>and</w:t>
      </w:r>
      <w:r w:rsidR="00181826" w:rsidRPr="0007746B">
        <w:rPr>
          <w:rFonts w:eastAsia="Calibri" w:cs="Calibri"/>
        </w:rPr>
        <w:t xml:space="preserve"> </w:t>
      </w:r>
      <w:r w:rsidR="00C14329" w:rsidRPr="0007746B">
        <w:rPr>
          <w:rFonts w:eastAsia="Calibri" w:cs="Calibri"/>
        </w:rPr>
        <w:t xml:space="preserve">pre-school </w:t>
      </w:r>
      <w:r w:rsidR="00317A75" w:rsidRPr="0007746B">
        <w:rPr>
          <w:rFonts w:eastAsia="Calibri" w:cs="Calibri"/>
        </w:rPr>
        <w:t>education</w:t>
      </w:r>
      <w:r w:rsidR="00181826">
        <w:rPr>
          <w:rFonts w:eastAsia="Calibri" w:cs="Calibri"/>
        </w:rPr>
        <w:t xml:space="preserve"> (among others),</w:t>
      </w:r>
      <w:r w:rsidR="00317A75" w:rsidRPr="0007746B">
        <w:rPr>
          <w:rFonts w:eastAsia="Calibri" w:cs="Calibri"/>
        </w:rPr>
        <w:t xml:space="preserve"> </w:t>
      </w:r>
      <w:r w:rsidR="00181826">
        <w:rPr>
          <w:rFonts w:eastAsia="Calibri" w:cs="Calibri"/>
        </w:rPr>
        <w:t>have remained inadequate; and delivery of this scheme relies on</w:t>
      </w:r>
      <w:r>
        <w:rPr>
          <w:rFonts w:eastAsia="Calibri" w:cs="Calibri"/>
        </w:rPr>
        <w:t xml:space="preserve"> </w:t>
      </w:r>
      <w:r w:rsidR="00C14329" w:rsidRPr="0007746B">
        <w:rPr>
          <w:rFonts w:eastAsia="Calibri" w:cs="Calibri"/>
        </w:rPr>
        <w:t xml:space="preserve">untrained and poorly paid </w:t>
      </w:r>
      <w:r w:rsidR="00C14329" w:rsidRPr="00695201">
        <w:rPr>
          <w:rFonts w:eastAsia="Calibri" w:cs="Calibri"/>
          <w:i/>
          <w:iCs/>
        </w:rPr>
        <w:t>anganwadi</w:t>
      </w:r>
      <w:r w:rsidR="00C14329" w:rsidRPr="0007746B">
        <w:rPr>
          <w:rFonts w:eastAsia="Calibri" w:cs="Calibri"/>
        </w:rPr>
        <w:t xml:space="preserve"> workers. </w:t>
      </w:r>
      <w:r w:rsidR="00DD7EB5">
        <w:rPr>
          <w:rFonts w:eastAsia="Calibri" w:cs="Calibri"/>
        </w:rPr>
        <w:t>While the allocations for ICDS have increased by 13 percent from 2016-17 (BE) to 2016-17 (BE), c</w:t>
      </w:r>
      <w:r w:rsidR="00C14329" w:rsidRPr="0007746B">
        <w:rPr>
          <w:rFonts w:eastAsia="Calibri" w:cs="Calibri"/>
        </w:rPr>
        <w:t xml:space="preserve">onsidering severity of malnutrition and the services expected out of </w:t>
      </w:r>
      <w:r w:rsidR="00DD7EB5">
        <w:rPr>
          <w:rFonts w:eastAsia="Calibri" w:cs="Calibri"/>
        </w:rPr>
        <w:t xml:space="preserve">overburdened </w:t>
      </w:r>
      <w:proofErr w:type="spellStart"/>
      <w:r w:rsidR="00C14329" w:rsidRPr="00695201">
        <w:rPr>
          <w:rFonts w:eastAsia="Calibri" w:cs="Calibri"/>
          <w:i/>
          <w:iCs/>
        </w:rPr>
        <w:t>anganwadi</w:t>
      </w:r>
      <w:proofErr w:type="spellEnd"/>
      <w:r w:rsidR="00C14329" w:rsidRPr="0007746B">
        <w:rPr>
          <w:rFonts w:eastAsia="Calibri" w:cs="Calibri"/>
        </w:rPr>
        <w:t xml:space="preserve"> workers, the allocation</w:t>
      </w:r>
      <w:r w:rsidR="00DD7EB5">
        <w:rPr>
          <w:rFonts w:eastAsia="Calibri" w:cs="Calibri"/>
        </w:rPr>
        <w:t>s</w:t>
      </w:r>
      <w:r w:rsidR="00C14329" w:rsidRPr="0007746B">
        <w:rPr>
          <w:rFonts w:eastAsia="Calibri" w:cs="Calibri"/>
        </w:rPr>
        <w:t xml:space="preserve"> need to increase </w:t>
      </w:r>
      <w:r w:rsidR="00DD7EB5">
        <w:rPr>
          <w:rFonts w:eastAsia="Calibri" w:cs="Calibri"/>
        </w:rPr>
        <w:t>significantly (Table 12.1)</w:t>
      </w:r>
      <w:r w:rsidR="00C14329" w:rsidRPr="0007746B">
        <w:rPr>
          <w:rFonts w:eastAsia="Calibri" w:cs="Calibri"/>
        </w:rPr>
        <w:t xml:space="preserve">. </w:t>
      </w:r>
    </w:p>
    <w:p w:rsidR="00B20336" w:rsidRPr="00AD4E9A" w:rsidRDefault="00B20336" w:rsidP="00234532">
      <w:pPr>
        <w:jc w:val="both"/>
        <w:rPr>
          <w:rFonts w:eastAsia="Calibri" w:cs="Calibri"/>
        </w:rPr>
      </w:pPr>
      <w:r w:rsidRPr="00AD4E9A">
        <w:rPr>
          <w:rFonts w:eastAsia="Calibri" w:cs="Calibri"/>
        </w:rPr>
        <w:t>Major schemes related to education show increase</w:t>
      </w:r>
      <w:r w:rsidR="00DD7EB5">
        <w:rPr>
          <w:rFonts w:eastAsia="Calibri" w:cs="Calibri"/>
        </w:rPr>
        <w:t>d</w:t>
      </w:r>
      <w:r w:rsidRPr="00AD4E9A">
        <w:rPr>
          <w:rFonts w:eastAsia="Calibri" w:cs="Calibri"/>
        </w:rPr>
        <w:t xml:space="preserve"> allocation</w:t>
      </w:r>
      <w:r w:rsidR="00DD7EB5">
        <w:rPr>
          <w:rFonts w:eastAsia="Calibri" w:cs="Calibri"/>
        </w:rPr>
        <w:t>s</w:t>
      </w:r>
      <w:r w:rsidRPr="00AD4E9A">
        <w:rPr>
          <w:rFonts w:eastAsia="Calibri" w:cs="Calibri"/>
        </w:rPr>
        <w:t xml:space="preserve"> in 2017-18 (BE) as compared to 2016-17 (BE)</w:t>
      </w:r>
      <w:r w:rsidR="00DD7EB5">
        <w:rPr>
          <w:rFonts w:eastAsia="Calibri" w:cs="Calibri"/>
        </w:rPr>
        <w:t>;</w:t>
      </w:r>
      <w:r w:rsidRPr="00AD4E9A">
        <w:rPr>
          <w:rFonts w:eastAsia="Calibri" w:cs="Calibri"/>
        </w:rPr>
        <w:t xml:space="preserve"> </w:t>
      </w:r>
      <w:proofErr w:type="spellStart"/>
      <w:r w:rsidRPr="00AD4E9A">
        <w:rPr>
          <w:rFonts w:eastAsia="Calibri" w:cs="Calibri"/>
          <w:i/>
          <w:iCs/>
        </w:rPr>
        <w:t>Sarva</w:t>
      </w:r>
      <w:proofErr w:type="spellEnd"/>
      <w:r w:rsidRPr="00AD4E9A">
        <w:rPr>
          <w:rFonts w:eastAsia="Calibri" w:cs="Calibri"/>
          <w:i/>
          <w:iCs/>
        </w:rPr>
        <w:t xml:space="preserve"> </w:t>
      </w:r>
      <w:proofErr w:type="spellStart"/>
      <w:r w:rsidRPr="00AD4E9A">
        <w:rPr>
          <w:rFonts w:eastAsia="Calibri" w:cs="Calibri"/>
          <w:i/>
          <w:iCs/>
        </w:rPr>
        <w:t>Shiksha</w:t>
      </w:r>
      <w:proofErr w:type="spellEnd"/>
      <w:r w:rsidRPr="00AD4E9A">
        <w:rPr>
          <w:rFonts w:eastAsia="Calibri" w:cs="Calibri"/>
          <w:i/>
          <w:iCs/>
        </w:rPr>
        <w:t xml:space="preserve"> </w:t>
      </w:r>
      <w:proofErr w:type="spellStart"/>
      <w:r w:rsidRPr="00AD4E9A">
        <w:rPr>
          <w:rFonts w:eastAsia="Calibri" w:cs="Calibri"/>
          <w:i/>
          <w:iCs/>
        </w:rPr>
        <w:t>Abhiyan</w:t>
      </w:r>
      <w:proofErr w:type="spellEnd"/>
      <w:r w:rsidRPr="00AD4E9A">
        <w:rPr>
          <w:rFonts w:eastAsia="Calibri" w:cs="Calibri"/>
        </w:rPr>
        <w:t xml:space="preserve"> (SSA) saw an increase of </w:t>
      </w:r>
      <w:proofErr w:type="spellStart"/>
      <w:r w:rsidRPr="00AD4E9A">
        <w:rPr>
          <w:rFonts w:eastAsia="Calibri" w:cs="Calibri"/>
        </w:rPr>
        <w:t>Rs</w:t>
      </w:r>
      <w:proofErr w:type="spellEnd"/>
      <w:r w:rsidR="00DD7EB5">
        <w:rPr>
          <w:rFonts w:eastAsia="Calibri" w:cs="Calibri"/>
        </w:rPr>
        <w:t>.</w:t>
      </w:r>
      <w:r w:rsidRPr="00AD4E9A">
        <w:rPr>
          <w:rFonts w:eastAsia="Calibri" w:cs="Calibri"/>
        </w:rPr>
        <w:t xml:space="preserve"> 1000 crore</w:t>
      </w:r>
      <w:r w:rsidR="00DD7EB5">
        <w:rPr>
          <w:rFonts w:eastAsia="Calibri" w:cs="Calibri"/>
        </w:rPr>
        <w:t>,</w:t>
      </w:r>
      <w:r w:rsidRPr="00AD4E9A">
        <w:rPr>
          <w:rFonts w:eastAsia="Calibri" w:cs="Calibri"/>
        </w:rPr>
        <w:t xml:space="preserve"> while Mid</w:t>
      </w:r>
      <w:r w:rsidR="00DD7EB5">
        <w:rPr>
          <w:rFonts w:eastAsia="Calibri" w:cs="Calibri"/>
        </w:rPr>
        <w:t>-</w:t>
      </w:r>
      <w:r w:rsidRPr="00AD4E9A">
        <w:rPr>
          <w:rFonts w:eastAsia="Calibri" w:cs="Calibri"/>
        </w:rPr>
        <w:t xml:space="preserve">Day Meal and </w:t>
      </w:r>
      <w:proofErr w:type="spellStart"/>
      <w:r w:rsidRPr="00AD4E9A">
        <w:rPr>
          <w:rFonts w:eastAsia="Calibri" w:cs="Calibri"/>
          <w:i/>
          <w:iCs/>
        </w:rPr>
        <w:t>Rashtriya</w:t>
      </w:r>
      <w:proofErr w:type="spellEnd"/>
      <w:r w:rsidRPr="00AD4E9A">
        <w:rPr>
          <w:rFonts w:eastAsia="Calibri" w:cs="Calibri"/>
          <w:i/>
          <w:iCs/>
        </w:rPr>
        <w:t xml:space="preserve"> </w:t>
      </w:r>
      <w:proofErr w:type="spellStart"/>
      <w:r w:rsidRPr="00AD4E9A">
        <w:rPr>
          <w:rFonts w:eastAsia="Calibri" w:cs="Calibri"/>
          <w:i/>
          <w:iCs/>
        </w:rPr>
        <w:t>Madhyamik</w:t>
      </w:r>
      <w:proofErr w:type="spellEnd"/>
      <w:r w:rsidRPr="00AD4E9A">
        <w:rPr>
          <w:rFonts w:eastAsia="Calibri" w:cs="Calibri"/>
          <w:i/>
          <w:iCs/>
        </w:rPr>
        <w:t xml:space="preserve"> </w:t>
      </w:r>
      <w:proofErr w:type="spellStart"/>
      <w:r w:rsidRPr="00AD4E9A">
        <w:rPr>
          <w:rFonts w:eastAsia="Calibri" w:cs="Calibri"/>
          <w:i/>
          <w:iCs/>
        </w:rPr>
        <w:t>Shiksha</w:t>
      </w:r>
      <w:proofErr w:type="spellEnd"/>
      <w:r w:rsidRPr="00AD4E9A">
        <w:rPr>
          <w:rFonts w:eastAsia="Calibri" w:cs="Calibri"/>
          <w:i/>
          <w:iCs/>
        </w:rPr>
        <w:t xml:space="preserve"> </w:t>
      </w:r>
      <w:proofErr w:type="spellStart"/>
      <w:r w:rsidRPr="00AD4E9A">
        <w:rPr>
          <w:rFonts w:eastAsia="Calibri" w:cs="Calibri"/>
          <w:i/>
          <w:iCs/>
        </w:rPr>
        <w:t>Abhiyan</w:t>
      </w:r>
      <w:proofErr w:type="spellEnd"/>
      <w:r w:rsidR="00D427EC" w:rsidRPr="00AD4E9A">
        <w:rPr>
          <w:rFonts w:eastAsia="Calibri" w:cs="Calibri"/>
        </w:rPr>
        <w:t xml:space="preserve"> (RMSA) see a modest increase in their </w:t>
      </w:r>
      <w:r w:rsidR="00DD7EB5">
        <w:rPr>
          <w:rFonts w:eastAsia="Calibri" w:cs="Calibri"/>
        </w:rPr>
        <w:t xml:space="preserve">respective </w:t>
      </w:r>
      <w:r w:rsidR="00D427EC" w:rsidRPr="00AD4E9A">
        <w:rPr>
          <w:rFonts w:eastAsia="Calibri" w:cs="Calibri"/>
        </w:rPr>
        <w:t>budget</w:t>
      </w:r>
      <w:r w:rsidR="00DD7EB5">
        <w:rPr>
          <w:rFonts w:eastAsia="Calibri" w:cs="Calibri"/>
        </w:rPr>
        <w:t>s</w:t>
      </w:r>
      <w:r w:rsidR="00D427EC" w:rsidRPr="00AD4E9A">
        <w:rPr>
          <w:rFonts w:eastAsia="Calibri" w:cs="Calibri"/>
        </w:rPr>
        <w:t xml:space="preserve">. </w:t>
      </w:r>
      <w:r w:rsidR="00176DFA" w:rsidRPr="00AD4E9A">
        <w:rPr>
          <w:rFonts w:eastAsia="Calibri" w:cs="Calibri"/>
        </w:rPr>
        <w:t>(Table 12.1)</w:t>
      </w:r>
    </w:p>
    <w:p w:rsidR="00317A75" w:rsidRPr="0007746B" w:rsidRDefault="00317A75" w:rsidP="00317A75">
      <w:pPr>
        <w:spacing w:after="0" w:line="240" w:lineRule="auto"/>
        <w:ind w:left="426" w:right="-20"/>
        <w:jc w:val="center"/>
        <w:rPr>
          <w:rFonts w:eastAsia="Calibri" w:cs="Calibri"/>
        </w:rPr>
      </w:pPr>
      <w:r w:rsidRPr="0007746B">
        <w:rPr>
          <w:rFonts w:eastAsia="Calibri" w:cs="Calibri"/>
          <w:b/>
          <w:bCs/>
          <w:spacing w:val="-17"/>
        </w:rPr>
        <w:t>T</w:t>
      </w:r>
      <w:r w:rsidRPr="0007746B">
        <w:rPr>
          <w:rFonts w:eastAsia="Calibri" w:cs="Calibri"/>
          <w:b/>
          <w:bCs/>
        </w:rPr>
        <w:t>able 12.1: Bud</w:t>
      </w:r>
      <w:r w:rsidRPr="0007746B">
        <w:rPr>
          <w:rFonts w:eastAsia="Calibri" w:cs="Calibri"/>
          <w:b/>
          <w:bCs/>
          <w:spacing w:val="-3"/>
        </w:rPr>
        <w:t>g</w:t>
      </w:r>
      <w:r w:rsidRPr="0007746B">
        <w:rPr>
          <w:rFonts w:eastAsia="Calibri" w:cs="Calibri"/>
          <w:b/>
          <w:bCs/>
          <w:spacing w:val="-1"/>
        </w:rPr>
        <w:t>e</w:t>
      </w:r>
      <w:r w:rsidRPr="0007746B">
        <w:rPr>
          <w:rFonts w:eastAsia="Calibri" w:cs="Calibri"/>
          <w:b/>
          <w:bCs/>
          <w:spacing w:val="-2"/>
        </w:rPr>
        <w:t>t</w:t>
      </w:r>
      <w:r w:rsidRPr="0007746B">
        <w:rPr>
          <w:rFonts w:eastAsia="Calibri" w:cs="Calibri"/>
          <w:b/>
          <w:bCs/>
        </w:rPr>
        <w:t>a</w:t>
      </w:r>
      <w:r w:rsidRPr="0007746B">
        <w:rPr>
          <w:rFonts w:eastAsia="Calibri" w:cs="Calibri"/>
          <w:b/>
          <w:bCs/>
          <w:spacing w:val="1"/>
        </w:rPr>
        <w:t>r</w:t>
      </w:r>
      <w:r w:rsidRPr="0007746B">
        <w:rPr>
          <w:rFonts w:eastAsia="Calibri" w:cs="Calibri"/>
          <w:b/>
          <w:bCs/>
        </w:rPr>
        <w:t>y Allo</w:t>
      </w:r>
      <w:r w:rsidRPr="0007746B">
        <w:rPr>
          <w:rFonts w:eastAsia="Calibri" w:cs="Calibri"/>
          <w:b/>
          <w:bCs/>
          <w:spacing w:val="-2"/>
        </w:rPr>
        <w:t>ca</w:t>
      </w:r>
      <w:r w:rsidRPr="0007746B">
        <w:rPr>
          <w:rFonts w:eastAsia="Calibri" w:cs="Calibri"/>
          <w:b/>
          <w:bCs/>
        </w:rPr>
        <w:t>tion</w:t>
      </w:r>
      <w:r w:rsidRPr="0007746B">
        <w:rPr>
          <w:rFonts w:eastAsia="Calibri" w:cs="Calibri"/>
          <w:b/>
          <w:bCs/>
          <w:spacing w:val="-4"/>
        </w:rPr>
        <w:t xml:space="preserve"> </w:t>
      </w:r>
      <w:r w:rsidRPr="0007746B">
        <w:rPr>
          <w:rFonts w:eastAsia="Calibri" w:cs="Calibri"/>
          <w:b/>
          <w:bCs/>
        </w:rPr>
        <w:t xml:space="preserve">under Select Schemes </w:t>
      </w:r>
      <w:r w:rsidRPr="0007746B">
        <w:rPr>
          <w:rFonts w:eastAsia="Calibri" w:cs="Calibri"/>
          <w:b/>
          <w:bCs/>
          <w:spacing w:val="-3"/>
        </w:rPr>
        <w:t>f</w:t>
      </w:r>
      <w:r w:rsidRPr="0007746B">
        <w:rPr>
          <w:rFonts w:eastAsia="Calibri" w:cs="Calibri"/>
          <w:b/>
          <w:bCs/>
        </w:rPr>
        <w:t xml:space="preserve">or the </w:t>
      </w:r>
      <w:r w:rsidRPr="0007746B">
        <w:rPr>
          <w:rFonts w:eastAsia="Calibri" w:cs="Calibri"/>
          <w:b/>
          <w:bCs/>
          <w:spacing w:val="-8"/>
        </w:rPr>
        <w:t>W</w:t>
      </w:r>
      <w:r w:rsidRPr="0007746B">
        <w:rPr>
          <w:rFonts w:eastAsia="Calibri" w:cs="Calibri"/>
          <w:b/>
          <w:bCs/>
        </w:rPr>
        <w:t>el</w:t>
      </w:r>
      <w:r w:rsidRPr="0007746B">
        <w:rPr>
          <w:rFonts w:eastAsia="Calibri" w:cs="Calibri"/>
          <w:b/>
          <w:bCs/>
          <w:spacing w:val="-3"/>
        </w:rPr>
        <w:t>f</w:t>
      </w:r>
      <w:r w:rsidRPr="0007746B">
        <w:rPr>
          <w:rFonts w:eastAsia="Calibri" w:cs="Calibri"/>
          <w:b/>
          <w:bCs/>
        </w:rPr>
        <w:t>a</w:t>
      </w:r>
      <w:r w:rsidRPr="0007746B">
        <w:rPr>
          <w:rFonts w:eastAsia="Calibri" w:cs="Calibri"/>
          <w:b/>
          <w:bCs/>
          <w:spacing w:val="-2"/>
        </w:rPr>
        <w:t>r</w:t>
      </w:r>
      <w:r w:rsidRPr="0007746B">
        <w:rPr>
          <w:rFonts w:eastAsia="Calibri" w:cs="Calibri"/>
          <w:b/>
          <w:bCs/>
        </w:rPr>
        <w:t>e of Child</w:t>
      </w:r>
      <w:r w:rsidRPr="0007746B">
        <w:rPr>
          <w:rFonts w:eastAsia="Calibri" w:cs="Calibri"/>
          <w:b/>
          <w:bCs/>
          <w:spacing w:val="-3"/>
        </w:rPr>
        <w:t>r</w:t>
      </w:r>
      <w:r w:rsidRPr="0007746B">
        <w:rPr>
          <w:rFonts w:eastAsia="Calibri" w:cs="Calibri"/>
          <w:b/>
          <w:bCs/>
        </w:rPr>
        <w:t>en (Rs. c</w:t>
      </w:r>
      <w:r w:rsidRPr="0007746B">
        <w:rPr>
          <w:rFonts w:eastAsia="Calibri" w:cs="Calibri"/>
          <w:b/>
          <w:bCs/>
          <w:spacing w:val="-3"/>
        </w:rPr>
        <w:t>r</w:t>
      </w:r>
      <w:r w:rsidRPr="0007746B">
        <w:rPr>
          <w:rFonts w:eastAsia="Calibri" w:cs="Calibri"/>
          <w:b/>
          <w:bCs/>
        </w:rPr>
        <w:t>o</w:t>
      </w:r>
      <w:r w:rsidRPr="0007746B">
        <w:rPr>
          <w:rFonts w:eastAsia="Calibri" w:cs="Calibri"/>
          <w:b/>
          <w:bCs/>
          <w:spacing w:val="-2"/>
        </w:rPr>
        <w:t>r</w:t>
      </w:r>
      <w:r w:rsidRPr="0007746B">
        <w:rPr>
          <w:rFonts w:eastAsia="Calibri" w:cs="Calibri"/>
          <w:b/>
          <w:bCs/>
        </w:rPr>
        <w:t>e)</w:t>
      </w:r>
    </w:p>
    <w:p w:rsidR="00317A75" w:rsidRPr="0007746B" w:rsidRDefault="00317A75" w:rsidP="00317A75">
      <w:pPr>
        <w:spacing w:line="240" w:lineRule="auto"/>
        <w:rPr>
          <w:lang w:val="en-US"/>
        </w:rPr>
      </w:pPr>
    </w:p>
    <w:tbl>
      <w:tblPr>
        <w:tblW w:w="10094" w:type="dxa"/>
        <w:jc w:val="center"/>
        <w:tblInd w:w="-612" w:type="dxa"/>
        <w:tblLook w:val="04A0" w:firstRow="1" w:lastRow="0" w:firstColumn="1" w:lastColumn="0" w:noHBand="0" w:noVBand="1"/>
      </w:tblPr>
      <w:tblGrid>
        <w:gridCol w:w="1428"/>
        <w:gridCol w:w="1209"/>
        <w:gridCol w:w="1151"/>
        <w:gridCol w:w="1065"/>
        <w:gridCol w:w="980"/>
        <w:gridCol w:w="1065"/>
        <w:gridCol w:w="1019"/>
        <w:gridCol w:w="1112"/>
        <w:gridCol w:w="1065"/>
      </w:tblGrid>
      <w:tr w:rsidR="00317A75" w:rsidRPr="0007746B" w:rsidTr="00DE0FAC">
        <w:trPr>
          <w:trHeight w:val="60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2012-13 (RE)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2013-14 (RE)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2014-15 (RE)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2015-16 (RE)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2016-17 (BE)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2016-17 (RE)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b/>
                <w:bCs/>
                <w:color w:val="000000"/>
                <w:lang w:eastAsia="en-GB" w:bidi="bn-IN"/>
              </w:rPr>
              <w:t>2017-18 (BE)</w:t>
            </w:r>
          </w:p>
        </w:tc>
      </w:tr>
      <w:tr w:rsidR="00317A75" w:rsidRPr="0007746B" w:rsidTr="00DE0FAC">
        <w:trPr>
          <w:trHeight w:val="300"/>
          <w:jc w:val="center"/>
        </w:trPr>
        <w:tc>
          <w:tcPr>
            <w:tcW w:w="14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07746B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Education</w:t>
            </w:r>
          </w:p>
          <w:p w:rsidR="00317A75" w:rsidRPr="0007746B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 </w:t>
            </w:r>
          </w:p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SSA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645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26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608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24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330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22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015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22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22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500</w:t>
            </w:r>
          </w:p>
        </w:tc>
      </w:tr>
      <w:tr w:rsidR="00317A75" w:rsidRPr="0007746B" w:rsidTr="00DE0FAC">
        <w:trPr>
          <w:trHeight w:val="300"/>
          <w:jc w:val="center"/>
        </w:trPr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MDM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11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12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11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051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9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236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9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700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9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700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10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000</w:t>
            </w:r>
          </w:p>
        </w:tc>
      </w:tr>
      <w:tr w:rsidR="00317A75" w:rsidRPr="0007746B" w:rsidTr="00DE0FAC">
        <w:trPr>
          <w:trHeight w:val="300"/>
          <w:jc w:val="center"/>
        </w:trPr>
        <w:tc>
          <w:tcPr>
            <w:tcW w:w="1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RMSA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480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565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700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700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830</w:t>
            </w:r>
          </w:p>
        </w:tc>
      </w:tr>
      <w:tr w:rsidR="00317A75" w:rsidRPr="0007746B" w:rsidTr="00DE0FAC">
        <w:trPr>
          <w:trHeight w:val="485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lastRenderedPageBreak/>
              <w:t>Development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ICDS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15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941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16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16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667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15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584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14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810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14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551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16</w:t>
            </w:r>
            <w:r>
              <w:rPr>
                <w:rFonts w:eastAsia="Times New Roman" w:cs="Times New Roman"/>
                <w:color w:val="000000"/>
                <w:lang w:eastAsia="en-GB" w:bidi="bn-IN"/>
              </w:rPr>
              <w:t>,</w:t>
            </w: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745</w:t>
            </w:r>
          </w:p>
        </w:tc>
      </w:tr>
      <w:tr w:rsidR="00317A75" w:rsidRPr="0007746B" w:rsidTr="00DE0FAC">
        <w:trPr>
          <w:trHeight w:val="300"/>
          <w:jc w:val="center"/>
        </w:trPr>
        <w:tc>
          <w:tcPr>
            <w:tcW w:w="14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07746B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Protection</w:t>
            </w:r>
          </w:p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NCPCR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19</w:t>
            </w:r>
          </w:p>
        </w:tc>
      </w:tr>
      <w:tr w:rsidR="00317A75" w:rsidRPr="0007746B" w:rsidTr="00DE0FAC">
        <w:trPr>
          <w:trHeight w:val="300"/>
          <w:jc w:val="center"/>
        </w:trPr>
        <w:tc>
          <w:tcPr>
            <w:tcW w:w="1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ICPS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273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450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402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397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597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A75" w:rsidRPr="0053244E" w:rsidRDefault="00317A75" w:rsidP="00DE0FAC">
            <w:pPr>
              <w:spacing w:after="0"/>
              <w:rPr>
                <w:rFonts w:eastAsia="Times New Roman" w:cs="Times New Roman"/>
                <w:color w:val="000000"/>
                <w:lang w:eastAsia="en-GB" w:bidi="bn-IN"/>
              </w:rPr>
            </w:pPr>
            <w:r w:rsidRPr="0053244E">
              <w:rPr>
                <w:rFonts w:eastAsia="Times New Roman" w:cs="Times New Roman"/>
                <w:color w:val="000000"/>
                <w:lang w:eastAsia="en-GB" w:bidi="bn-IN"/>
              </w:rPr>
              <w:t>648</w:t>
            </w:r>
          </w:p>
        </w:tc>
      </w:tr>
    </w:tbl>
    <w:p w:rsidR="00317A75" w:rsidRPr="00C128C1" w:rsidRDefault="00317A75" w:rsidP="00317A75">
      <w:pPr>
        <w:spacing w:after="0"/>
        <w:rPr>
          <w:sz w:val="18"/>
          <w:szCs w:val="18"/>
          <w:lang w:val="en-US"/>
        </w:rPr>
      </w:pPr>
      <w:r w:rsidRPr="00E554C5">
        <w:rPr>
          <w:i/>
          <w:iCs/>
          <w:sz w:val="18"/>
          <w:szCs w:val="18"/>
          <w:lang w:val="en-US"/>
        </w:rPr>
        <w:t>Notes:</w:t>
      </w:r>
      <w:r w:rsidRPr="00C128C1">
        <w:rPr>
          <w:sz w:val="18"/>
          <w:szCs w:val="18"/>
          <w:lang w:val="en-US"/>
        </w:rPr>
        <w:t xml:space="preserve"> i) Figures f</w:t>
      </w:r>
      <w:r w:rsidR="00176DFA">
        <w:rPr>
          <w:sz w:val="18"/>
          <w:szCs w:val="18"/>
          <w:lang w:val="en-US"/>
        </w:rPr>
        <w:t xml:space="preserve">or ICDS includes ICDS core; </w:t>
      </w:r>
      <w:r w:rsidRPr="00C128C1">
        <w:rPr>
          <w:sz w:val="18"/>
          <w:szCs w:val="18"/>
          <w:lang w:val="en-US"/>
        </w:rPr>
        <w:t xml:space="preserve">National Nutrition Mission and World Bank assisted </w:t>
      </w:r>
      <w:r w:rsidR="00176DFA">
        <w:rPr>
          <w:sz w:val="18"/>
          <w:szCs w:val="18"/>
          <w:lang w:val="en-US"/>
        </w:rPr>
        <w:t>ICDS</w:t>
      </w:r>
    </w:p>
    <w:p w:rsidR="00317A75" w:rsidRPr="00C128C1" w:rsidRDefault="00317A75" w:rsidP="00317A75">
      <w:pPr>
        <w:rPr>
          <w:sz w:val="18"/>
          <w:szCs w:val="18"/>
          <w:lang w:val="en-US"/>
        </w:rPr>
      </w:pPr>
      <w:r w:rsidRPr="00E554C5">
        <w:rPr>
          <w:i/>
          <w:iCs/>
          <w:sz w:val="18"/>
          <w:szCs w:val="18"/>
          <w:lang w:val="en-US"/>
        </w:rPr>
        <w:t>Source</w:t>
      </w:r>
      <w:r w:rsidRPr="00C128C1">
        <w:rPr>
          <w:sz w:val="18"/>
          <w:szCs w:val="18"/>
          <w:lang w:val="en-US"/>
        </w:rPr>
        <w:t>: Compiled by CBGA from Child Budget Statement for various years</w:t>
      </w:r>
      <w:r w:rsidR="002C6105">
        <w:rPr>
          <w:sz w:val="18"/>
          <w:szCs w:val="18"/>
          <w:lang w:val="en-US"/>
        </w:rPr>
        <w:t>.</w:t>
      </w:r>
    </w:p>
    <w:p w:rsidR="0065141F" w:rsidRPr="0007746B" w:rsidRDefault="00DD7EB5" w:rsidP="0007746B">
      <w:pPr>
        <w:jc w:val="both"/>
        <w:rPr>
          <w:lang w:val="en-US"/>
        </w:rPr>
      </w:pPr>
      <w:r>
        <w:rPr>
          <w:lang w:val="en-US"/>
        </w:rPr>
        <w:t>Also</w:t>
      </w:r>
      <w:r w:rsidR="0065141F" w:rsidRPr="0007746B">
        <w:rPr>
          <w:lang w:val="en-US"/>
        </w:rPr>
        <w:t>, protection related scheme</w:t>
      </w:r>
      <w:r>
        <w:rPr>
          <w:lang w:val="en-US"/>
        </w:rPr>
        <w:t>s</w:t>
      </w:r>
      <w:r w:rsidR="0065141F" w:rsidRPr="0007746B">
        <w:rPr>
          <w:lang w:val="en-US"/>
        </w:rPr>
        <w:t xml:space="preserve"> </w:t>
      </w:r>
      <w:r>
        <w:rPr>
          <w:lang w:val="en-US"/>
        </w:rPr>
        <w:t>continue to receive least share among schemes for children</w:t>
      </w:r>
      <w:r w:rsidR="0065141F" w:rsidRPr="0007746B">
        <w:rPr>
          <w:lang w:val="en-US"/>
        </w:rPr>
        <w:t xml:space="preserve">. Though there is an increase of about </w:t>
      </w:r>
      <w:proofErr w:type="spellStart"/>
      <w:r w:rsidR="0065141F" w:rsidRPr="0007746B">
        <w:rPr>
          <w:lang w:val="en-US"/>
        </w:rPr>
        <w:t>Rs</w:t>
      </w:r>
      <w:proofErr w:type="spellEnd"/>
      <w:r>
        <w:rPr>
          <w:lang w:val="en-US"/>
        </w:rPr>
        <w:t>.</w:t>
      </w:r>
      <w:r w:rsidR="0065141F" w:rsidRPr="0007746B">
        <w:rPr>
          <w:lang w:val="en-US"/>
        </w:rPr>
        <w:t xml:space="preserve"> 370 crore in schemes related to protection of children, given the increas</w:t>
      </w:r>
      <w:r w:rsidR="00695201">
        <w:rPr>
          <w:lang w:val="en-US"/>
        </w:rPr>
        <w:t>e of crimes against children (</w:t>
      </w:r>
      <w:r w:rsidR="0065141F" w:rsidRPr="0007746B">
        <w:rPr>
          <w:lang w:val="en-US"/>
        </w:rPr>
        <w:t xml:space="preserve">5.3 percent </w:t>
      </w:r>
      <w:r w:rsidR="00695201">
        <w:rPr>
          <w:lang w:val="en-US"/>
        </w:rPr>
        <w:t>in</w:t>
      </w:r>
      <w:r w:rsidR="0065141F" w:rsidRPr="0007746B">
        <w:rPr>
          <w:lang w:val="en-US"/>
        </w:rPr>
        <w:t xml:space="preserve"> 2015 over 2014 (National Crimes Record Bureau, 2015)</w:t>
      </w:r>
      <w:r w:rsidR="00E51A74">
        <w:rPr>
          <w:lang w:val="en-US"/>
        </w:rPr>
        <w:t>)</w:t>
      </w:r>
      <w:r w:rsidR="0065141F" w:rsidRPr="0007746B">
        <w:rPr>
          <w:lang w:val="en-US"/>
        </w:rPr>
        <w:t xml:space="preserve"> and the </w:t>
      </w:r>
      <w:r w:rsidR="00234532">
        <w:rPr>
          <w:lang w:val="en-US"/>
        </w:rPr>
        <w:t>range</w:t>
      </w:r>
      <w:r w:rsidR="00FB2CFB">
        <w:rPr>
          <w:lang w:val="en-US"/>
        </w:rPr>
        <w:t xml:space="preserve"> </w:t>
      </w:r>
      <w:r w:rsidR="00176DFA">
        <w:rPr>
          <w:lang w:val="en-US"/>
        </w:rPr>
        <w:t xml:space="preserve">of </w:t>
      </w:r>
      <w:r w:rsidR="00176DFA" w:rsidRPr="0007746B">
        <w:rPr>
          <w:lang w:val="en-US"/>
        </w:rPr>
        <w:t>vulnerabilit</w:t>
      </w:r>
      <w:r w:rsidR="00143D58">
        <w:rPr>
          <w:lang w:val="en-US"/>
        </w:rPr>
        <w:t>ies</w:t>
      </w:r>
      <w:r w:rsidR="00234532">
        <w:rPr>
          <w:lang w:val="en-US"/>
        </w:rPr>
        <w:t xml:space="preserve"> </w:t>
      </w:r>
      <w:r w:rsidR="00234532" w:rsidRPr="0007746B">
        <w:rPr>
          <w:lang w:val="en-US"/>
        </w:rPr>
        <w:t>faced by children</w:t>
      </w:r>
      <w:r w:rsidR="0065141F" w:rsidRPr="0007746B">
        <w:rPr>
          <w:rFonts w:cs="PT Serif"/>
          <w:lang w:bidi="bn-IN"/>
        </w:rPr>
        <w:t xml:space="preserve"> </w:t>
      </w:r>
      <w:r w:rsidR="00143D58">
        <w:rPr>
          <w:rFonts w:cs="PT Serif"/>
          <w:lang w:bidi="bn-IN"/>
        </w:rPr>
        <w:t>(</w:t>
      </w:r>
      <w:r w:rsidR="00234532">
        <w:rPr>
          <w:rFonts w:cs="PT Serif"/>
          <w:lang w:bidi="bn-IN"/>
        </w:rPr>
        <w:t>including,</w:t>
      </w:r>
      <w:r w:rsidR="00D0140E" w:rsidRPr="0007746B">
        <w:rPr>
          <w:rFonts w:cs="PT Serif"/>
          <w:lang w:bidi="bn-IN"/>
        </w:rPr>
        <w:t xml:space="preserve"> </w:t>
      </w:r>
      <w:r w:rsidR="0065141F" w:rsidRPr="0007746B">
        <w:t xml:space="preserve">child marriage, child </w:t>
      </w:r>
      <w:r w:rsidR="00D0140E" w:rsidRPr="0007746B">
        <w:t xml:space="preserve">trafficking, child labour, children affected </w:t>
      </w:r>
      <w:r w:rsidR="0065141F" w:rsidRPr="0007746B">
        <w:t>by civil unrest, child sexual abuse</w:t>
      </w:r>
      <w:r w:rsidR="0065141F" w:rsidRPr="0007746B">
        <w:rPr>
          <w:lang w:val="en-US"/>
        </w:rPr>
        <w:t xml:space="preserve"> </w:t>
      </w:r>
      <w:r w:rsidR="00D0140E" w:rsidRPr="0007746B">
        <w:rPr>
          <w:lang w:val="en-US"/>
        </w:rPr>
        <w:t>etc.</w:t>
      </w:r>
      <w:r w:rsidR="00143D58">
        <w:rPr>
          <w:lang w:val="en-US"/>
        </w:rPr>
        <w:t>),</w:t>
      </w:r>
      <w:r w:rsidR="00D0140E" w:rsidRPr="0007746B">
        <w:rPr>
          <w:lang w:val="en-US"/>
        </w:rPr>
        <w:t xml:space="preserve"> allocations </w:t>
      </w:r>
      <w:r w:rsidR="00143D58">
        <w:rPr>
          <w:lang w:val="en-US"/>
        </w:rPr>
        <w:t>need to increase further</w:t>
      </w:r>
      <w:r w:rsidR="00D0140E" w:rsidRPr="0007746B">
        <w:rPr>
          <w:lang w:val="en-US"/>
        </w:rPr>
        <w:t xml:space="preserve">. </w:t>
      </w:r>
    </w:p>
    <w:p w:rsidR="00D0140E" w:rsidRDefault="00143D58" w:rsidP="0007746B">
      <w:pPr>
        <w:jc w:val="both"/>
      </w:pPr>
      <w:r>
        <w:t>T</w:t>
      </w:r>
      <w:r w:rsidR="00D0140E" w:rsidRPr="0007746B">
        <w:t>here are 470 million children in India and India banks on its young population to support its growing economy</w:t>
      </w:r>
      <w:r>
        <w:t xml:space="preserve">. It </w:t>
      </w:r>
      <w:r w:rsidR="00D0140E" w:rsidRPr="0007746B">
        <w:t xml:space="preserve">is </w:t>
      </w:r>
      <w:r>
        <w:t xml:space="preserve">thus, </w:t>
      </w:r>
      <w:r w:rsidR="00D0140E" w:rsidRPr="0007746B">
        <w:t xml:space="preserve">important that interventions related to children are adequately funded. Each </w:t>
      </w:r>
      <w:r w:rsidR="00E51A74" w:rsidRPr="0007746B">
        <w:t xml:space="preserve">Union Budget </w:t>
      </w:r>
      <w:r w:rsidR="00D0140E" w:rsidRPr="0007746B">
        <w:t xml:space="preserve">with </w:t>
      </w:r>
      <w:r w:rsidR="005E5132">
        <w:t>inadequate</w:t>
      </w:r>
      <w:r w:rsidR="00D0140E" w:rsidRPr="0007746B">
        <w:t xml:space="preserve"> allocation</w:t>
      </w:r>
      <w:r>
        <w:t>s</w:t>
      </w:r>
      <w:r w:rsidR="00D0140E" w:rsidRPr="0007746B">
        <w:t xml:space="preserve"> for these schemes is a missed opportunity and a bigger challenge to </w:t>
      </w:r>
      <w:r w:rsidR="005E5132">
        <w:t>address</w:t>
      </w:r>
      <w:r>
        <w:t xml:space="preserve"> in subsequent years</w:t>
      </w:r>
      <w:r w:rsidR="00D0140E" w:rsidRPr="0007746B">
        <w:t xml:space="preserve">. </w:t>
      </w:r>
      <w:r w:rsidR="00E51A74">
        <w:t xml:space="preserve">The National Plan of Action for Children, 2016 provides </w:t>
      </w:r>
      <w:r w:rsidR="005E5132">
        <w:t>a comprehensive</w:t>
      </w:r>
      <w:r w:rsidR="00E51A74">
        <w:t xml:space="preserve"> framework focussing on all the key areas concerning children</w:t>
      </w:r>
      <w:r w:rsidR="005E5132">
        <w:t>.</w:t>
      </w:r>
      <w:r w:rsidR="00E51A74">
        <w:t xml:space="preserve"> </w:t>
      </w:r>
      <w:r w:rsidR="005E5132">
        <w:t xml:space="preserve">It </w:t>
      </w:r>
      <w:r w:rsidR="00717CD6">
        <w:t>now requires</w:t>
      </w:r>
      <w:r w:rsidR="00230F89">
        <w:t xml:space="preserve"> </w:t>
      </w:r>
      <w:r w:rsidR="005E5132">
        <w:t xml:space="preserve">adequate </w:t>
      </w:r>
      <w:r>
        <w:t xml:space="preserve">budget </w:t>
      </w:r>
      <w:r w:rsidR="00E51A74">
        <w:t xml:space="preserve">allocation </w:t>
      </w:r>
      <w:r w:rsidR="00DA6EC8">
        <w:t>for effective implementation</w:t>
      </w:r>
      <w:r>
        <w:t>. This too</w:t>
      </w:r>
      <w:r w:rsidR="00230F89">
        <w:t>, however</w:t>
      </w:r>
      <w:r w:rsidR="00717CD6">
        <w:t xml:space="preserve">, </w:t>
      </w:r>
      <w:r w:rsidR="00DA6EC8">
        <w:t xml:space="preserve">seems to have </w:t>
      </w:r>
      <w:r w:rsidR="00717CD6">
        <w:t xml:space="preserve">been </w:t>
      </w:r>
      <w:r w:rsidR="00DA6EC8">
        <w:t xml:space="preserve">delayed, </w:t>
      </w:r>
      <w:r w:rsidR="00717CD6">
        <w:t>hopefully</w:t>
      </w:r>
      <w:r w:rsidR="00DA6EC8">
        <w:t>, only by a year.</w:t>
      </w:r>
      <w:r w:rsidR="00E51A74">
        <w:t xml:space="preserve">  </w:t>
      </w:r>
    </w:p>
    <w:p w:rsidR="00CB04B4" w:rsidRDefault="00CB04B4" w:rsidP="0007746B">
      <w:pPr>
        <w:jc w:val="both"/>
      </w:pPr>
    </w:p>
    <w:p w:rsidR="00176DFA" w:rsidRDefault="00176DFA" w:rsidP="0007746B">
      <w:pPr>
        <w:jc w:val="both"/>
      </w:pPr>
    </w:p>
    <w:sectPr w:rsidR="00176D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4E9" w:rsidRDefault="00E344E9" w:rsidP="004A06AA">
      <w:pPr>
        <w:spacing w:after="0" w:line="240" w:lineRule="auto"/>
      </w:pPr>
      <w:r>
        <w:separator/>
      </w:r>
    </w:p>
  </w:endnote>
  <w:endnote w:type="continuationSeparator" w:id="0">
    <w:p w:rsidR="00E344E9" w:rsidRDefault="00E344E9" w:rsidP="004A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T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4E9" w:rsidRDefault="00E344E9" w:rsidP="004A06AA">
      <w:pPr>
        <w:spacing w:after="0" w:line="240" w:lineRule="auto"/>
      </w:pPr>
      <w:r>
        <w:separator/>
      </w:r>
    </w:p>
  </w:footnote>
  <w:footnote w:type="continuationSeparator" w:id="0">
    <w:p w:rsidR="00E344E9" w:rsidRDefault="00E344E9" w:rsidP="004A0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6AC5"/>
    <w:multiLevelType w:val="hybridMultilevel"/>
    <w:tmpl w:val="B5DE7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45319"/>
    <w:multiLevelType w:val="hybridMultilevel"/>
    <w:tmpl w:val="2602A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2A606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  <w:w w:val="13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sTSwsASRRsYmSjpKwanFxZn5eSAFprUAMrrIgCwAAAA="/>
  </w:docVars>
  <w:rsids>
    <w:rsidRoot w:val="00A21146"/>
    <w:rsid w:val="00002C6F"/>
    <w:rsid w:val="00005D07"/>
    <w:rsid w:val="00063A5B"/>
    <w:rsid w:val="0007746B"/>
    <w:rsid w:val="00080BF7"/>
    <w:rsid w:val="000A2349"/>
    <w:rsid w:val="000B48A6"/>
    <w:rsid w:val="000C00E8"/>
    <w:rsid w:val="000C01B0"/>
    <w:rsid w:val="00130226"/>
    <w:rsid w:val="00143D58"/>
    <w:rsid w:val="00146014"/>
    <w:rsid w:val="00176DFA"/>
    <w:rsid w:val="00181826"/>
    <w:rsid w:val="001937A0"/>
    <w:rsid w:val="00197A4F"/>
    <w:rsid w:val="001C64E3"/>
    <w:rsid w:val="001E0A2C"/>
    <w:rsid w:val="001F35A0"/>
    <w:rsid w:val="00230F89"/>
    <w:rsid w:val="00234532"/>
    <w:rsid w:val="002C6105"/>
    <w:rsid w:val="00317A75"/>
    <w:rsid w:val="00356BDF"/>
    <w:rsid w:val="0039261C"/>
    <w:rsid w:val="003B3BB6"/>
    <w:rsid w:val="003E6F8B"/>
    <w:rsid w:val="00421106"/>
    <w:rsid w:val="00447731"/>
    <w:rsid w:val="00453846"/>
    <w:rsid w:val="004A06AA"/>
    <w:rsid w:val="004D3F9D"/>
    <w:rsid w:val="00521C0B"/>
    <w:rsid w:val="00523F2B"/>
    <w:rsid w:val="0053244E"/>
    <w:rsid w:val="0055077B"/>
    <w:rsid w:val="005C4C30"/>
    <w:rsid w:val="005E5132"/>
    <w:rsid w:val="005F4B53"/>
    <w:rsid w:val="00642DB5"/>
    <w:rsid w:val="00647D82"/>
    <w:rsid w:val="0065141F"/>
    <w:rsid w:val="00652483"/>
    <w:rsid w:val="0067715A"/>
    <w:rsid w:val="00695201"/>
    <w:rsid w:val="006974D5"/>
    <w:rsid w:val="006D4287"/>
    <w:rsid w:val="007036AE"/>
    <w:rsid w:val="00717CD6"/>
    <w:rsid w:val="00734299"/>
    <w:rsid w:val="00745D52"/>
    <w:rsid w:val="007A19A7"/>
    <w:rsid w:val="007B10C2"/>
    <w:rsid w:val="007C43F1"/>
    <w:rsid w:val="008026E3"/>
    <w:rsid w:val="00804266"/>
    <w:rsid w:val="00831286"/>
    <w:rsid w:val="00835DEB"/>
    <w:rsid w:val="00837DD1"/>
    <w:rsid w:val="008679B5"/>
    <w:rsid w:val="008B0A64"/>
    <w:rsid w:val="008F4797"/>
    <w:rsid w:val="008F7CC8"/>
    <w:rsid w:val="00911FCE"/>
    <w:rsid w:val="00946E80"/>
    <w:rsid w:val="0096313E"/>
    <w:rsid w:val="00974C9D"/>
    <w:rsid w:val="009B043D"/>
    <w:rsid w:val="009C2C7F"/>
    <w:rsid w:val="009D62D9"/>
    <w:rsid w:val="00A21146"/>
    <w:rsid w:val="00A30BD4"/>
    <w:rsid w:val="00A6371F"/>
    <w:rsid w:val="00AD4E7A"/>
    <w:rsid w:val="00AD4E9A"/>
    <w:rsid w:val="00B20336"/>
    <w:rsid w:val="00B535D6"/>
    <w:rsid w:val="00B86E56"/>
    <w:rsid w:val="00B87CA7"/>
    <w:rsid w:val="00BE7A94"/>
    <w:rsid w:val="00C128C1"/>
    <w:rsid w:val="00C14329"/>
    <w:rsid w:val="00CB04B4"/>
    <w:rsid w:val="00CB7B47"/>
    <w:rsid w:val="00CD2AE3"/>
    <w:rsid w:val="00D0140E"/>
    <w:rsid w:val="00D427EC"/>
    <w:rsid w:val="00D51B5A"/>
    <w:rsid w:val="00D87316"/>
    <w:rsid w:val="00D94FAF"/>
    <w:rsid w:val="00DA5FCA"/>
    <w:rsid w:val="00DA6EC8"/>
    <w:rsid w:val="00DD7EB5"/>
    <w:rsid w:val="00DE0B83"/>
    <w:rsid w:val="00DE142B"/>
    <w:rsid w:val="00E344E9"/>
    <w:rsid w:val="00E443A6"/>
    <w:rsid w:val="00E51A74"/>
    <w:rsid w:val="00E52847"/>
    <w:rsid w:val="00E54DEE"/>
    <w:rsid w:val="00E554C5"/>
    <w:rsid w:val="00EB4FED"/>
    <w:rsid w:val="00EE0EDE"/>
    <w:rsid w:val="00EF082C"/>
    <w:rsid w:val="00EF791F"/>
    <w:rsid w:val="00F27BD9"/>
    <w:rsid w:val="00F534D9"/>
    <w:rsid w:val="00F5380E"/>
    <w:rsid w:val="00F660F6"/>
    <w:rsid w:val="00FB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7D82"/>
  </w:style>
  <w:style w:type="character" w:styleId="Hyperlink">
    <w:name w:val="Hyperlink"/>
    <w:basedOn w:val="DefaultParagraphFont"/>
    <w:uiPriority w:val="99"/>
    <w:semiHidden/>
    <w:unhideWhenUsed/>
    <w:rsid w:val="00647D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AA"/>
  </w:style>
  <w:style w:type="paragraph" w:styleId="Footer">
    <w:name w:val="footer"/>
    <w:basedOn w:val="Normal"/>
    <w:link w:val="FooterChar"/>
    <w:uiPriority w:val="99"/>
    <w:unhideWhenUsed/>
    <w:rsid w:val="004A0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AA"/>
  </w:style>
  <w:style w:type="paragraph" w:styleId="ListParagraph">
    <w:name w:val="List Paragraph"/>
    <w:basedOn w:val="Normal"/>
    <w:uiPriority w:val="34"/>
    <w:qFormat/>
    <w:rsid w:val="005C4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7D82"/>
  </w:style>
  <w:style w:type="character" w:styleId="Hyperlink">
    <w:name w:val="Hyperlink"/>
    <w:basedOn w:val="DefaultParagraphFont"/>
    <w:uiPriority w:val="99"/>
    <w:semiHidden/>
    <w:unhideWhenUsed/>
    <w:rsid w:val="00647D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AA"/>
  </w:style>
  <w:style w:type="paragraph" w:styleId="Footer">
    <w:name w:val="footer"/>
    <w:basedOn w:val="Normal"/>
    <w:link w:val="FooterChar"/>
    <w:uiPriority w:val="99"/>
    <w:unhideWhenUsed/>
    <w:rsid w:val="004A0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AA"/>
  </w:style>
  <w:style w:type="paragraph" w:styleId="ListParagraph">
    <w:name w:val="List Paragraph"/>
    <w:basedOn w:val="Normal"/>
    <w:uiPriority w:val="34"/>
    <w:qFormat/>
    <w:rsid w:val="005C4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2410104920036672E-2"/>
          <c:y val="5.0925925925925923E-2"/>
          <c:w val="0.94506308568594266"/>
          <c:h val="0.670107903178769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'2017-18'!$N$13:$O$13</c:f>
              <c:strCache>
                <c:ptCount val="1"/>
                <c:pt idx="0">
                  <c:v>Total child budget % of Union Budget</c:v>
                </c:pt>
              </c:strCache>
            </c:strRef>
          </c:tx>
          <c:invertIfNegative val="0"/>
          <c:dLbls>
            <c:dLbl>
              <c:idx val="4"/>
              <c:layout>
                <c:manualLayout>
                  <c:x val="0"/>
                  <c:y val="-2.01257861635220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trendline>
            <c:trendlineType val="linear"/>
            <c:dispRSqr val="0"/>
            <c:dispEq val="0"/>
          </c:trendline>
          <c:cat>
            <c:strRef>
              <c:f>'2017-18'!$P$4:$V$4</c:f>
              <c:strCache>
                <c:ptCount val="7"/>
                <c:pt idx="0">
                  <c:v>2012-13 (RE)</c:v>
                </c:pt>
                <c:pt idx="1">
                  <c:v>2013-14 (RE)</c:v>
                </c:pt>
                <c:pt idx="2">
                  <c:v>2014-15 (RE)</c:v>
                </c:pt>
                <c:pt idx="3">
                  <c:v>2015-16 (RE)</c:v>
                </c:pt>
                <c:pt idx="4">
                  <c:v>2016-17 (BE)</c:v>
                </c:pt>
                <c:pt idx="5">
                  <c:v>2016-17 (RE)</c:v>
                </c:pt>
                <c:pt idx="6">
                  <c:v>2017-18 (BE)</c:v>
                </c:pt>
              </c:strCache>
            </c:strRef>
          </c:cat>
          <c:val>
            <c:numRef>
              <c:f>'2017-18'!$P$13:$V$13</c:f>
              <c:numCache>
                <c:formatCode>0.0</c:formatCode>
                <c:ptCount val="7"/>
                <c:pt idx="0">
                  <c:v>4.7548326073993508</c:v>
                </c:pt>
                <c:pt idx="1">
                  <c:v>4.3533501831805381</c:v>
                </c:pt>
                <c:pt idx="2">
                  <c:v>4.2008249217244016</c:v>
                </c:pt>
                <c:pt idx="3">
                  <c:v>3.62022044470931</c:v>
                </c:pt>
                <c:pt idx="4">
                  <c:v>3.3243910700383204</c:v>
                </c:pt>
                <c:pt idx="5">
                  <c:v>3.2887405573948065</c:v>
                </c:pt>
                <c:pt idx="6">
                  <c:v>3.321572061758904</c:v>
                </c:pt>
              </c:numCache>
            </c:numRef>
          </c:val>
        </c:ser>
        <c:ser>
          <c:idx val="1"/>
          <c:order val="1"/>
          <c:tx>
            <c:strRef>
              <c:f>'2017-18'!$N$14:$O$14</c:f>
              <c:strCache>
                <c:ptCount val="1"/>
                <c:pt idx="0">
                  <c:v>Total child budget % of GDP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'2017-18'!$P$4:$V$4</c:f>
              <c:strCache>
                <c:ptCount val="7"/>
                <c:pt idx="0">
                  <c:v>2012-13 (RE)</c:v>
                </c:pt>
                <c:pt idx="1">
                  <c:v>2013-14 (RE)</c:v>
                </c:pt>
                <c:pt idx="2">
                  <c:v>2014-15 (RE)</c:v>
                </c:pt>
                <c:pt idx="3">
                  <c:v>2015-16 (RE)</c:v>
                </c:pt>
                <c:pt idx="4">
                  <c:v>2016-17 (BE)</c:v>
                </c:pt>
                <c:pt idx="5">
                  <c:v>2016-17 (RE)</c:v>
                </c:pt>
                <c:pt idx="6">
                  <c:v>2017-18 (BE)</c:v>
                </c:pt>
              </c:strCache>
            </c:strRef>
          </c:cat>
          <c:val>
            <c:numRef>
              <c:f>'2017-18'!$P$14:$V$14</c:f>
              <c:numCache>
                <c:formatCode>0.0</c:formatCode>
                <c:ptCount val="7"/>
                <c:pt idx="0">
                  <c:v>0.67420372073533197</c:v>
                </c:pt>
                <c:pt idx="1">
                  <c:v>0.64517722610016259</c:v>
                </c:pt>
                <c:pt idx="2">
                  <c:v>0.56208300489257113</c:v>
                </c:pt>
                <c:pt idx="3">
                  <c:v>0.47264004066885107</c:v>
                </c:pt>
                <c:pt idx="4">
                  <c:v>0.43619621040303397</c:v>
                </c:pt>
                <c:pt idx="5">
                  <c:v>0.43944766016277215</c:v>
                </c:pt>
                <c:pt idx="6">
                  <c:v>0.4232410770647555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4563072"/>
        <c:axId val="104564608"/>
      </c:barChart>
      <c:catAx>
        <c:axId val="104563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04564608"/>
        <c:crosses val="autoZero"/>
        <c:auto val="1"/>
        <c:lblAlgn val="ctr"/>
        <c:lblOffset val="100"/>
        <c:noMultiLvlLbl val="0"/>
      </c:catAx>
      <c:valAx>
        <c:axId val="104564608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104563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1.403071598279259E-2"/>
          <c:y val="0.89275080198308543"/>
          <c:w val="0.9737498161240703"/>
          <c:h val="8.94983960338291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2.2289766970618033E-2"/>
          <c:y val="5.0925925925925923E-2"/>
          <c:w val="0.96151002401295582"/>
          <c:h val="0.7312423447069116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Sheet2!$M$25</c:f>
              <c:strCache>
                <c:ptCount val="1"/>
                <c:pt idx="0">
                  <c:v>Education</c:v>
                </c:pt>
              </c:strCache>
            </c:strRef>
          </c:tx>
          <c:spPr>
            <a:pattFill prst="pct50">
              <a:fgClr>
                <a:schemeClr val="tx1"/>
              </a:fgClr>
              <a:bgClr>
                <a:schemeClr val="bg1"/>
              </a:bgClr>
            </a:patt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Sheet2!$N$24:$R$24</c:f>
              <c:strCache>
                <c:ptCount val="5"/>
                <c:pt idx="0">
                  <c:v>2014-15 RE</c:v>
                </c:pt>
                <c:pt idx="1">
                  <c:v>2015-16 RE</c:v>
                </c:pt>
                <c:pt idx="2">
                  <c:v>2016-17 BE</c:v>
                </c:pt>
                <c:pt idx="3">
                  <c:v>2016-17 RE</c:v>
                </c:pt>
                <c:pt idx="4">
                  <c:v>2017-18 BE</c:v>
                </c:pt>
              </c:strCache>
            </c:strRef>
          </c:cat>
          <c:val>
            <c:numRef>
              <c:f>Sheet2!$N$25:$R$25</c:f>
              <c:numCache>
                <c:formatCode>General</c:formatCode>
                <c:ptCount val="5"/>
                <c:pt idx="0">
                  <c:v>71.8</c:v>
                </c:pt>
                <c:pt idx="1">
                  <c:v>71.099999999999994</c:v>
                </c:pt>
                <c:pt idx="2" formatCode="0.0">
                  <c:v>72.400930983014348</c:v>
                </c:pt>
                <c:pt idx="3" formatCode="0.0">
                  <c:v>72.801710045232696</c:v>
                </c:pt>
                <c:pt idx="4" formatCode="0.0">
                  <c:v>70.703244910585909</c:v>
                </c:pt>
              </c:numCache>
            </c:numRef>
          </c:val>
        </c:ser>
        <c:ser>
          <c:idx val="1"/>
          <c:order val="1"/>
          <c:tx>
            <c:strRef>
              <c:f>Sheet2!$M$26</c:f>
              <c:strCache>
                <c:ptCount val="1"/>
                <c:pt idx="0">
                  <c:v>Health</c:v>
                </c:pt>
              </c:strCache>
            </c:strRef>
          </c:tx>
          <c:spPr>
            <a:pattFill prst="dkVert">
              <a:fgClr>
                <a:schemeClr val="tx1"/>
              </a:fgClr>
              <a:bgClr>
                <a:schemeClr val="bg1"/>
              </a:bgClr>
            </a:patt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Sheet2!$N$24:$R$24</c:f>
              <c:strCache>
                <c:ptCount val="5"/>
                <c:pt idx="0">
                  <c:v>2014-15 RE</c:v>
                </c:pt>
                <c:pt idx="1">
                  <c:v>2015-16 RE</c:v>
                </c:pt>
                <c:pt idx="2">
                  <c:v>2016-17 BE</c:v>
                </c:pt>
                <c:pt idx="3">
                  <c:v>2016-17 RE</c:v>
                </c:pt>
                <c:pt idx="4">
                  <c:v>2017-18 BE</c:v>
                </c:pt>
              </c:strCache>
            </c:strRef>
          </c:cat>
          <c:val>
            <c:numRef>
              <c:f>Sheet2!$N$26:$R$26</c:f>
              <c:numCache>
                <c:formatCode>General</c:formatCode>
                <c:ptCount val="5"/>
                <c:pt idx="0">
                  <c:v>3.2</c:v>
                </c:pt>
                <c:pt idx="1">
                  <c:v>3.5</c:v>
                </c:pt>
                <c:pt idx="2" formatCode="0.0">
                  <c:v>3.5911126250694774</c:v>
                </c:pt>
                <c:pt idx="3" formatCode="0.0">
                  <c:v>3.5319570816202144</c:v>
                </c:pt>
                <c:pt idx="4" formatCode="0.0">
                  <c:v>3.7683177838382957</c:v>
                </c:pt>
              </c:numCache>
            </c:numRef>
          </c:val>
        </c:ser>
        <c:ser>
          <c:idx val="2"/>
          <c:order val="2"/>
          <c:tx>
            <c:strRef>
              <c:f>Sheet2!$M$27</c:f>
              <c:strCache>
                <c:ptCount val="1"/>
                <c:pt idx="0">
                  <c:v>Development</c:v>
                </c:pt>
              </c:strCache>
            </c:strRef>
          </c:tx>
          <c:spPr>
            <a:pattFill prst="horzBrick">
              <a:fgClr>
                <a:schemeClr val="tx1"/>
              </a:fgClr>
              <a:bgClr>
                <a:schemeClr val="bg1"/>
              </a:bgClr>
            </a:patt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Sheet2!$N$24:$R$24</c:f>
              <c:strCache>
                <c:ptCount val="5"/>
                <c:pt idx="0">
                  <c:v>2014-15 RE</c:v>
                </c:pt>
                <c:pt idx="1">
                  <c:v>2015-16 RE</c:v>
                </c:pt>
                <c:pt idx="2">
                  <c:v>2016-17 BE</c:v>
                </c:pt>
                <c:pt idx="3">
                  <c:v>2016-17 RE</c:v>
                </c:pt>
                <c:pt idx="4">
                  <c:v>2017-18 BE</c:v>
                </c:pt>
              </c:strCache>
            </c:strRef>
          </c:cat>
          <c:val>
            <c:numRef>
              <c:f>Sheet2!$N$27:$R$27</c:f>
              <c:numCache>
                <c:formatCode>General</c:formatCode>
                <c:ptCount val="5"/>
                <c:pt idx="0">
                  <c:v>24.1</c:v>
                </c:pt>
                <c:pt idx="1">
                  <c:v>24.4</c:v>
                </c:pt>
                <c:pt idx="2" formatCode="0.0">
                  <c:v>22.912340543306602</c:v>
                </c:pt>
                <c:pt idx="3" formatCode="0.0">
                  <c:v>22.412976950133544</c:v>
                </c:pt>
                <c:pt idx="4" formatCode="0.0">
                  <c:v>23.970869507747558</c:v>
                </c:pt>
              </c:numCache>
            </c:numRef>
          </c:val>
        </c:ser>
        <c:ser>
          <c:idx val="3"/>
          <c:order val="3"/>
          <c:tx>
            <c:strRef>
              <c:f>Sheet2!$M$28</c:f>
              <c:strCache>
                <c:ptCount val="1"/>
                <c:pt idx="0">
                  <c:v>Protection</c:v>
                </c:pt>
              </c:strCache>
            </c:strRef>
          </c:tx>
          <c:spPr>
            <a:pattFill prst="zigZag">
              <a:fgClr>
                <a:schemeClr val="tx1"/>
              </a:fgClr>
              <a:bgClr>
                <a:schemeClr val="bg1"/>
              </a:bgClr>
            </a:patt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Sheet2!$N$24:$R$24</c:f>
              <c:strCache>
                <c:ptCount val="5"/>
                <c:pt idx="0">
                  <c:v>2014-15 RE</c:v>
                </c:pt>
                <c:pt idx="1">
                  <c:v>2015-16 RE</c:v>
                </c:pt>
                <c:pt idx="2">
                  <c:v>2016-17 BE</c:v>
                </c:pt>
                <c:pt idx="3">
                  <c:v>2016-17 RE</c:v>
                </c:pt>
                <c:pt idx="4">
                  <c:v>2017-18 BE</c:v>
                </c:pt>
              </c:strCache>
            </c:strRef>
          </c:cat>
          <c:val>
            <c:numRef>
              <c:f>Sheet2!$N$28:$R$28</c:f>
              <c:numCache>
                <c:formatCode>General</c:formatCode>
                <c:ptCount val="5"/>
                <c:pt idx="0">
                  <c:v>0.9</c:v>
                </c:pt>
                <c:pt idx="1">
                  <c:v>0.9</c:v>
                </c:pt>
                <c:pt idx="2" formatCode="0.0">
                  <c:v>1.0952356693322303</c:v>
                </c:pt>
                <c:pt idx="3" formatCode="0.0">
                  <c:v>1.2473331487758068</c:v>
                </c:pt>
                <c:pt idx="4" formatCode="0.0">
                  <c:v>1.5337264726557363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8414464"/>
        <c:axId val="108416000"/>
      </c:barChart>
      <c:catAx>
        <c:axId val="108414464"/>
        <c:scaling>
          <c:orientation val="minMax"/>
        </c:scaling>
        <c:delete val="0"/>
        <c:axPos val="b"/>
        <c:majorTickMark val="out"/>
        <c:minorTickMark val="none"/>
        <c:tickLblPos val="nextTo"/>
        <c:crossAx val="108416000"/>
        <c:crosses val="autoZero"/>
        <c:auto val="1"/>
        <c:lblAlgn val="ctr"/>
        <c:lblOffset val="100"/>
        <c:noMultiLvlLbl val="0"/>
      </c:catAx>
      <c:valAx>
        <c:axId val="10841600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08414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2.3313468795124012E-2"/>
          <c:y val="0.87423228346456694"/>
          <c:w val="0.9543967642342579"/>
          <c:h val="0.108016914552347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Priyanka</cp:lastModifiedBy>
  <cp:revision>2</cp:revision>
  <dcterms:created xsi:type="dcterms:W3CDTF">2017-02-02T02:53:00Z</dcterms:created>
  <dcterms:modified xsi:type="dcterms:W3CDTF">2017-02-02T02:53:00Z</dcterms:modified>
</cp:coreProperties>
</file>