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45C" w:rsidRPr="00F92E3E" w:rsidRDefault="0063345C" w:rsidP="00F92E3E">
      <w:pPr>
        <w:pStyle w:val="ListParagraph"/>
        <w:numPr>
          <w:ilvl w:val="0"/>
          <w:numId w:val="1"/>
        </w:numPr>
        <w:jc w:val="center"/>
        <w:rPr>
          <w:rFonts w:ascii="Calibri" w:eastAsia="Calibri" w:hAnsi="Calibri" w:cs="Calibri"/>
          <w:b/>
          <w:bCs/>
          <w:sz w:val="30"/>
        </w:rPr>
      </w:pPr>
      <w:r w:rsidRPr="00F92E3E">
        <w:rPr>
          <w:rFonts w:ascii="Calibri" w:eastAsia="Calibri" w:hAnsi="Calibri" w:cs="Calibri"/>
          <w:b/>
          <w:bCs/>
          <w:sz w:val="30"/>
        </w:rPr>
        <w:t>Overv</w:t>
      </w:r>
      <w:bookmarkStart w:id="0" w:name="_GoBack"/>
      <w:bookmarkEnd w:id="0"/>
      <w:r w:rsidRPr="00F92E3E">
        <w:rPr>
          <w:rFonts w:ascii="Calibri" w:eastAsia="Calibri" w:hAnsi="Calibri" w:cs="Calibri"/>
          <w:b/>
          <w:bCs/>
          <w:sz w:val="30"/>
        </w:rPr>
        <w:t>iew</w:t>
      </w:r>
    </w:p>
    <w:p w:rsidR="00151343" w:rsidRDefault="00151343" w:rsidP="00151343">
      <w:pPr>
        <w:jc w:val="both"/>
      </w:pPr>
      <w:r>
        <w:t xml:space="preserve">Budget 2017-18 </w:t>
      </w:r>
      <w:r w:rsidR="00F92E3E">
        <w:t>is</w:t>
      </w:r>
      <w:r>
        <w:t xml:space="preserve"> placed at an important juncture when there has been a thrust by the government for a </w:t>
      </w:r>
      <w:proofErr w:type="spellStart"/>
      <w:r>
        <w:t>digitised</w:t>
      </w:r>
      <w:proofErr w:type="spellEnd"/>
      <w:r>
        <w:t xml:space="preserve"> and a consequent cashless economy with the </w:t>
      </w:r>
      <w:proofErr w:type="spellStart"/>
      <w:r>
        <w:t>demonetisation</w:t>
      </w:r>
      <w:proofErr w:type="spellEnd"/>
      <w:r>
        <w:t xml:space="preserve"> of high value currency </w:t>
      </w:r>
      <w:r w:rsidR="00F92E3E">
        <w:t xml:space="preserve">notes </w:t>
      </w:r>
      <w:r>
        <w:t xml:space="preserve">undertaken in November last year. A number of claims have been made in the budget speech by the Finance Minister </w:t>
      </w:r>
      <w:r w:rsidR="00BA43C2">
        <w:t>regarding</w:t>
      </w:r>
      <w:r w:rsidR="000F3845">
        <w:t xml:space="preserve"> </w:t>
      </w:r>
      <w:r>
        <w:t xml:space="preserve">longer term benefits </w:t>
      </w:r>
      <w:r w:rsidR="006E6D88">
        <w:t xml:space="preserve">of this move </w:t>
      </w:r>
      <w:r>
        <w:t xml:space="preserve">for the Indian Economy. To quote the FM, </w:t>
      </w:r>
      <w:proofErr w:type="spellStart"/>
      <w:r w:rsidR="00A751E1">
        <w:t>demonetis</w:t>
      </w:r>
      <w:r>
        <w:t>ation</w:t>
      </w:r>
      <w:proofErr w:type="spellEnd"/>
      <w:r>
        <w:t xml:space="preserve"> would lead the economy towards </w:t>
      </w:r>
      <w:r w:rsidRPr="00151343">
        <w:rPr>
          <w:sz w:val="20"/>
        </w:rPr>
        <w:t>“</w:t>
      </w:r>
      <w:r w:rsidRPr="00210A25">
        <w:rPr>
          <w:i/>
          <w:szCs w:val="24"/>
        </w:rPr>
        <w:t xml:space="preserve">reduced corruption, greater </w:t>
      </w:r>
      <w:proofErr w:type="spellStart"/>
      <w:r w:rsidRPr="00210A25">
        <w:rPr>
          <w:i/>
          <w:szCs w:val="24"/>
        </w:rPr>
        <w:t>digitisation</w:t>
      </w:r>
      <w:proofErr w:type="spellEnd"/>
      <w:r w:rsidRPr="00210A25">
        <w:rPr>
          <w:i/>
          <w:szCs w:val="24"/>
        </w:rPr>
        <w:t xml:space="preserve"> of the economy, increased flow of financial savings and greater </w:t>
      </w:r>
      <w:proofErr w:type="spellStart"/>
      <w:r w:rsidRPr="00210A25">
        <w:rPr>
          <w:i/>
          <w:szCs w:val="24"/>
        </w:rPr>
        <w:t>formalisation</w:t>
      </w:r>
      <w:proofErr w:type="spellEnd"/>
      <w:r w:rsidRPr="00210A25">
        <w:rPr>
          <w:i/>
          <w:szCs w:val="24"/>
        </w:rPr>
        <w:t xml:space="preserve"> of the economy, all of which would eventually lead to higher GDP growth and tax revenues</w:t>
      </w:r>
      <w:r w:rsidRPr="00151343">
        <w:rPr>
          <w:szCs w:val="24"/>
        </w:rPr>
        <w:t>”.</w:t>
      </w:r>
    </w:p>
    <w:p w:rsidR="001B7A26" w:rsidRDefault="00210A25" w:rsidP="00151343">
      <w:pPr>
        <w:jc w:val="both"/>
      </w:pPr>
      <w:r>
        <w:t xml:space="preserve">However, </w:t>
      </w:r>
      <w:r w:rsidR="003F5C87">
        <w:t>many have contested this view arguing that</w:t>
      </w:r>
      <w:r w:rsidR="00323231">
        <w:t xml:space="preserve"> </w:t>
      </w:r>
      <w:proofErr w:type="spellStart"/>
      <w:r w:rsidR="00323231">
        <w:t>demonetisation</w:t>
      </w:r>
      <w:proofErr w:type="spellEnd"/>
      <w:r w:rsidR="00323231">
        <w:t xml:space="preserve"> </w:t>
      </w:r>
      <w:r w:rsidR="003F5C87">
        <w:t>in fact has induced a</w:t>
      </w:r>
      <w:r w:rsidR="008B4C89">
        <w:t>n adverse</w:t>
      </w:r>
      <w:r w:rsidR="003F5C87">
        <w:t xml:space="preserve"> effect on the econom</w:t>
      </w:r>
      <w:r w:rsidR="00323231">
        <w:t>y in the medium term, especially for the groups that are in a weaker position.</w:t>
      </w:r>
      <w:r w:rsidR="001B7A26">
        <w:t xml:space="preserve"> </w:t>
      </w:r>
      <w:r w:rsidR="00234B8D">
        <w:t xml:space="preserve">As </w:t>
      </w:r>
      <w:r w:rsidR="008B4C89">
        <w:t>pointed</w:t>
      </w:r>
      <w:r w:rsidR="00234B8D">
        <w:t xml:space="preserve"> in</w:t>
      </w:r>
      <w:r w:rsidR="005E3353">
        <w:t xml:space="preserve"> several media reports, </w:t>
      </w:r>
      <w:r w:rsidR="00234B8D">
        <w:t xml:space="preserve">demonetization has </w:t>
      </w:r>
      <w:r w:rsidR="00AA29C3">
        <w:t>caused hardships for</w:t>
      </w:r>
      <w:r w:rsidR="00234B8D">
        <w:t xml:space="preserve"> those engaged in</w:t>
      </w:r>
      <w:r w:rsidR="001B7A26">
        <w:t xml:space="preserve"> </w:t>
      </w:r>
      <w:r w:rsidR="00234B8D">
        <w:t xml:space="preserve">the </w:t>
      </w:r>
      <w:r w:rsidR="001B7A26">
        <w:t xml:space="preserve">informal economy, </w:t>
      </w:r>
      <w:r w:rsidR="00AA29C3">
        <w:t xml:space="preserve">led to </w:t>
      </w:r>
      <w:r w:rsidR="001B7A26" w:rsidRPr="00C5196E">
        <w:t xml:space="preserve">loss of work for daily wage </w:t>
      </w:r>
      <w:proofErr w:type="spellStart"/>
      <w:r w:rsidR="001B7A26" w:rsidRPr="00C5196E">
        <w:t>labourers</w:t>
      </w:r>
      <w:proofErr w:type="spellEnd"/>
      <w:r w:rsidR="001B7A26" w:rsidRPr="00C5196E">
        <w:t xml:space="preserve">, </w:t>
      </w:r>
      <w:r w:rsidR="00AA29C3" w:rsidRPr="00C5196E">
        <w:t xml:space="preserve">resulted in </w:t>
      </w:r>
      <w:r w:rsidR="001B7A26" w:rsidRPr="00C5196E">
        <w:t>breakdown of cash-based supply chains for small and petty traders, small and marginal farmers.</w:t>
      </w:r>
      <w:r w:rsidR="00234B8D">
        <w:t xml:space="preserve"> </w:t>
      </w:r>
    </w:p>
    <w:p w:rsidR="00E37F10" w:rsidRDefault="00234B8D" w:rsidP="00151343">
      <w:pPr>
        <w:jc w:val="both"/>
      </w:pPr>
      <w:r>
        <w:t>T</w:t>
      </w:r>
      <w:r w:rsidR="001B7A26">
        <w:t>here are also clear trends of a stagnating world economy</w:t>
      </w:r>
      <w:r>
        <w:t>, which</w:t>
      </w:r>
      <w:r w:rsidR="005C3309">
        <w:t xml:space="preserve"> was </w:t>
      </w:r>
      <w:r w:rsidR="001B7A26">
        <w:t xml:space="preserve">highlighted in the budget speech of the Finance Minister. The economic survey, 2016-17 </w:t>
      </w:r>
      <w:r>
        <w:t xml:space="preserve">also </w:t>
      </w:r>
      <w:proofErr w:type="spellStart"/>
      <w:r w:rsidR="001B7A26">
        <w:t>recognises</w:t>
      </w:r>
      <w:proofErr w:type="spellEnd"/>
      <w:r w:rsidR="001B7A26">
        <w:t xml:space="preserve"> stagnation </w:t>
      </w:r>
      <w:r w:rsidR="00E37F10">
        <w:t xml:space="preserve">in the growth rates of </w:t>
      </w:r>
      <w:r w:rsidR="001B7A26">
        <w:t>India</w:t>
      </w:r>
      <w:r>
        <w:t>’s</w:t>
      </w:r>
      <w:r w:rsidR="001B7A26">
        <w:t xml:space="preserve"> exports. Despite a </w:t>
      </w:r>
      <w:r w:rsidR="00937CE3">
        <w:t>slowdown globally, the annual rate of GDP growth of the country has been projected at moderate to high rates</w:t>
      </w:r>
      <w:r w:rsidR="00E37F10">
        <w:t>, based on the estimates of the IMF and</w:t>
      </w:r>
      <w:r w:rsidR="00937CE3">
        <w:t xml:space="preserve"> </w:t>
      </w:r>
      <w:r w:rsidR="00E37F10">
        <w:t xml:space="preserve">World Bank. </w:t>
      </w:r>
      <w:r w:rsidR="00F92E3E">
        <w:t xml:space="preserve">Under such circumstances, </w:t>
      </w:r>
      <w:r>
        <w:t xml:space="preserve">an annual GDP growth rate of over </w:t>
      </w:r>
      <w:r w:rsidR="00E37F10">
        <w:t xml:space="preserve">7 percent would have </w:t>
      </w:r>
      <w:r>
        <w:t>required</w:t>
      </w:r>
      <w:r w:rsidR="00937CE3">
        <w:t xml:space="preserve"> </w:t>
      </w:r>
      <w:r>
        <w:t xml:space="preserve">the government to adopt </w:t>
      </w:r>
      <w:r w:rsidR="00937CE3">
        <w:t xml:space="preserve">an </w:t>
      </w:r>
      <w:r w:rsidR="00937CE3" w:rsidRPr="00234B8D">
        <w:t>expansionary fiscal</w:t>
      </w:r>
      <w:r w:rsidR="00937CE3">
        <w:t xml:space="preserve"> policy. </w:t>
      </w:r>
      <w:r w:rsidR="00E37F10">
        <w:t xml:space="preserve">However, </w:t>
      </w:r>
      <w:r w:rsidR="00190F09">
        <w:t xml:space="preserve">the Union </w:t>
      </w:r>
      <w:r w:rsidR="00151343">
        <w:t xml:space="preserve">Budget 2017-18 </w:t>
      </w:r>
      <w:r w:rsidR="00E37F10">
        <w:t xml:space="preserve">continues with its ‘economic reforms’ </w:t>
      </w:r>
      <w:r>
        <w:t xml:space="preserve">agenda, </w:t>
      </w:r>
      <w:r w:rsidR="00E37F10">
        <w:t>traversing a fiscal contr</w:t>
      </w:r>
      <w:r>
        <w:t xml:space="preserve">actionary path evident from the </w:t>
      </w:r>
      <w:r w:rsidR="00E37F10">
        <w:t>declining expenditure-GDP ratio (Figure 1.1).</w:t>
      </w:r>
    </w:p>
    <w:p w:rsidR="00E37F10" w:rsidRDefault="00E37F10" w:rsidP="00E37F10">
      <w:pPr>
        <w:jc w:val="center"/>
      </w:pPr>
      <w:r>
        <w:rPr>
          <w:rFonts w:ascii="Calibri" w:eastAsia="Calibri" w:hAnsi="Calibri" w:cs="Calibri"/>
          <w:b/>
          <w:bCs/>
        </w:rPr>
        <w:t xml:space="preserve">Figure 1.1: </w:t>
      </w:r>
      <w:r>
        <w:rPr>
          <w:rFonts w:ascii="Calibri" w:eastAsia="Calibri" w:hAnsi="Calibri" w:cs="Calibri"/>
          <w:b/>
          <w:bCs/>
          <w:spacing w:val="-19"/>
        </w:rPr>
        <w:t>T</w:t>
      </w:r>
      <w:r>
        <w:rPr>
          <w:rFonts w:ascii="Calibri" w:eastAsia="Calibri" w:hAnsi="Calibri" w:cs="Calibri"/>
          <w:b/>
          <w:bCs/>
        </w:rPr>
        <w:t>o</w:t>
      </w:r>
      <w:r>
        <w:rPr>
          <w:rFonts w:ascii="Calibri" w:eastAsia="Calibri" w:hAnsi="Calibri" w:cs="Calibri"/>
          <w:b/>
          <w:bCs/>
          <w:spacing w:val="-2"/>
        </w:rPr>
        <w:t>t</w:t>
      </w:r>
      <w:r>
        <w:rPr>
          <w:rFonts w:ascii="Calibri" w:eastAsia="Calibri" w:hAnsi="Calibri" w:cs="Calibri"/>
          <w:b/>
          <w:bCs/>
        </w:rPr>
        <w:t>al Union G</w:t>
      </w:r>
      <w:r>
        <w:rPr>
          <w:rFonts w:ascii="Calibri" w:eastAsia="Calibri" w:hAnsi="Calibri" w:cs="Calibri"/>
          <w:b/>
          <w:bCs/>
          <w:spacing w:val="-1"/>
        </w:rPr>
        <w:t>o</w:t>
      </w:r>
      <w:r>
        <w:rPr>
          <w:rFonts w:ascii="Calibri" w:eastAsia="Calibri" w:hAnsi="Calibri" w:cs="Calibri"/>
          <w:b/>
          <w:bCs/>
          <w:spacing w:val="-2"/>
        </w:rPr>
        <w:t>v</w:t>
      </w:r>
      <w:r>
        <w:rPr>
          <w:rFonts w:ascii="Calibri" w:eastAsia="Calibri" w:hAnsi="Calibri" w:cs="Calibri"/>
          <w:b/>
          <w:bCs/>
        </w:rPr>
        <w:t>ernme</w:t>
      </w:r>
      <w:r>
        <w:rPr>
          <w:rFonts w:ascii="Calibri" w:eastAsia="Calibri" w:hAnsi="Calibri" w:cs="Calibri"/>
          <w:b/>
          <w:bCs/>
          <w:spacing w:val="-2"/>
        </w:rPr>
        <w:t>n</w:t>
      </w:r>
      <w:r>
        <w:rPr>
          <w:rFonts w:ascii="Calibri" w:eastAsia="Calibri" w:hAnsi="Calibri" w:cs="Calibri"/>
          <w:b/>
          <w:bCs/>
        </w:rPr>
        <w:t>t Expenditu</w:t>
      </w:r>
      <w:r>
        <w:rPr>
          <w:rFonts w:ascii="Calibri" w:eastAsia="Calibri" w:hAnsi="Calibri" w:cs="Calibri"/>
          <w:b/>
          <w:bCs/>
          <w:spacing w:val="-3"/>
        </w:rPr>
        <w:t>r</w:t>
      </w:r>
      <w:r>
        <w:rPr>
          <w:rFonts w:ascii="Calibri" w:eastAsia="Calibri" w:hAnsi="Calibri" w:cs="Calibri"/>
          <w:b/>
          <w:bCs/>
        </w:rPr>
        <w:t>e as a P</w:t>
      </w:r>
      <w:r>
        <w:rPr>
          <w:rFonts w:ascii="Calibri" w:eastAsia="Calibri" w:hAnsi="Calibri" w:cs="Calibri"/>
          <w:b/>
          <w:bCs/>
          <w:spacing w:val="-3"/>
        </w:rPr>
        <w:t>r</w:t>
      </w:r>
      <w:r>
        <w:rPr>
          <w:rFonts w:ascii="Calibri" w:eastAsia="Calibri" w:hAnsi="Calibri" w:cs="Calibri"/>
          <w:b/>
          <w:bCs/>
        </w:rPr>
        <w:t>oportion</w:t>
      </w:r>
      <w:r>
        <w:rPr>
          <w:rFonts w:ascii="Calibri" w:eastAsia="Calibri" w:hAnsi="Calibri" w:cs="Calibri"/>
          <w:b/>
          <w:bCs/>
          <w:spacing w:val="-8"/>
        </w:rPr>
        <w:t xml:space="preserve"> </w:t>
      </w:r>
      <w:r>
        <w:rPr>
          <w:rFonts w:ascii="Calibri" w:eastAsia="Calibri" w:hAnsi="Calibri" w:cs="Calibri"/>
          <w:b/>
          <w:bCs/>
        </w:rPr>
        <w:t>of GDP (%)</w:t>
      </w:r>
    </w:p>
    <w:p w:rsidR="00E37F10" w:rsidRDefault="00E37F10" w:rsidP="00E37F10">
      <w:pPr>
        <w:jc w:val="center"/>
      </w:pPr>
      <w:r>
        <w:rPr>
          <w:noProof/>
        </w:rPr>
        <w:drawing>
          <wp:inline distT="0" distB="0" distL="0" distR="0" wp14:anchorId="13920AE0" wp14:editId="64B7E9EC">
            <wp:extent cx="4572000" cy="1860605"/>
            <wp:effectExtent l="0" t="0" r="1905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37F10" w:rsidRDefault="00913DEB" w:rsidP="00913DEB">
      <w:pPr>
        <w:jc w:val="center"/>
        <w:rPr>
          <w:sz w:val="18"/>
        </w:rPr>
      </w:pPr>
      <w:r w:rsidRPr="00234B8D">
        <w:rPr>
          <w:i/>
          <w:sz w:val="18"/>
        </w:rPr>
        <w:t>Source:</w:t>
      </w:r>
      <w:r w:rsidRPr="00913DEB">
        <w:rPr>
          <w:sz w:val="18"/>
        </w:rPr>
        <w:t xml:space="preserve"> Compiled by CBGA from Budget at a </w:t>
      </w:r>
      <w:r w:rsidR="00331272">
        <w:rPr>
          <w:sz w:val="18"/>
        </w:rPr>
        <w:t xml:space="preserve">glance, Union Budget documents, </w:t>
      </w:r>
      <w:r w:rsidR="000F3845" w:rsidRPr="00913DEB">
        <w:rPr>
          <w:sz w:val="18"/>
        </w:rPr>
        <w:t>various</w:t>
      </w:r>
      <w:r w:rsidRPr="00913DEB">
        <w:rPr>
          <w:sz w:val="18"/>
        </w:rPr>
        <w:t xml:space="preserve"> years</w:t>
      </w:r>
      <w:r w:rsidR="000F3845">
        <w:rPr>
          <w:sz w:val="18"/>
        </w:rPr>
        <w:t>.</w:t>
      </w:r>
    </w:p>
    <w:p w:rsidR="00C945FC" w:rsidRDefault="0049540E" w:rsidP="0049540E">
      <w:pPr>
        <w:spacing w:after="240"/>
        <w:ind w:right="1584"/>
        <w:jc w:val="both"/>
        <w:rPr>
          <w:rFonts w:ascii="Calibri" w:eastAsia="Calibri" w:hAnsi="Calibri" w:cs="Calibri"/>
          <w:b/>
          <w:bCs/>
        </w:rPr>
      </w:pPr>
      <w:r>
        <w:rPr>
          <w:rFonts w:ascii="Calibri" w:eastAsia="Calibri" w:hAnsi="Calibri" w:cs="Calibri"/>
          <w:b/>
          <w:bCs/>
        </w:rPr>
        <w:t>Devolution</w:t>
      </w:r>
      <w:r w:rsidR="00C945FC">
        <w:rPr>
          <w:rFonts w:ascii="Calibri" w:eastAsia="Calibri" w:hAnsi="Calibri" w:cs="Calibri"/>
          <w:b/>
          <w:bCs/>
        </w:rPr>
        <w:t xml:space="preserve"> </w:t>
      </w:r>
      <w:r>
        <w:rPr>
          <w:rFonts w:ascii="Calibri" w:eastAsia="Calibri" w:hAnsi="Calibri" w:cs="Calibri"/>
          <w:b/>
          <w:bCs/>
        </w:rPr>
        <w:t xml:space="preserve">of Resources </w:t>
      </w:r>
      <w:r w:rsidR="00C945FC">
        <w:rPr>
          <w:rFonts w:ascii="Calibri" w:eastAsia="Calibri" w:hAnsi="Calibri" w:cs="Calibri"/>
          <w:b/>
          <w:bCs/>
        </w:rPr>
        <w:t>to States</w:t>
      </w:r>
    </w:p>
    <w:p w:rsidR="00C945FC" w:rsidRDefault="00C945FC" w:rsidP="0049540E">
      <w:pPr>
        <w:spacing w:after="240"/>
        <w:ind w:left="90" w:right="360"/>
        <w:jc w:val="both"/>
        <w:rPr>
          <w:rFonts w:ascii="Calibri" w:eastAsia="Calibri" w:hAnsi="Calibri" w:cs="Calibri"/>
          <w:bCs/>
        </w:rPr>
      </w:pPr>
      <w:r>
        <w:rPr>
          <w:rFonts w:ascii="Calibri" w:eastAsia="Calibri" w:hAnsi="Calibri" w:cs="Calibri"/>
          <w:bCs/>
        </w:rPr>
        <w:t xml:space="preserve">In terms of resources transferred to states, while the share of states in central taxes as </w:t>
      </w:r>
      <w:r w:rsidR="0049540E">
        <w:rPr>
          <w:rFonts w:ascii="Calibri" w:eastAsia="Calibri" w:hAnsi="Calibri" w:cs="Calibri"/>
          <w:bCs/>
        </w:rPr>
        <w:t xml:space="preserve">percentage </w:t>
      </w:r>
      <w:r>
        <w:rPr>
          <w:rFonts w:ascii="Calibri" w:eastAsia="Calibri" w:hAnsi="Calibri" w:cs="Calibri"/>
          <w:bCs/>
        </w:rPr>
        <w:t xml:space="preserve">of GDP </w:t>
      </w:r>
      <w:r w:rsidR="0049540E">
        <w:rPr>
          <w:rFonts w:ascii="Calibri" w:eastAsia="Calibri" w:hAnsi="Calibri" w:cs="Calibri"/>
          <w:bCs/>
        </w:rPr>
        <w:t>has increased marginally</w:t>
      </w:r>
      <w:r>
        <w:rPr>
          <w:rFonts w:ascii="Calibri" w:eastAsia="Calibri" w:hAnsi="Calibri" w:cs="Calibri"/>
          <w:bCs/>
        </w:rPr>
        <w:t xml:space="preserve">, other transfers and total </w:t>
      </w:r>
      <w:r w:rsidR="0049540E">
        <w:rPr>
          <w:rFonts w:ascii="Calibri" w:eastAsia="Calibri" w:hAnsi="Calibri" w:cs="Calibri"/>
          <w:bCs/>
        </w:rPr>
        <w:t xml:space="preserve">Union </w:t>
      </w:r>
      <w:r>
        <w:rPr>
          <w:rFonts w:ascii="Calibri" w:eastAsia="Calibri" w:hAnsi="Calibri" w:cs="Calibri"/>
          <w:bCs/>
        </w:rPr>
        <w:t xml:space="preserve">transfers to states </w:t>
      </w:r>
      <w:r w:rsidR="0049540E">
        <w:rPr>
          <w:rFonts w:ascii="Calibri" w:eastAsia="Calibri" w:hAnsi="Calibri" w:cs="Calibri"/>
          <w:bCs/>
        </w:rPr>
        <w:t xml:space="preserve">as percentage </w:t>
      </w:r>
      <w:r w:rsidR="0049540E">
        <w:rPr>
          <w:rFonts w:ascii="Calibri" w:eastAsia="Calibri" w:hAnsi="Calibri" w:cs="Calibri"/>
          <w:bCs/>
        </w:rPr>
        <w:lastRenderedPageBreak/>
        <w:t xml:space="preserve">of GDP have not changed </w:t>
      </w:r>
      <w:r>
        <w:rPr>
          <w:rFonts w:ascii="Calibri" w:eastAsia="Calibri" w:hAnsi="Calibri" w:cs="Calibri"/>
          <w:bCs/>
        </w:rPr>
        <w:t>much. Th</w:t>
      </w:r>
      <w:r w:rsidR="0049540E">
        <w:rPr>
          <w:rFonts w:ascii="Calibri" w:eastAsia="Calibri" w:hAnsi="Calibri" w:cs="Calibri"/>
          <w:bCs/>
        </w:rPr>
        <w:t xml:space="preserve">is </w:t>
      </w:r>
      <w:r w:rsidR="008C64A1">
        <w:rPr>
          <w:rFonts w:ascii="Calibri" w:eastAsia="Calibri" w:hAnsi="Calibri" w:cs="Calibri"/>
          <w:bCs/>
        </w:rPr>
        <w:t>clearly</w:t>
      </w:r>
      <w:r w:rsidR="0049540E">
        <w:rPr>
          <w:rFonts w:ascii="Calibri" w:eastAsia="Calibri" w:hAnsi="Calibri" w:cs="Calibri"/>
          <w:bCs/>
        </w:rPr>
        <w:t xml:space="preserve"> shows that </w:t>
      </w:r>
      <w:r>
        <w:rPr>
          <w:rFonts w:ascii="Calibri" w:eastAsia="Calibri" w:hAnsi="Calibri" w:cs="Calibri"/>
          <w:bCs/>
        </w:rPr>
        <w:t xml:space="preserve">increasing the states’ share </w:t>
      </w:r>
      <w:r w:rsidR="0049540E">
        <w:rPr>
          <w:rFonts w:ascii="Calibri" w:eastAsia="Calibri" w:hAnsi="Calibri" w:cs="Calibri"/>
          <w:bCs/>
        </w:rPr>
        <w:t>in</w:t>
      </w:r>
      <w:r>
        <w:rPr>
          <w:rFonts w:ascii="Calibri" w:eastAsia="Calibri" w:hAnsi="Calibri" w:cs="Calibri"/>
          <w:bCs/>
        </w:rPr>
        <w:t xml:space="preserve"> divisible pool of central taxes </w:t>
      </w:r>
      <w:r w:rsidR="0049540E">
        <w:rPr>
          <w:rFonts w:ascii="Calibri" w:eastAsia="Calibri" w:hAnsi="Calibri" w:cs="Calibri"/>
          <w:bCs/>
        </w:rPr>
        <w:t xml:space="preserve">has not led </w:t>
      </w:r>
      <w:r>
        <w:rPr>
          <w:rFonts w:ascii="Calibri" w:eastAsia="Calibri" w:hAnsi="Calibri" w:cs="Calibri"/>
          <w:bCs/>
        </w:rPr>
        <w:t xml:space="preserve">to an overall increase in the total resources transferred to states (Table 1.3). This is worrisome in the current context </w:t>
      </w:r>
      <w:r w:rsidR="008C64A1">
        <w:rPr>
          <w:rFonts w:ascii="Calibri" w:eastAsia="Calibri" w:hAnsi="Calibri" w:cs="Calibri"/>
          <w:bCs/>
        </w:rPr>
        <w:t xml:space="preserve">in </w:t>
      </w:r>
      <w:r>
        <w:rPr>
          <w:rFonts w:ascii="Calibri" w:eastAsia="Calibri" w:hAnsi="Calibri" w:cs="Calibri"/>
          <w:bCs/>
        </w:rPr>
        <w:t xml:space="preserve">which the </w:t>
      </w:r>
      <w:r w:rsidR="008C64A1">
        <w:rPr>
          <w:rFonts w:ascii="Calibri" w:eastAsia="Calibri" w:hAnsi="Calibri" w:cs="Calibri"/>
          <w:bCs/>
        </w:rPr>
        <w:t xml:space="preserve">responsibility </w:t>
      </w:r>
      <w:r>
        <w:rPr>
          <w:rFonts w:ascii="Calibri" w:eastAsia="Calibri" w:hAnsi="Calibri" w:cs="Calibri"/>
          <w:bCs/>
        </w:rPr>
        <w:t xml:space="preserve">for major social sector </w:t>
      </w:r>
      <w:proofErr w:type="spellStart"/>
      <w:r>
        <w:rPr>
          <w:rFonts w:ascii="Calibri" w:eastAsia="Calibri" w:hAnsi="Calibri" w:cs="Calibri"/>
          <w:bCs/>
        </w:rPr>
        <w:t>programmes</w:t>
      </w:r>
      <w:proofErr w:type="spellEnd"/>
      <w:r>
        <w:rPr>
          <w:rFonts w:ascii="Calibri" w:eastAsia="Calibri" w:hAnsi="Calibri" w:cs="Calibri"/>
          <w:bCs/>
        </w:rPr>
        <w:t xml:space="preserve"> ha</w:t>
      </w:r>
      <w:r w:rsidR="008C64A1">
        <w:rPr>
          <w:rFonts w:ascii="Calibri" w:eastAsia="Calibri" w:hAnsi="Calibri" w:cs="Calibri"/>
          <w:bCs/>
        </w:rPr>
        <w:t>s</w:t>
      </w:r>
      <w:r>
        <w:rPr>
          <w:rFonts w:ascii="Calibri" w:eastAsia="Calibri" w:hAnsi="Calibri" w:cs="Calibri"/>
          <w:bCs/>
        </w:rPr>
        <w:t xml:space="preserve"> been </w:t>
      </w:r>
      <w:r w:rsidR="008C64A1">
        <w:rPr>
          <w:rFonts w:ascii="Calibri" w:eastAsia="Calibri" w:hAnsi="Calibri" w:cs="Calibri"/>
          <w:bCs/>
        </w:rPr>
        <w:t xml:space="preserve">transferred to </w:t>
      </w:r>
      <w:r>
        <w:rPr>
          <w:rFonts w:ascii="Calibri" w:eastAsia="Calibri" w:hAnsi="Calibri" w:cs="Calibri"/>
          <w:bCs/>
        </w:rPr>
        <w:t xml:space="preserve">the states </w:t>
      </w:r>
      <w:r w:rsidR="008C64A1">
        <w:rPr>
          <w:rFonts w:ascii="Calibri" w:eastAsia="Calibri" w:hAnsi="Calibri" w:cs="Calibri"/>
          <w:bCs/>
        </w:rPr>
        <w:t xml:space="preserve">to a great extent, </w:t>
      </w:r>
      <w:r>
        <w:rPr>
          <w:rFonts w:ascii="Calibri" w:eastAsia="Calibri" w:hAnsi="Calibri" w:cs="Calibri"/>
          <w:bCs/>
        </w:rPr>
        <w:t xml:space="preserve">without adequate financial support. </w:t>
      </w:r>
      <w:r w:rsidR="008C64A1">
        <w:rPr>
          <w:rFonts w:ascii="Calibri" w:eastAsia="Calibri" w:hAnsi="Calibri" w:cs="Calibri"/>
          <w:bCs/>
        </w:rPr>
        <w:t xml:space="preserve">At the same time, allocation for social sectors in the Union Budget has shown minimal improvements </w:t>
      </w:r>
      <w:proofErr w:type="gramStart"/>
      <w:r>
        <w:rPr>
          <w:rFonts w:ascii="Calibri" w:eastAsia="Calibri" w:hAnsi="Calibri" w:cs="Calibri"/>
          <w:bCs/>
        </w:rPr>
        <w:t>Such</w:t>
      </w:r>
      <w:proofErr w:type="gramEnd"/>
      <w:r>
        <w:rPr>
          <w:rFonts w:ascii="Calibri" w:eastAsia="Calibri" w:hAnsi="Calibri" w:cs="Calibri"/>
          <w:bCs/>
        </w:rPr>
        <w:t xml:space="preserve"> fiscal trends might affect implementation of important social sector </w:t>
      </w:r>
      <w:proofErr w:type="spellStart"/>
      <w:r>
        <w:rPr>
          <w:rFonts w:ascii="Calibri" w:eastAsia="Calibri" w:hAnsi="Calibri" w:cs="Calibri"/>
          <w:bCs/>
        </w:rPr>
        <w:t>programmes</w:t>
      </w:r>
      <w:proofErr w:type="spellEnd"/>
      <w:r>
        <w:rPr>
          <w:rFonts w:ascii="Calibri" w:eastAsia="Calibri" w:hAnsi="Calibri" w:cs="Calibri"/>
          <w:bCs/>
        </w:rPr>
        <w:t xml:space="preserve">.  </w:t>
      </w:r>
    </w:p>
    <w:p w:rsidR="00C945FC" w:rsidRDefault="00C945FC" w:rsidP="00C945FC">
      <w:pPr>
        <w:spacing w:after="0"/>
        <w:ind w:left="1604" w:right="1584"/>
        <w:jc w:val="center"/>
        <w:rPr>
          <w:rFonts w:ascii="Calibri" w:eastAsia="Calibri" w:hAnsi="Calibri" w:cs="Calibri"/>
        </w:rPr>
      </w:pPr>
      <w:r>
        <w:rPr>
          <w:rFonts w:ascii="Calibri" w:eastAsia="Calibri" w:hAnsi="Calibri" w:cs="Calibri"/>
          <w:b/>
          <w:bCs/>
        </w:rPr>
        <w:t>Table 1.3: Composition</w:t>
      </w:r>
      <w:r>
        <w:rPr>
          <w:rFonts w:ascii="Calibri" w:eastAsia="Calibri" w:hAnsi="Calibri" w:cs="Calibri"/>
          <w:b/>
          <w:bCs/>
          <w:spacing w:val="-12"/>
        </w:rPr>
        <w:t xml:space="preserve"> </w:t>
      </w:r>
      <w:r>
        <w:rPr>
          <w:rFonts w:ascii="Calibri" w:eastAsia="Calibri" w:hAnsi="Calibri" w:cs="Calibri"/>
          <w:b/>
          <w:bCs/>
        </w:rPr>
        <w:t xml:space="preserve">of </w:t>
      </w:r>
      <w:r>
        <w:rPr>
          <w:rFonts w:ascii="Calibri" w:eastAsia="Calibri" w:hAnsi="Calibri" w:cs="Calibri"/>
          <w:b/>
          <w:bCs/>
          <w:spacing w:val="-12"/>
        </w:rPr>
        <w:t>T</w:t>
      </w:r>
      <w:r>
        <w:rPr>
          <w:rFonts w:ascii="Calibri" w:eastAsia="Calibri" w:hAnsi="Calibri" w:cs="Calibri"/>
          <w:b/>
          <w:bCs/>
          <w:spacing w:val="-5"/>
        </w:rPr>
        <w:t>r</w:t>
      </w:r>
      <w:r>
        <w:rPr>
          <w:rFonts w:ascii="Calibri" w:eastAsia="Calibri" w:hAnsi="Calibri" w:cs="Calibri"/>
          <w:b/>
          <w:bCs/>
        </w:rPr>
        <w:t>an</w:t>
      </w:r>
      <w:r>
        <w:rPr>
          <w:rFonts w:ascii="Calibri" w:eastAsia="Calibri" w:hAnsi="Calibri" w:cs="Calibri"/>
          <w:b/>
          <w:bCs/>
          <w:spacing w:val="-2"/>
        </w:rPr>
        <w:t>s</w:t>
      </w:r>
      <w:r>
        <w:rPr>
          <w:rFonts w:ascii="Calibri" w:eastAsia="Calibri" w:hAnsi="Calibri" w:cs="Calibri"/>
          <w:b/>
          <w:bCs/>
          <w:spacing w:val="-4"/>
        </w:rPr>
        <w:t>f</w:t>
      </w:r>
      <w:r>
        <w:rPr>
          <w:rFonts w:ascii="Calibri" w:eastAsia="Calibri" w:hAnsi="Calibri" w:cs="Calibri"/>
          <w:b/>
          <w:bCs/>
        </w:rPr>
        <w:t xml:space="preserve">er of </w:t>
      </w:r>
      <w:r>
        <w:rPr>
          <w:rFonts w:ascii="Calibri" w:eastAsia="Calibri" w:hAnsi="Calibri" w:cs="Calibri"/>
          <w:b/>
          <w:bCs/>
          <w:spacing w:val="-3"/>
        </w:rPr>
        <w:t>R</w:t>
      </w:r>
      <w:r>
        <w:rPr>
          <w:rFonts w:ascii="Calibri" w:eastAsia="Calibri" w:hAnsi="Calibri" w:cs="Calibri"/>
          <w:b/>
          <w:bCs/>
        </w:rPr>
        <w:t>esou</w:t>
      </w:r>
      <w:r>
        <w:rPr>
          <w:rFonts w:ascii="Calibri" w:eastAsia="Calibri" w:hAnsi="Calibri" w:cs="Calibri"/>
          <w:b/>
          <w:bCs/>
          <w:spacing w:val="-3"/>
        </w:rPr>
        <w:t>r</w:t>
      </w:r>
      <w:r>
        <w:rPr>
          <w:rFonts w:ascii="Calibri" w:eastAsia="Calibri" w:hAnsi="Calibri" w:cs="Calibri"/>
          <w:b/>
          <w:bCs/>
        </w:rPr>
        <w:t xml:space="preserve">ces </w:t>
      </w:r>
      <w:r>
        <w:rPr>
          <w:rFonts w:ascii="Calibri" w:eastAsia="Calibri" w:hAnsi="Calibri" w:cs="Calibri"/>
          <w:b/>
          <w:bCs/>
          <w:spacing w:val="-2"/>
        </w:rPr>
        <w:t>t</w:t>
      </w:r>
      <w:r>
        <w:rPr>
          <w:rFonts w:ascii="Calibri" w:eastAsia="Calibri" w:hAnsi="Calibri" w:cs="Calibri"/>
          <w:b/>
          <w:bCs/>
        </w:rPr>
        <w:t>o S</w:t>
      </w:r>
      <w:r>
        <w:rPr>
          <w:rFonts w:ascii="Calibri" w:eastAsia="Calibri" w:hAnsi="Calibri" w:cs="Calibri"/>
          <w:b/>
          <w:bCs/>
          <w:spacing w:val="-2"/>
        </w:rPr>
        <w:t>ta</w:t>
      </w:r>
      <w:r>
        <w:rPr>
          <w:rFonts w:ascii="Calibri" w:eastAsia="Calibri" w:hAnsi="Calibri" w:cs="Calibri"/>
          <w:b/>
          <w:bCs/>
          <w:spacing w:val="-3"/>
        </w:rPr>
        <w:t>t</w:t>
      </w:r>
      <w:r>
        <w:rPr>
          <w:rFonts w:ascii="Calibri" w:eastAsia="Calibri" w:hAnsi="Calibri" w:cs="Calibri"/>
          <w:b/>
          <w:bCs/>
        </w:rPr>
        <w:t>es (</w:t>
      </w:r>
      <w:proofErr w:type="spellStart"/>
      <w:r>
        <w:rPr>
          <w:rFonts w:ascii="Calibri" w:eastAsia="Calibri" w:hAnsi="Calibri" w:cs="Calibri"/>
          <w:b/>
          <w:bCs/>
        </w:rPr>
        <w:t>Rs</w:t>
      </w:r>
      <w:proofErr w:type="spellEnd"/>
      <w:r>
        <w:rPr>
          <w:rFonts w:ascii="Calibri" w:eastAsia="Calibri" w:hAnsi="Calibri" w:cs="Calibri"/>
          <w:b/>
          <w:bCs/>
        </w:rPr>
        <w:t xml:space="preserve">. </w:t>
      </w:r>
      <w:proofErr w:type="spellStart"/>
      <w:r>
        <w:rPr>
          <w:rFonts w:ascii="Calibri" w:eastAsia="Calibri" w:hAnsi="Calibri" w:cs="Calibri"/>
          <w:b/>
          <w:bCs/>
        </w:rPr>
        <w:t>c</w:t>
      </w:r>
      <w:r>
        <w:rPr>
          <w:rFonts w:ascii="Calibri" w:eastAsia="Calibri" w:hAnsi="Calibri" w:cs="Calibri"/>
          <w:b/>
          <w:bCs/>
          <w:spacing w:val="-2"/>
        </w:rPr>
        <w:t>r</w:t>
      </w:r>
      <w:r>
        <w:rPr>
          <w:rFonts w:ascii="Calibri" w:eastAsia="Calibri" w:hAnsi="Calibri" w:cs="Calibri"/>
          <w:b/>
          <w:bCs/>
        </w:rPr>
        <w:t>o</w:t>
      </w:r>
      <w:r>
        <w:rPr>
          <w:rFonts w:ascii="Calibri" w:eastAsia="Calibri" w:hAnsi="Calibri" w:cs="Calibri"/>
          <w:b/>
          <w:bCs/>
          <w:spacing w:val="-2"/>
        </w:rPr>
        <w:t>r</w:t>
      </w:r>
      <w:r>
        <w:rPr>
          <w:rFonts w:ascii="Calibri" w:eastAsia="Calibri" w:hAnsi="Calibri" w:cs="Calibri"/>
          <w:b/>
          <w:bCs/>
        </w:rPr>
        <w:t>e</w:t>
      </w:r>
      <w:proofErr w:type="spellEnd"/>
      <w:r>
        <w:rPr>
          <w:rFonts w:ascii="Calibri" w:eastAsia="Calibri" w:hAnsi="Calibri" w:cs="Calibri"/>
          <w:b/>
          <w:bCs/>
        </w:rPr>
        <w:t>)</w:t>
      </w:r>
    </w:p>
    <w:tbl>
      <w:tblPr>
        <w:tblW w:w="9733" w:type="dxa"/>
        <w:tblInd w:w="93" w:type="dxa"/>
        <w:tblLook w:val="04A0" w:firstRow="1" w:lastRow="0" w:firstColumn="1" w:lastColumn="0" w:noHBand="0" w:noVBand="1"/>
      </w:tblPr>
      <w:tblGrid>
        <w:gridCol w:w="947"/>
        <w:gridCol w:w="4000"/>
        <w:gridCol w:w="1405"/>
        <w:gridCol w:w="1127"/>
        <w:gridCol w:w="1127"/>
        <w:gridCol w:w="1127"/>
      </w:tblGrid>
      <w:tr w:rsidR="00C945FC" w:rsidRPr="0077157C" w:rsidTr="00C945FC">
        <w:trPr>
          <w:trHeight w:val="585"/>
        </w:trPr>
        <w:tc>
          <w:tcPr>
            <w:tcW w:w="947" w:type="dxa"/>
            <w:tcBorders>
              <w:top w:val="single" w:sz="4" w:space="0" w:color="auto"/>
              <w:left w:val="single" w:sz="4" w:space="0" w:color="auto"/>
              <w:right w:val="single" w:sz="4" w:space="0" w:color="auto"/>
            </w:tcBorders>
            <w:shd w:val="clear" w:color="auto" w:fill="auto"/>
            <w:noWrap/>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 </w:t>
            </w:r>
          </w:p>
          <w:p w:rsidR="00C945FC" w:rsidRPr="0077157C" w:rsidRDefault="00C945FC" w:rsidP="00C945FC">
            <w:pPr>
              <w:spacing w:after="0"/>
              <w:rPr>
                <w:rFonts w:eastAsia="Times New Roman" w:cstheme="minorHAnsi"/>
                <w:sz w:val="20"/>
              </w:rPr>
            </w:pPr>
            <w:r w:rsidRPr="0077157C">
              <w:rPr>
                <w:rFonts w:eastAsia="Times New Roman" w:cstheme="minorHAnsi"/>
                <w:sz w:val="20"/>
              </w:rPr>
              <w:t> </w:t>
            </w:r>
          </w:p>
        </w:tc>
        <w:tc>
          <w:tcPr>
            <w:tcW w:w="40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945FC" w:rsidRPr="0077157C" w:rsidRDefault="00C945FC" w:rsidP="00C945FC">
            <w:pPr>
              <w:spacing w:after="0"/>
              <w:rPr>
                <w:rFonts w:eastAsia="Times New Roman" w:cstheme="minorHAnsi"/>
                <w:b/>
                <w:bCs/>
                <w:sz w:val="20"/>
              </w:rPr>
            </w:pPr>
            <w:r w:rsidRPr="0077157C">
              <w:rPr>
                <w:rFonts w:eastAsia="Times New Roman" w:cstheme="minorHAnsi"/>
                <w:b/>
                <w:bCs/>
                <w:sz w:val="20"/>
              </w:rPr>
              <w:t>Items</w:t>
            </w:r>
          </w:p>
        </w:tc>
        <w:tc>
          <w:tcPr>
            <w:tcW w:w="1405" w:type="dxa"/>
            <w:tcBorders>
              <w:top w:val="single" w:sz="4" w:space="0" w:color="auto"/>
              <w:left w:val="nil"/>
              <w:right w:val="single" w:sz="4" w:space="0" w:color="auto"/>
            </w:tcBorders>
            <w:shd w:val="clear" w:color="auto" w:fill="auto"/>
            <w:vAlign w:val="bottom"/>
            <w:hideMark/>
          </w:tcPr>
          <w:p w:rsidR="00C945FC" w:rsidRPr="0077157C" w:rsidRDefault="00C945FC" w:rsidP="00C945FC">
            <w:pPr>
              <w:spacing w:after="0"/>
              <w:ind w:firstLineChars="100" w:firstLine="201"/>
              <w:jc w:val="right"/>
              <w:rPr>
                <w:rFonts w:eastAsia="Times New Roman" w:cstheme="minorHAnsi"/>
                <w:b/>
                <w:bCs/>
                <w:sz w:val="20"/>
              </w:rPr>
            </w:pPr>
            <w:r w:rsidRPr="0077157C">
              <w:rPr>
                <w:rFonts w:eastAsia="Times New Roman" w:cstheme="minorHAnsi"/>
                <w:b/>
                <w:bCs/>
                <w:sz w:val="20"/>
              </w:rPr>
              <w:t>2014-15</w:t>
            </w:r>
            <w:r>
              <w:rPr>
                <w:rFonts w:eastAsia="Times New Roman" w:cstheme="minorHAnsi"/>
                <w:b/>
                <w:bCs/>
                <w:sz w:val="20"/>
              </w:rPr>
              <w:t xml:space="preserve"> (A)</w:t>
            </w:r>
          </w:p>
          <w:p w:rsidR="00C945FC" w:rsidRPr="0077157C" w:rsidRDefault="00C945FC" w:rsidP="00C945FC">
            <w:pPr>
              <w:spacing w:after="0"/>
              <w:ind w:firstLineChars="200" w:firstLine="402"/>
              <w:jc w:val="right"/>
              <w:rPr>
                <w:rFonts w:eastAsia="Times New Roman" w:cstheme="minorHAnsi"/>
                <w:b/>
                <w:bCs/>
                <w:sz w:val="20"/>
              </w:rPr>
            </w:pPr>
          </w:p>
        </w:tc>
        <w:tc>
          <w:tcPr>
            <w:tcW w:w="1127" w:type="dxa"/>
            <w:tcBorders>
              <w:top w:val="single" w:sz="4" w:space="0" w:color="auto"/>
              <w:left w:val="nil"/>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b/>
                <w:sz w:val="20"/>
              </w:rPr>
            </w:pPr>
            <w:r w:rsidRPr="0077157C">
              <w:rPr>
                <w:rFonts w:eastAsia="Times New Roman" w:cstheme="minorHAnsi"/>
                <w:b/>
                <w:sz w:val="20"/>
              </w:rPr>
              <w:t>2015-16</w:t>
            </w:r>
          </w:p>
          <w:p w:rsidR="00C945FC" w:rsidRPr="0077157C" w:rsidRDefault="00C945FC" w:rsidP="00C945FC">
            <w:pPr>
              <w:spacing w:after="0"/>
              <w:jc w:val="right"/>
              <w:rPr>
                <w:rFonts w:eastAsia="Times New Roman" w:cstheme="minorHAnsi"/>
                <w:b/>
                <w:sz w:val="20"/>
              </w:rPr>
            </w:pPr>
            <w:r>
              <w:rPr>
                <w:rFonts w:eastAsia="Times New Roman" w:cstheme="minorHAnsi"/>
                <w:b/>
                <w:bCs/>
                <w:sz w:val="20"/>
              </w:rPr>
              <w:t>(</w:t>
            </w:r>
            <w:r w:rsidRPr="0077157C">
              <w:rPr>
                <w:rFonts w:eastAsia="Times New Roman" w:cstheme="minorHAnsi"/>
                <w:b/>
                <w:bCs/>
                <w:sz w:val="20"/>
              </w:rPr>
              <w:t>A</w:t>
            </w:r>
            <w:r>
              <w:rPr>
                <w:rFonts w:eastAsia="Times New Roman" w:cstheme="minorHAnsi"/>
                <w:b/>
                <w:bCs/>
                <w:sz w:val="20"/>
              </w:rPr>
              <w:t>)</w:t>
            </w:r>
          </w:p>
        </w:tc>
        <w:tc>
          <w:tcPr>
            <w:tcW w:w="1127" w:type="dxa"/>
            <w:tcBorders>
              <w:top w:val="single" w:sz="4" w:space="0" w:color="auto"/>
              <w:left w:val="nil"/>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b/>
                <w:sz w:val="20"/>
              </w:rPr>
            </w:pPr>
            <w:r w:rsidRPr="0077157C">
              <w:rPr>
                <w:rFonts w:eastAsia="Times New Roman" w:cstheme="minorHAnsi"/>
                <w:b/>
                <w:sz w:val="20"/>
              </w:rPr>
              <w:t>2016-17</w:t>
            </w:r>
          </w:p>
          <w:p w:rsidR="00C945FC" w:rsidRPr="0077157C" w:rsidRDefault="00C945FC" w:rsidP="00C945FC">
            <w:pPr>
              <w:spacing w:after="0"/>
              <w:jc w:val="right"/>
              <w:rPr>
                <w:rFonts w:eastAsia="Times New Roman" w:cstheme="minorHAnsi"/>
                <w:b/>
                <w:sz w:val="20"/>
              </w:rPr>
            </w:pPr>
            <w:r>
              <w:rPr>
                <w:rFonts w:eastAsia="Times New Roman" w:cstheme="minorHAnsi"/>
                <w:b/>
                <w:bCs/>
                <w:sz w:val="20"/>
              </w:rPr>
              <w:t>(</w:t>
            </w:r>
            <w:r w:rsidRPr="0077157C">
              <w:rPr>
                <w:rFonts w:eastAsia="Times New Roman" w:cstheme="minorHAnsi"/>
                <w:b/>
                <w:bCs/>
                <w:sz w:val="20"/>
              </w:rPr>
              <w:t>RE</w:t>
            </w:r>
            <w:r>
              <w:rPr>
                <w:rFonts w:eastAsia="Times New Roman" w:cstheme="minorHAnsi"/>
                <w:b/>
                <w:bCs/>
                <w:sz w:val="20"/>
              </w:rPr>
              <w:t>)</w:t>
            </w:r>
          </w:p>
        </w:tc>
        <w:tc>
          <w:tcPr>
            <w:tcW w:w="1127" w:type="dxa"/>
            <w:tcBorders>
              <w:top w:val="single" w:sz="4" w:space="0" w:color="auto"/>
              <w:left w:val="nil"/>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b/>
                <w:sz w:val="20"/>
              </w:rPr>
            </w:pPr>
            <w:r w:rsidRPr="0077157C">
              <w:rPr>
                <w:rFonts w:eastAsia="Times New Roman" w:cstheme="minorHAnsi"/>
                <w:b/>
                <w:sz w:val="20"/>
              </w:rPr>
              <w:t>2017-18</w:t>
            </w:r>
          </w:p>
          <w:p w:rsidR="00C945FC" w:rsidRPr="0077157C" w:rsidRDefault="00C945FC" w:rsidP="00C945FC">
            <w:pPr>
              <w:spacing w:after="0"/>
              <w:jc w:val="right"/>
              <w:rPr>
                <w:rFonts w:eastAsia="Times New Roman" w:cstheme="minorHAnsi"/>
                <w:b/>
                <w:sz w:val="20"/>
              </w:rPr>
            </w:pPr>
            <w:r>
              <w:rPr>
                <w:rFonts w:eastAsia="Times New Roman" w:cstheme="minorHAnsi"/>
                <w:b/>
                <w:bCs/>
                <w:sz w:val="20"/>
              </w:rPr>
              <w:t>(</w:t>
            </w:r>
            <w:r w:rsidRPr="0077157C">
              <w:rPr>
                <w:rFonts w:eastAsia="Times New Roman" w:cstheme="minorHAnsi"/>
                <w:b/>
                <w:bCs/>
                <w:sz w:val="20"/>
              </w:rPr>
              <w:t>BE</w:t>
            </w:r>
            <w:r>
              <w:rPr>
                <w:rFonts w:eastAsia="Times New Roman" w:cstheme="minorHAnsi"/>
                <w:b/>
                <w:bCs/>
                <w:sz w:val="20"/>
              </w:rPr>
              <w:t>)</w:t>
            </w:r>
          </w:p>
        </w:tc>
      </w:tr>
      <w:tr w:rsidR="00C945FC" w:rsidRPr="0077157C" w:rsidTr="00C945FC">
        <w:trPr>
          <w:trHeight w:val="308"/>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1</w:t>
            </w:r>
          </w:p>
        </w:tc>
        <w:tc>
          <w:tcPr>
            <w:tcW w:w="4000" w:type="dxa"/>
            <w:tcBorders>
              <w:top w:val="nil"/>
              <w:left w:val="nil"/>
              <w:bottom w:val="single" w:sz="4" w:space="0" w:color="auto"/>
              <w:right w:val="single" w:sz="4" w:space="0" w:color="auto"/>
            </w:tcBorders>
            <w:shd w:val="clear" w:color="auto" w:fill="auto"/>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States’ share of taxes and duties</w:t>
            </w:r>
          </w:p>
        </w:tc>
        <w:tc>
          <w:tcPr>
            <w:tcW w:w="1405" w:type="dxa"/>
            <w:tcBorders>
              <w:top w:val="nil"/>
              <w:left w:val="nil"/>
              <w:bottom w:val="single" w:sz="4" w:space="0" w:color="auto"/>
              <w:right w:val="single" w:sz="4" w:space="0" w:color="auto"/>
            </w:tcBorders>
            <w:shd w:val="clear" w:color="auto" w:fill="auto"/>
            <w:vAlign w:val="bottom"/>
            <w:hideMark/>
          </w:tcPr>
          <w:p w:rsidR="00C945FC" w:rsidRPr="0077157C" w:rsidRDefault="00C945FC" w:rsidP="00C945FC">
            <w:pPr>
              <w:spacing w:after="0"/>
              <w:ind w:firstLineChars="100" w:firstLine="200"/>
              <w:jc w:val="right"/>
              <w:rPr>
                <w:rFonts w:eastAsia="Times New Roman" w:cstheme="minorHAnsi"/>
                <w:sz w:val="20"/>
              </w:rPr>
            </w:pPr>
            <w:r w:rsidRPr="0077157C">
              <w:rPr>
                <w:rFonts w:eastAsia="Times New Roman" w:cstheme="minorHAnsi"/>
                <w:sz w:val="20"/>
              </w:rPr>
              <w:t>337808</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506193</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608000</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674565</w:t>
            </w:r>
          </w:p>
        </w:tc>
      </w:tr>
      <w:tr w:rsidR="00C945FC" w:rsidRPr="0077157C" w:rsidTr="00C945FC">
        <w:trPr>
          <w:trHeight w:val="308"/>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2</w:t>
            </w:r>
          </w:p>
        </w:tc>
        <w:tc>
          <w:tcPr>
            <w:tcW w:w="4000"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Finance Commission Grants*</w:t>
            </w:r>
          </w:p>
        </w:tc>
        <w:tc>
          <w:tcPr>
            <w:tcW w:w="1405"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 </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84579</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99115</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103101</w:t>
            </w:r>
          </w:p>
        </w:tc>
      </w:tr>
      <w:tr w:rsidR="00C945FC" w:rsidRPr="0077157C" w:rsidTr="00C945FC">
        <w:trPr>
          <w:trHeight w:val="294"/>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3</w:t>
            </w:r>
          </w:p>
        </w:tc>
        <w:tc>
          <w:tcPr>
            <w:tcW w:w="4000"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Scheme Related Transfers</w:t>
            </w:r>
          </w:p>
        </w:tc>
        <w:tc>
          <w:tcPr>
            <w:tcW w:w="1405"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 </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195051</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201363</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212466</w:t>
            </w:r>
          </w:p>
        </w:tc>
      </w:tr>
      <w:tr w:rsidR="00C945FC" w:rsidRPr="0077157C" w:rsidTr="00C945FC">
        <w:trPr>
          <w:trHeight w:val="294"/>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4</w:t>
            </w:r>
          </w:p>
        </w:tc>
        <w:tc>
          <w:tcPr>
            <w:tcW w:w="4000"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Other Transfers**</w:t>
            </w:r>
          </w:p>
        </w:tc>
        <w:tc>
          <w:tcPr>
            <w:tcW w:w="1405"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 </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43143</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44864</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48447</w:t>
            </w:r>
          </w:p>
        </w:tc>
      </w:tr>
      <w:tr w:rsidR="00C945FC" w:rsidRPr="0077157C" w:rsidTr="00C945FC">
        <w:trPr>
          <w:trHeight w:val="294"/>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5</w:t>
            </w:r>
          </w:p>
        </w:tc>
        <w:tc>
          <w:tcPr>
            <w:tcW w:w="4000"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Transfer to North Eastern States</w:t>
            </w:r>
          </w:p>
        </w:tc>
        <w:tc>
          <w:tcPr>
            <w:tcW w:w="1405"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 </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378</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31422</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42499</w:t>
            </w:r>
          </w:p>
        </w:tc>
      </w:tr>
      <w:tr w:rsidR="00C945FC" w:rsidRPr="0077157C" w:rsidTr="00C945FC">
        <w:trPr>
          <w:trHeight w:val="294"/>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6</w:t>
            </w:r>
          </w:p>
        </w:tc>
        <w:tc>
          <w:tcPr>
            <w:tcW w:w="4000"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 xml:space="preserve">Total Transfers to UTs with legislature </w:t>
            </w:r>
          </w:p>
        </w:tc>
        <w:tc>
          <w:tcPr>
            <w:tcW w:w="1405"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 </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5139</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5547</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3996</w:t>
            </w:r>
          </w:p>
        </w:tc>
      </w:tr>
      <w:tr w:rsidR="00C945FC" w:rsidRPr="0077157C" w:rsidTr="00C945FC">
        <w:trPr>
          <w:trHeight w:val="454"/>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7</w:t>
            </w:r>
          </w:p>
        </w:tc>
        <w:tc>
          <w:tcPr>
            <w:tcW w:w="4000" w:type="dxa"/>
            <w:tcBorders>
              <w:top w:val="nil"/>
              <w:left w:val="nil"/>
              <w:bottom w:val="single" w:sz="4" w:space="0" w:color="auto"/>
              <w:right w:val="single" w:sz="4" w:space="0" w:color="auto"/>
            </w:tcBorders>
            <w:shd w:val="clear" w:color="auto" w:fill="auto"/>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 xml:space="preserve">FC grants and other transfers to states </w:t>
            </w:r>
          </w:p>
          <w:p w:rsidR="00C945FC" w:rsidRPr="0077157C" w:rsidRDefault="00C945FC" w:rsidP="00C945FC">
            <w:pPr>
              <w:spacing w:after="0"/>
              <w:rPr>
                <w:rFonts w:eastAsia="Times New Roman" w:cstheme="minorHAnsi"/>
                <w:sz w:val="20"/>
              </w:rPr>
            </w:pPr>
            <w:r w:rsidRPr="0077157C">
              <w:rPr>
                <w:rFonts w:eastAsia="Times New Roman" w:cstheme="minorHAnsi"/>
                <w:sz w:val="20"/>
              </w:rPr>
              <w:t>(2 to 6)</w:t>
            </w:r>
          </w:p>
        </w:tc>
        <w:tc>
          <w:tcPr>
            <w:tcW w:w="1405"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348027</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328290</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382311</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410509</w:t>
            </w:r>
          </w:p>
        </w:tc>
      </w:tr>
      <w:tr w:rsidR="00C945FC" w:rsidRPr="0077157C" w:rsidTr="00C945FC">
        <w:trPr>
          <w:trHeight w:val="454"/>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8</w:t>
            </w:r>
          </w:p>
        </w:tc>
        <w:tc>
          <w:tcPr>
            <w:tcW w:w="4000" w:type="dxa"/>
            <w:tcBorders>
              <w:top w:val="nil"/>
              <w:left w:val="nil"/>
              <w:bottom w:val="single" w:sz="4" w:space="0" w:color="auto"/>
              <w:right w:val="single" w:sz="4" w:space="0" w:color="auto"/>
            </w:tcBorders>
            <w:shd w:val="clear" w:color="auto" w:fill="auto"/>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 xml:space="preserve">Total transfers to States and UT </w:t>
            </w:r>
          </w:p>
          <w:p w:rsidR="00C945FC" w:rsidRPr="0077157C" w:rsidRDefault="00C945FC" w:rsidP="00C945FC">
            <w:pPr>
              <w:spacing w:after="0"/>
              <w:rPr>
                <w:rFonts w:eastAsia="Times New Roman" w:cstheme="minorHAnsi"/>
                <w:sz w:val="20"/>
              </w:rPr>
            </w:pPr>
            <w:r w:rsidRPr="0077157C">
              <w:rPr>
                <w:rFonts w:eastAsia="Times New Roman" w:cstheme="minorHAnsi"/>
                <w:sz w:val="20"/>
              </w:rPr>
              <w:t>(includes loans) (1+7)</w:t>
            </w:r>
          </w:p>
        </w:tc>
        <w:tc>
          <w:tcPr>
            <w:tcW w:w="1405" w:type="dxa"/>
            <w:tcBorders>
              <w:top w:val="nil"/>
              <w:left w:val="nil"/>
              <w:bottom w:val="single" w:sz="4" w:space="0" w:color="auto"/>
              <w:right w:val="single" w:sz="4" w:space="0" w:color="auto"/>
            </w:tcBorders>
            <w:shd w:val="clear" w:color="auto" w:fill="auto"/>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685835</w:t>
            </w:r>
          </w:p>
        </w:tc>
        <w:tc>
          <w:tcPr>
            <w:tcW w:w="1127" w:type="dxa"/>
            <w:tcBorders>
              <w:top w:val="nil"/>
              <w:left w:val="nil"/>
              <w:bottom w:val="single" w:sz="4" w:space="0" w:color="auto"/>
              <w:right w:val="single" w:sz="4" w:space="0" w:color="auto"/>
            </w:tcBorders>
            <w:shd w:val="clear" w:color="auto" w:fill="auto"/>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830613</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990311</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1085075</w:t>
            </w:r>
          </w:p>
        </w:tc>
      </w:tr>
      <w:tr w:rsidR="00C945FC" w:rsidRPr="0077157C" w:rsidTr="00C945FC">
        <w:trPr>
          <w:trHeight w:val="288"/>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9</w:t>
            </w:r>
          </w:p>
        </w:tc>
        <w:tc>
          <w:tcPr>
            <w:tcW w:w="4000" w:type="dxa"/>
            <w:tcBorders>
              <w:top w:val="nil"/>
              <w:left w:val="nil"/>
              <w:bottom w:val="single" w:sz="4" w:space="0" w:color="auto"/>
              <w:right w:val="single" w:sz="4" w:space="0" w:color="auto"/>
            </w:tcBorders>
            <w:shd w:val="clear" w:color="auto" w:fill="auto"/>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 xml:space="preserve">GDP at current market prices </w:t>
            </w:r>
          </w:p>
        </w:tc>
        <w:tc>
          <w:tcPr>
            <w:tcW w:w="1405" w:type="dxa"/>
            <w:tcBorders>
              <w:top w:val="nil"/>
              <w:left w:val="nil"/>
              <w:bottom w:val="single" w:sz="4" w:space="0" w:color="auto"/>
              <w:right w:val="single" w:sz="4" w:space="0" w:color="auto"/>
            </w:tcBorders>
            <w:shd w:val="clear" w:color="auto" w:fill="auto"/>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12433749</w:t>
            </w:r>
          </w:p>
        </w:tc>
        <w:tc>
          <w:tcPr>
            <w:tcW w:w="1127" w:type="dxa"/>
            <w:tcBorders>
              <w:top w:val="nil"/>
              <w:left w:val="nil"/>
              <w:bottom w:val="single" w:sz="4" w:space="0" w:color="auto"/>
              <w:right w:val="single" w:sz="4" w:space="0" w:color="auto"/>
            </w:tcBorders>
            <w:shd w:val="clear" w:color="auto" w:fill="auto"/>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13675331</w:t>
            </w:r>
          </w:p>
        </w:tc>
        <w:tc>
          <w:tcPr>
            <w:tcW w:w="1127" w:type="dxa"/>
            <w:tcBorders>
              <w:top w:val="nil"/>
              <w:left w:val="nil"/>
              <w:bottom w:val="single" w:sz="4" w:space="0" w:color="auto"/>
              <w:right w:val="single" w:sz="4" w:space="0" w:color="auto"/>
            </w:tcBorders>
            <w:shd w:val="clear" w:color="auto" w:fill="auto"/>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15075429</w:t>
            </w:r>
          </w:p>
        </w:tc>
        <w:tc>
          <w:tcPr>
            <w:tcW w:w="1127" w:type="dxa"/>
            <w:tcBorders>
              <w:top w:val="nil"/>
              <w:left w:val="nil"/>
              <w:bottom w:val="single" w:sz="4" w:space="0" w:color="auto"/>
              <w:right w:val="single" w:sz="4" w:space="0" w:color="auto"/>
            </w:tcBorders>
            <w:shd w:val="clear" w:color="auto" w:fill="auto"/>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16847455</w:t>
            </w:r>
          </w:p>
        </w:tc>
      </w:tr>
      <w:tr w:rsidR="00C945FC" w:rsidRPr="0077157C" w:rsidTr="00C945FC">
        <w:trPr>
          <w:trHeight w:val="454"/>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 </w:t>
            </w:r>
          </w:p>
        </w:tc>
        <w:tc>
          <w:tcPr>
            <w:tcW w:w="4000" w:type="dxa"/>
            <w:tcBorders>
              <w:top w:val="nil"/>
              <w:left w:val="nil"/>
              <w:bottom w:val="single" w:sz="4" w:space="0" w:color="auto"/>
              <w:right w:val="single" w:sz="4" w:space="0" w:color="auto"/>
            </w:tcBorders>
            <w:shd w:val="clear" w:color="auto" w:fill="auto"/>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States’ share of central taxes and duties as % of GDP (1/9)</w:t>
            </w:r>
          </w:p>
        </w:tc>
        <w:tc>
          <w:tcPr>
            <w:tcW w:w="1405" w:type="dxa"/>
            <w:tcBorders>
              <w:top w:val="nil"/>
              <w:left w:val="nil"/>
              <w:bottom w:val="single" w:sz="4" w:space="0" w:color="auto"/>
              <w:right w:val="single" w:sz="4" w:space="0" w:color="auto"/>
            </w:tcBorders>
            <w:shd w:val="clear" w:color="auto" w:fill="auto"/>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2.7</w:t>
            </w:r>
          </w:p>
        </w:tc>
        <w:tc>
          <w:tcPr>
            <w:tcW w:w="1127" w:type="dxa"/>
            <w:tcBorders>
              <w:top w:val="nil"/>
              <w:left w:val="nil"/>
              <w:bottom w:val="single" w:sz="4" w:space="0" w:color="auto"/>
              <w:right w:val="single" w:sz="4" w:space="0" w:color="auto"/>
            </w:tcBorders>
            <w:shd w:val="clear" w:color="auto" w:fill="auto"/>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3.7</w:t>
            </w:r>
          </w:p>
        </w:tc>
        <w:tc>
          <w:tcPr>
            <w:tcW w:w="1127" w:type="dxa"/>
            <w:tcBorders>
              <w:top w:val="nil"/>
              <w:left w:val="nil"/>
              <w:bottom w:val="single" w:sz="4" w:space="0" w:color="auto"/>
              <w:right w:val="single" w:sz="4" w:space="0" w:color="auto"/>
            </w:tcBorders>
            <w:shd w:val="clear" w:color="auto" w:fill="auto"/>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4.0</w:t>
            </w:r>
          </w:p>
        </w:tc>
        <w:tc>
          <w:tcPr>
            <w:tcW w:w="1127" w:type="dxa"/>
            <w:tcBorders>
              <w:top w:val="nil"/>
              <w:left w:val="nil"/>
              <w:bottom w:val="single" w:sz="4" w:space="0" w:color="auto"/>
              <w:right w:val="single" w:sz="4" w:space="0" w:color="auto"/>
            </w:tcBorders>
            <w:shd w:val="clear" w:color="auto" w:fill="auto"/>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4.0</w:t>
            </w:r>
          </w:p>
        </w:tc>
      </w:tr>
      <w:tr w:rsidR="00C945FC" w:rsidRPr="0077157C" w:rsidTr="00C945FC">
        <w:trPr>
          <w:trHeight w:val="294"/>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 </w:t>
            </w:r>
          </w:p>
        </w:tc>
        <w:tc>
          <w:tcPr>
            <w:tcW w:w="4000" w:type="dxa"/>
            <w:tcBorders>
              <w:top w:val="nil"/>
              <w:left w:val="nil"/>
              <w:bottom w:val="single" w:sz="4" w:space="0" w:color="auto"/>
              <w:right w:val="single" w:sz="4" w:space="0" w:color="auto"/>
            </w:tcBorders>
            <w:shd w:val="clear" w:color="auto" w:fill="auto"/>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Other transfers as share of GDP (7/9)</w:t>
            </w:r>
          </w:p>
        </w:tc>
        <w:tc>
          <w:tcPr>
            <w:tcW w:w="1405"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2.8</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2.4</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2.5</w:t>
            </w:r>
          </w:p>
        </w:tc>
        <w:tc>
          <w:tcPr>
            <w:tcW w:w="1127" w:type="dxa"/>
            <w:tcBorders>
              <w:top w:val="nil"/>
              <w:left w:val="nil"/>
              <w:bottom w:val="single" w:sz="4" w:space="0" w:color="auto"/>
              <w:right w:val="single" w:sz="4" w:space="0" w:color="auto"/>
            </w:tcBorders>
            <w:shd w:val="clear" w:color="auto" w:fill="auto"/>
            <w:noWrap/>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2.4</w:t>
            </w:r>
          </w:p>
        </w:tc>
      </w:tr>
      <w:tr w:rsidR="00C945FC" w:rsidRPr="0077157C" w:rsidTr="00C945FC">
        <w:trPr>
          <w:trHeight w:val="454"/>
        </w:trPr>
        <w:tc>
          <w:tcPr>
            <w:tcW w:w="947" w:type="dxa"/>
            <w:tcBorders>
              <w:top w:val="nil"/>
              <w:left w:val="single" w:sz="4" w:space="0" w:color="auto"/>
              <w:bottom w:val="single" w:sz="4" w:space="0" w:color="auto"/>
              <w:right w:val="single" w:sz="4" w:space="0" w:color="auto"/>
            </w:tcBorders>
            <w:shd w:val="clear" w:color="auto" w:fill="auto"/>
            <w:noWrap/>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 </w:t>
            </w:r>
          </w:p>
        </w:tc>
        <w:tc>
          <w:tcPr>
            <w:tcW w:w="4000" w:type="dxa"/>
            <w:tcBorders>
              <w:top w:val="nil"/>
              <w:left w:val="nil"/>
              <w:bottom w:val="single" w:sz="4" w:space="0" w:color="auto"/>
              <w:right w:val="single" w:sz="4" w:space="0" w:color="auto"/>
            </w:tcBorders>
            <w:shd w:val="clear" w:color="auto" w:fill="auto"/>
            <w:vAlign w:val="bottom"/>
            <w:hideMark/>
          </w:tcPr>
          <w:p w:rsidR="00C945FC" w:rsidRPr="0077157C" w:rsidRDefault="00C945FC" w:rsidP="00C945FC">
            <w:pPr>
              <w:spacing w:after="0"/>
              <w:rPr>
                <w:rFonts w:eastAsia="Times New Roman" w:cstheme="minorHAnsi"/>
                <w:sz w:val="20"/>
              </w:rPr>
            </w:pPr>
            <w:r w:rsidRPr="0077157C">
              <w:rPr>
                <w:rFonts w:eastAsia="Times New Roman" w:cstheme="minorHAnsi"/>
                <w:sz w:val="20"/>
              </w:rPr>
              <w:t>Total Union Resources transferred to States as % of GDP (8/9)</w:t>
            </w:r>
          </w:p>
        </w:tc>
        <w:tc>
          <w:tcPr>
            <w:tcW w:w="1405" w:type="dxa"/>
            <w:tcBorders>
              <w:top w:val="nil"/>
              <w:left w:val="nil"/>
              <w:bottom w:val="single" w:sz="4" w:space="0" w:color="auto"/>
              <w:right w:val="single" w:sz="4" w:space="0" w:color="auto"/>
            </w:tcBorders>
            <w:shd w:val="clear" w:color="auto" w:fill="auto"/>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5.5</w:t>
            </w:r>
          </w:p>
        </w:tc>
        <w:tc>
          <w:tcPr>
            <w:tcW w:w="1127" w:type="dxa"/>
            <w:tcBorders>
              <w:top w:val="nil"/>
              <w:left w:val="nil"/>
              <w:bottom w:val="single" w:sz="4" w:space="0" w:color="auto"/>
              <w:right w:val="single" w:sz="4" w:space="0" w:color="auto"/>
            </w:tcBorders>
            <w:shd w:val="clear" w:color="auto" w:fill="auto"/>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6.1</w:t>
            </w:r>
          </w:p>
        </w:tc>
        <w:tc>
          <w:tcPr>
            <w:tcW w:w="1127" w:type="dxa"/>
            <w:tcBorders>
              <w:top w:val="nil"/>
              <w:left w:val="nil"/>
              <w:bottom w:val="single" w:sz="4" w:space="0" w:color="auto"/>
              <w:right w:val="single" w:sz="4" w:space="0" w:color="auto"/>
            </w:tcBorders>
            <w:shd w:val="clear" w:color="auto" w:fill="auto"/>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6.6</w:t>
            </w:r>
          </w:p>
        </w:tc>
        <w:tc>
          <w:tcPr>
            <w:tcW w:w="1127" w:type="dxa"/>
            <w:tcBorders>
              <w:top w:val="nil"/>
              <w:left w:val="nil"/>
              <w:bottom w:val="single" w:sz="4" w:space="0" w:color="auto"/>
              <w:right w:val="single" w:sz="4" w:space="0" w:color="auto"/>
            </w:tcBorders>
            <w:shd w:val="clear" w:color="auto" w:fill="auto"/>
            <w:vAlign w:val="bottom"/>
            <w:hideMark/>
          </w:tcPr>
          <w:p w:rsidR="00C945FC" w:rsidRPr="0077157C" w:rsidRDefault="00C945FC" w:rsidP="00C945FC">
            <w:pPr>
              <w:spacing w:after="0"/>
              <w:jc w:val="right"/>
              <w:rPr>
                <w:rFonts w:eastAsia="Times New Roman" w:cstheme="minorHAnsi"/>
                <w:sz w:val="20"/>
              </w:rPr>
            </w:pPr>
            <w:r w:rsidRPr="0077157C">
              <w:rPr>
                <w:rFonts w:eastAsia="Times New Roman" w:cstheme="minorHAnsi"/>
                <w:sz w:val="20"/>
              </w:rPr>
              <w:t>6.4</w:t>
            </w:r>
          </w:p>
        </w:tc>
      </w:tr>
    </w:tbl>
    <w:p w:rsidR="00C945FC" w:rsidRDefault="00C945FC" w:rsidP="00C945FC">
      <w:pPr>
        <w:rPr>
          <w:sz w:val="18"/>
        </w:rPr>
      </w:pPr>
      <w:r w:rsidRPr="008C64A1">
        <w:rPr>
          <w:i/>
          <w:sz w:val="18"/>
        </w:rPr>
        <w:t>Notes</w:t>
      </w:r>
      <w:r>
        <w:rPr>
          <w:sz w:val="18"/>
        </w:rPr>
        <w:t xml:space="preserve">: *Finance Commission grants include Grants for Urban and rural local bodies, Grants-in-aid for SDRF and Post devolution revenue deficit grant. </w:t>
      </w:r>
    </w:p>
    <w:p w:rsidR="00C945FC" w:rsidRDefault="00C945FC" w:rsidP="00C945FC">
      <w:pPr>
        <w:rPr>
          <w:sz w:val="18"/>
        </w:rPr>
      </w:pPr>
      <w:r>
        <w:rPr>
          <w:sz w:val="18"/>
        </w:rPr>
        <w:t xml:space="preserve">**Other transfers include </w:t>
      </w:r>
      <w:r w:rsidRPr="007D154C">
        <w:rPr>
          <w:sz w:val="18"/>
        </w:rPr>
        <w:t>Schemes of North East Council, Central Pool of Resources for North Eastern Region and Sikkim, Grants to Autonomous Councils and areas covered under the Sixth schedule of the Constitution, Schemes under Provision to Article (275(1) of the Constitution, Special Central Assistance to Tribal Area, Special Central Assistance to Scheduled Castes, Special Assistance, Assistance to States from NDRF, Externally Aided Projects – Grants and Loans</w:t>
      </w:r>
      <w:r w:rsidR="008C64A1">
        <w:rPr>
          <w:sz w:val="18"/>
        </w:rPr>
        <w:t>.</w:t>
      </w:r>
    </w:p>
    <w:p w:rsidR="00C945FC" w:rsidRPr="00913DEB" w:rsidRDefault="00C945FC" w:rsidP="00C945FC">
      <w:pPr>
        <w:rPr>
          <w:sz w:val="18"/>
        </w:rPr>
      </w:pPr>
      <w:r w:rsidRPr="008C64A1">
        <w:rPr>
          <w:i/>
          <w:sz w:val="18"/>
        </w:rPr>
        <w:t>Source</w:t>
      </w:r>
      <w:r w:rsidRPr="00913DEB">
        <w:rPr>
          <w:sz w:val="18"/>
        </w:rPr>
        <w:t>: Compiled by CBGA from Budget at a glance, Union Budget documents, various years</w:t>
      </w:r>
      <w:r w:rsidR="008C64A1">
        <w:rPr>
          <w:sz w:val="18"/>
        </w:rPr>
        <w:t>.</w:t>
      </w:r>
    </w:p>
    <w:p w:rsidR="00C945FC" w:rsidRDefault="00C945FC" w:rsidP="00C945FC">
      <w:pPr>
        <w:jc w:val="both"/>
      </w:pPr>
      <w:r>
        <w:t xml:space="preserve">In the context of </w:t>
      </w:r>
      <w:r w:rsidR="008C64A1">
        <w:t xml:space="preserve">the </w:t>
      </w:r>
      <w:r>
        <w:t xml:space="preserve">Union Budget 2017-18, it </w:t>
      </w:r>
      <w:r w:rsidR="008C64A1">
        <w:t>needs to be noted</w:t>
      </w:r>
      <w:r>
        <w:t xml:space="preserve"> that due to the merging </w:t>
      </w:r>
      <w:r w:rsidR="008C64A1">
        <w:t xml:space="preserve">of </w:t>
      </w:r>
      <w:r>
        <w:t xml:space="preserve">the Plan and Non-plan expenditures, figures for certain components of resources transferred to states </w:t>
      </w:r>
      <w:r w:rsidR="008C64A1">
        <w:t>are not</w:t>
      </w:r>
      <w:r>
        <w:t xml:space="preserve"> available for the previous years. </w:t>
      </w:r>
      <w:r w:rsidR="00C41FE7">
        <w:t>On one hand,</w:t>
      </w:r>
      <w:r>
        <w:t xml:space="preserve"> non-comparability of budget data for a time series analysis becomes an issue in such a process, </w:t>
      </w:r>
      <w:r w:rsidR="00C41FE7">
        <w:t xml:space="preserve">on the other, </w:t>
      </w:r>
      <w:r>
        <w:t xml:space="preserve">it also does not </w:t>
      </w:r>
      <w:r w:rsidR="00C41FE7">
        <w:t>help in</w:t>
      </w:r>
      <w:r>
        <w:t xml:space="preserve"> transparency and simplification of budgetary data.   </w:t>
      </w:r>
    </w:p>
    <w:p w:rsidR="00C945FC" w:rsidRDefault="00C945FC" w:rsidP="00C945FC">
      <w:pPr>
        <w:jc w:val="both"/>
        <w:rPr>
          <w:b/>
        </w:rPr>
      </w:pPr>
      <w:r w:rsidRPr="00AC5001">
        <w:rPr>
          <w:b/>
        </w:rPr>
        <w:t>Increas</w:t>
      </w:r>
      <w:r>
        <w:rPr>
          <w:b/>
        </w:rPr>
        <w:t>ed</w:t>
      </w:r>
      <w:r w:rsidRPr="00AC5001">
        <w:rPr>
          <w:b/>
        </w:rPr>
        <w:t xml:space="preserve"> </w:t>
      </w:r>
      <w:proofErr w:type="spellStart"/>
      <w:r w:rsidRPr="00AC5001">
        <w:rPr>
          <w:b/>
        </w:rPr>
        <w:t>Cess</w:t>
      </w:r>
      <w:proofErr w:type="spellEnd"/>
      <w:r w:rsidRPr="00AC5001">
        <w:rPr>
          <w:b/>
        </w:rPr>
        <w:t xml:space="preserve"> Component </w:t>
      </w:r>
      <w:r>
        <w:rPr>
          <w:b/>
        </w:rPr>
        <w:t>i</w:t>
      </w:r>
      <w:r w:rsidRPr="00AC5001">
        <w:rPr>
          <w:b/>
        </w:rPr>
        <w:t>n Revenue Collection</w:t>
      </w:r>
    </w:p>
    <w:p w:rsidR="00C945FC" w:rsidRDefault="00132AAE" w:rsidP="00C945FC">
      <w:pPr>
        <w:jc w:val="both"/>
      </w:pPr>
      <w:r w:rsidRPr="00B5606F">
        <w:lastRenderedPageBreak/>
        <w:t xml:space="preserve">In the last two years, it has also been </w:t>
      </w:r>
      <w:r w:rsidR="00C945FC" w:rsidRPr="00B5606F">
        <w:t xml:space="preserve">observed that the size of the divisible pool was getting indirectly affected </w:t>
      </w:r>
      <w:r w:rsidRPr="00B5606F">
        <w:t>because of</w:t>
      </w:r>
      <w:r w:rsidR="00C945FC" w:rsidRPr="00B5606F">
        <w:t xml:space="preserve"> introduction of several </w:t>
      </w:r>
      <w:r w:rsidRPr="00B5606F">
        <w:t>types</w:t>
      </w:r>
      <w:r w:rsidR="00C945FC" w:rsidRPr="00B5606F">
        <w:t xml:space="preserve"> of </w:t>
      </w:r>
      <w:proofErr w:type="spellStart"/>
      <w:r w:rsidR="00C945FC" w:rsidRPr="00B5606F">
        <w:t>cess</w:t>
      </w:r>
      <w:proofErr w:type="spellEnd"/>
      <w:r w:rsidR="00C945FC" w:rsidRPr="00B5606F">
        <w:t xml:space="preserve">, </w:t>
      </w:r>
      <w:r w:rsidRPr="00B5606F">
        <w:t xml:space="preserve">such as </w:t>
      </w:r>
      <w:r w:rsidR="00C945FC" w:rsidRPr="00B5606F">
        <w:t xml:space="preserve">the education </w:t>
      </w:r>
      <w:proofErr w:type="spellStart"/>
      <w:r w:rsidR="00C945FC" w:rsidRPr="00B5606F">
        <w:t>cess</w:t>
      </w:r>
      <w:proofErr w:type="spellEnd"/>
      <w:r w:rsidR="00C945FC" w:rsidRPr="00B5606F">
        <w:t xml:space="preserve">, </w:t>
      </w:r>
      <w:proofErr w:type="spellStart"/>
      <w:r w:rsidR="00C945FC" w:rsidRPr="00B5606F">
        <w:t>Swachh</w:t>
      </w:r>
      <w:proofErr w:type="spellEnd"/>
      <w:r w:rsidR="00C945FC" w:rsidRPr="00B5606F">
        <w:t xml:space="preserve"> </w:t>
      </w:r>
      <w:r w:rsidR="00C945FC" w:rsidRPr="00B5606F">
        <w:rPr>
          <w:i/>
        </w:rPr>
        <w:t>Bharat</w:t>
      </w:r>
      <w:r w:rsidR="00C945FC" w:rsidRPr="00B5606F">
        <w:t xml:space="preserve"> </w:t>
      </w:r>
      <w:proofErr w:type="spellStart"/>
      <w:r w:rsidR="00C945FC" w:rsidRPr="00B5606F">
        <w:t>cess</w:t>
      </w:r>
      <w:proofErr w:type="spellEnd"/>
      <w:r w:rsidR="00C945FC" w:rsidRPr="00B5606F">
        <w:t xml:space="preserve">, </w:t>
      </w:r>
      <w:r w:rsidR="00C41FE7">
        <w:t xml:space="preserve">and </w:t>
      </w:r>
      <w:proofErr w:type="spellStart"/>
      <w:r w:rsidR="00C945FC" w:rsidRPr="00B5606F">
        <w:rPr>
          <w:i/>
        </w:rPr>
        <w:t>Krishi</w:t>
      </w:r>
      <w:proofErr w:type="spellEnd"/>
      <w:r w:rsidR="00C945FC" w:rsidRPr="00B5606F">
        <w:rPr>
          <w:i/>
        </w:rPr>
        <w:t xml:space="preserve"> </w:t>
      </w:r>
      <w:proofErr w:type="spellStart"/>
      <w:r w:rsidR="00C945FC" w:rsidRPr="00B5606F">
        <w:rPr>
          <w:i/>
        </w:rPr>
        <w:t>Kalyan</w:t>
      </w:r>
      <w:proofErr w:type="spellEnd"/>
      <w:r w:rsidR="00C945FC" w:rsidRPr="00B5606F">
        <w:t xml:space="preserve"> </w:t>
      </w:r>
      <w:proofErr w:type="spellStart"/>
      <w:r w:rsidR="00C945FC" w:rsidRPr="00B5606F">
        <w:t>cess</w:t>
      </w:r>
      <w:proofErr w:type="spellEnd"/>
      <w:r w:rsidRPr="00B5606F">
        <w:t xml:space="preserve">, etc. </w:t>
      </w:r>
      <w:r>
        <w:t>As is known, t</w:t>
      </w:r>
      <w:r w:rsidR="00C945FC">
        <w:t xml:space="preserve">he net proceeds from </w:t>
      </w:r>
      <w:proofErr w:type="spellStart"/>
      <w:r w:rsidR="00C945FC">
        <w:t>cess</w:t>
      </w:r>
      <w:proofErr w:type="spellEnd"/>
      <w:r w:rsidR="00C945FC">
        <w:t xml:space="preserve"> collection </w:t>
      </w:r>
      <w:r>
        <w:t>remain</w:t>
      </w:r>
      <w:r w:rsidR="00C945FC">
        <w:t xml:space="preserve"> outside the divisible tax pool and </w:t>
      </w:r>
      <w:r w:rsidR="00C41FE7">
        <w:t>are</w:t>
      </w:r>
      <w:r>
        <w:t xml:space="preserve"> meant </w:t>
      </w:r>
      <w:r w:rsidR="00C945FC">
        <w:t>exclusively for the Union government</w:t>
      </w:r>
      <w:r>
        <w:t xml:space="preserve">. This does not augur well </w:t>
      </w:r>
      <w:r w:rsidR="00C945FC">
        <w:t xml:space="preserve">for ‘cooperative federalism’, </w:t>
      </w:r>
      <w:r>
        <w:t>especially when</w:t>
      </w:r>
      <w:r w:rsidR="00C945FC">
        <w:t xml:space="preserve"> some states do not have adequate resources.  </w:t>
      </w:r>
      <w:r w:rsidR="00B5606F">
        <w:t xml:space="preserve">Increasing dependency on the </w:t>
      </w:r>
      <w:proofErr w:type="spellStart"/>
      <w:r w:rsidR="00B5606F">
        <w:t>cess</w:t>
      </w:r>
      <w:proofErr w:type="spellEnd"/>
      <w:r w:rsidR="00B5606F">
        <w:t xml:space="preserve"> component for</w:t>
      </w:r>
      <w:r w:rsidR="00C945FC">
        <w:t xml:space="preserve"> revenue collection is evident from figure 1.2. </w:t>
      </w:r>
    </w:p>
    <w:p w:rsidR="00C945FC" w:rsidRPr="00CE458D" w:rsidRDefault="00C945FC" w:rsidP="00C945FC">
      <w:pPr>
        <w:jc w:val="center"/>
        <w:rPr>
          <w:b/>
        </w:rPr>
      </w:pPr>
      <w:r w:rsidRPr="00CE458D">
        <w:rPr>
          <w:b/>
        </w:rPr>
        <w:t xml:space="preserve">Figure 1.2: </w:t>
      </w:r>
      <w:r w:rsidRPr="00A13BD9">
        <w:rPr>
          <w:rFonts w:eastAsia="Times New Roman" w:cstheme="minorHAnsi"/>
          <w:b/>
          <w:color w:val="000000"/>
        </w:rPr>
        <w:t xml:space="preserve">Total </w:t>
      </w:r>
      <w:proofErr w:type="spellStart"/>
      <w:r w:rsidRPr="00A13BD9">
        <w:rPr>
          <w:rFonts w:eastAsia="Times New Roman" w:cstheme="minorHAnsi"/>
          <w:b/>
          <w:color w:val="000000"/>
        </w:rPr>
        <w:t>Cess</w:t>
      </w:r>
      <w:proofErr w:type="spellEnd"/>
      <w:r w:rsidRPr="00A13BD9">
        <w:rPr>
          <w:rFonts w:eastAsia="Times New Roman" w:cstheme="minorHAnsi"/>
          <w:b/>
          <w:color w:val="000000"/>
        </w:rPr>
        <w:t xml:space="preserve"> and Surcharges</w:t>
      </w:r>
      <w:r w:rsidRPr="00CE458D">
        <w:rPr>
          <w:rFonts w:eastAsia="Times New Roman" w:cstheme="minorHAnsi"/>
          <w:b/>
          <w:color w:val="000000"/>
        </w:rPr>
        <w:t xml:space="preserve"> (</w:t>
      </w:r>
      <w:proofErr w:type="spellStart"/>
      <w:r w:rsidRPr="00CE458D">
        <w:rPr>
          <w:rFonts w:eastAsia="Times New Roman" w:cstheme="minorHAnsi"/>
          <w:b/>
          <w:color w:val="000000"/>
        </w:rPr>
        <w:t>Rs</w:t>
      </w:r>
      <w:proofErr w:type="spellEnd"/>
      <w:r w:rsidRPr="00CE458D">
        <w:rPr>
          <w:rFonts w:eastAsia="Times New Roman" w:cstheme="minorHAnsi"/>
          <w:b/>
          <w:color w:val="000000"/>
        </w:rPr>
        <w:t xml:space="preserve"> </w:t>
      </w:r>
      <w:proofErr w:type="spellStart"/>
      <w:r w:rsidRPr="00CE458D">
        <w:rPr>
          <w:rFonts w:eastAsia="Times New Roman" w:cstheme="minorHAnsi"/>
          <w:b/>
          <w:color w:val="000000"/>
        </w:rPr>
        <w:t>crore</w:t>
      </w:r>
      <w:proofErr w:type="spellEnd"/>
      <w:r w:rsidRPr="00CE458D">
        <w:rPr>
          <w:b/>
        </w:rPr>
        <w:t>)</w:t>
      </w:r>
    </w:p>
    <w:p w:rsidR="00C945FC" w:rsidRDefault="00C945FC" w:rsidP="00C945FC">
      <w:pPr>
        <w:jc w:val="center"/>
        <w:rPr>
          <w:sz w:val="18"/>
        </w:rPr>
      </w:pPr>
      <w:r>
        <w:rPr>
          <w:noProof/>
        </w:rPr>
        <w:drawing>
          <wp:inline distT="0" distB="0" distL="0" distR="0" wp14:anchorId="5BBE73CB" wp14:editId="346D22FD">
            <wp:extent cx="4572000" cy="1924215"/>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945FC" w:rsidRDefault="00C945FC" w:rsidP="00C945FC">
      <w:pPr>
        <w:ind w:left="720"/>
        <w:jc w:val="both"/>
        <w:rPr>
          <w:rFonts w:ascii="Calibri" w:eastAsia="Times New Roman" w:hAnsi="Calibri" w:cs="Calibri"/>
          <w:color w:val="000000"/>
          <w:sz w:val="18"/>
        </w:rPr>
      </w:pPr>
      <w:r w:rsidRPr="00B5606F">
        <w:rPr>
          <w:i/>
          <w:sz w:val="18"/>
        </w:rPr>
        <w:t>Note</w:t>
      </w:r>
      <w:r w:rsidRPr="00A13BD9">
        <w:rPr>
          <w:sz w:val="18"/>
        </w:rPr>
        <w:t xml:space="preserve">: </w:t>
      </w:r>
      <w:r w:rsidRPr="00287C58">
        <w:rPr>
          <w:rFonts w:ascii="Calibri" w:eastAsia="Times New Roman" w:hAnsi="Calibri" w:cs="Calibri"/>
          <w:color w:val="000000"/>
          <w:sz w:val="18"/>
        </w:rPr>
        <w:t xml:space="preserve">Includes Education </w:t>
      </w:r>
      <w:proofErr w:type="spellStart"/>
      <w:r w:rsidRPr="00287C58">
        <w:rPr>
          <w:rFonts w:ascii="Calibri" w:eastAsia="Times New Roman" w:hAnsi="Calibri" w:cs="Calibri"/>
          <w:color w:val="000000"/>
          <w:sz w:val="18"/>
        </w:rPr>
        <w:t>Cess</w:t>
      </w:r>
      <w:proofErr w:type="spellEnd"/>
      <w:r w:rsidRPr="00287C58">
        <w:rPr>
          <w:rFonts w:ascii="Calibri" w:eastAsia="Times New Roman" w:hAnsi="Calibri" w:cs="Calibri"/>
          <w:color w:val="000000"/>
          <w:sz w:val="18"/>
        </w:rPr>
        <w:t xml:space="preserve">, </w:t>
      </w:r>
      <w:proofErr w:type="spellStart"/>
      <w:r w:rsidRPr="00287C58">
        <w:rPr>
          <w:rFonts w:ascii="Calibri" w:eastAsia="Times New Roman" w:hAnsi="Calibri" w:cs="Calibri"/>
          <w:color w:val="000000"/>
          <w:sz w:val="18"/>
        </w:rPr>
        <w:t>Swachh</w:t>
      </w:r>
      <w:proofErr w:type="spellEnd"/>
      <w:r w:rsidRPr="00287C58">
        <w:rPr>
          <w:rFonts w:ascii="Calibri" w:eastAsia="Times New Roman" w:hAnsi="Calibri" w:cs="Calibri"/>
          <w:color w:val="000000"/>
          <w:sz w:val="18"/>
        </w:rPr>
        <w:t xml:space="preserve"> Bharat </w:t>
      </w:r>
      <w:proofErr w:type="spellStart"/>
      <w:r w:rsidRPr="00287C58">
        <w:rPr>
          <w:rFonts w:ascii="Calibri" w:eastAsia="Times New Roman" w:hAnsi="Calibri" w:cs="Calibri"/>
          <w:color w:val="000000"/>
          <w:sz w:val="18"/>
        </w:rPr>
        <w:t>Cess</w:t>
      </w:r>
      <w:proofErr w:type="spellEnd"/>
      <w:r w:rsidRPr="00287C58">
        <w:rPr>
          <w:rFonts w:ascii="Calibri" w:eastAsia="Times New Roman" w:hAnsi="Calibri" w:cs="Calibri"/>
          <w:color w:val="000000"/>
          <w:sz w:val="18"/>
        </w:rPr>
        <w:t xml:space="preserve">, </w:t>
      </w:r>
      <w:proofErr w:type="spellStart"/>
      <w:r w:rsidRPr="00287C58">
        <w:rPr>
          <w:rFonts w:ascii="Calibri" w:eastAsia="Times New Roman" w:hAnsi="Calibri" w:cs="Calibri"/>
          <w:color w:val="000000"/>
          <w:sz w:val="18"/>
        </w:rPr>
        <w:t>Krishi</w:t>
      </w:r>
      <w:proofErr w:type="spellEnd"/>
      <w:r w:rsidRPr="00287C58">
        <w:rPr>
          <w:rFonts w:ascii="Calibri" w:eastAsia="Times New Roman" w:hAnsi="Calibri" w:cs="Calibri"/>
          <w:color w:val="000000"/>
          <w:sz w:val="18"/>
        </w:rPr>
        <w:t xml:space="preserve"> </w:t>
      </w:r>
      <w:proofErr w:type="spellStart"/>
      <w:r w:rsidRPr="00287C58">
        <w:rPr>
          <w:rFonts w:ascii="Calibri" w:eastAsia="Times New Roman" w:hAnsi="Calibri" w:cs="Calibri"/>
          <w:color w:val="000000"/>
          <w:sz w:val="18"/>
        </w:rPr>
        <w:t>Kalyan</w:t>
      </w:r>
      <w:proofErr w:type="spellEnd"/>
      <w:r w:rsidRPr="00287C58">
        <w:rPr>
          <w:rFonts w:ascii="Calibri" w:eastAsia="Times New Roman" w:hAnsi="Calibri" w:cs="Calibri"/>
          <w:color w:val="000000"/>
          <w:sz w:val="18"/>
        </w:rPr>
        <w:t xml:space="preserve"> </w:t>
      </w:r>
      <w:proofErr w:type="spellStart"/>
      <w:r w:rsidRPr="00287C58">
        <w:rPr>
          <w:rFonts w:ascii="Calibri" w:eastAsia="Times New Roman" w:hAnsi="Calibri" w:cs="Calibri"/>
          <w:color w:val="000000"/>
          <w:sz w:val="18"/>
        </w:rPr>
        <w:t>Cess</w:t>
      </w:r>
      <w:proofErr w:type="spellEnd"/>
      <w:r w:rsidRPr="00287C58">
        <w:rPr>
          <w:rFonts w:ascii="Calibri" w:eastAsia="Times New Roman" w:hAnsi="Calibri" w:cs="Calibri"/>
          <w:color w:val="000000"/>
          <w:sz w:val="18"/>
        </w:rPr>
        <w:t xml:space="preserve">, Secondary and Higher Education </w:t>
      </w:r>
      <w:proofErr w:type="spellStart"/>
      <w:r w:rsidRPr="00287C58">
        <w:rPr>
          <w:rFonts w:ascii="Calibri" w:eastAsia="Times New Roman" w:hAnsi="Calibri" w:cs="Calibri"/>
          <w:color w:val="000000"/>
          <w:sz w:val="18"/>
        </w:rPr>
        <w:t>Cess</w:t>
      </w:r>
      <w:proofErr w:type="spellEnd"/>
      <w:r w:rsidRPr="00287C58">
        <w:rPr>
          <w:rFonts w:ascii="Calibri" w:eastAsia="Times New Roman" w:hAnsi="Calibri" w:cs="Calibri"/>
          <w:color w:val="000000"/>
          <w:sz w:val="18"/>
        </w:rPr>
        <w:t xml:space="preserve">, </w:t>
      </w:r>
      <w:proofErr w:type="spellStart"/>
      <w:r w:rsidRPr="00287C58">
        <w:rPr>
          <w:rFonts w:ascii="Calibri" w:eastAsia="Times New Roman" w:hAnsi="Calibri" w:cs="Calibri"/>
          <w:color w:val="000000"/>
          <w:sz w:val="18"/>
        </w:rPr>
        <w:t>Cess</w:t>
      </w:r>
      <w:proofErr w:type="spellEnd"/>
      <w:r w:rsidRPr="00287C58">
        <w:rPr>
          <w:rFonts w:ascii="Calibri" w:eastAsia="Times New Roman" w:hAnsi="Calibri" w:cs="Calibri"/>
          <w:color w:val="000000"/>
          <w:sz w:val="18"/>
        </w:rPr>
        <w:t xml:space="preserve"> on Crude Oil, </w:t>
      </w:r>
      <w:proofErr w:type="spellStart"/>
      <w:r w:rsidRPr="00287C58">
        <w:rPr>
          <w:rFonts w:ascii="Calibri" w:eastAsia="Times New Roman" w:hAnsi="Calibri" w:cs="Calibri"/>
          <w:color w:val="000000"/>
          <w:sz w:val="18"/>
        </w:rPr>
        <w:t>Bidi</w:t>
      </w:r>
      <w:proofErr w:type="spellEnd"/>
      <w:r w:rsidRPr="00287C58">
        <w:rPr>
          <w:rFonts w:ascii="Calibri" w:eastAsia="Times New Roman" w:hAnsi="Calibri" w:cs="Calibri"/>
          <w:color w:val="000000"/>
          <w:sz w:val="18"/>
        </w:rPr>
        <w:t xml:space="preserve">, Sugar, Automobiles, Clean Environmental </w:t>
      </w:r>
      <w:proofErr w:type="spellStart"/>
      <w:r w:rsidRPr="00287C58">
        <w:rPr>
          <w:rFonts w:ascii="Calibri" w:eastAsia="Times New Roman" w:hAnsi="Calibri" w:cs="Calibri"/>
          <w:color w:val="000000"/>
          <w:sz w:val="18"/>
        </w:rPr>
        <w:t>Cess</w:t>
      </w:r>
      <w:proofErr w:type="spellEnd"/>
      <w:r w:rsidRPr="00287C58">
        <w:rPr>
          <w:rFonts w:ascii="Calibri" w:eastAsia="Times New Roman" w:hAnsi="Calibri" w:cs="Calibri"/>
          <w:color w:val="000000"/>
          <w:sz w:val="18"/>
        </w:rPr>
        <w:t>, Surcharge on Pan Masala and Tobacco Products</w:t>
      </w:r>
      <w:r>
        <w:rPr>
          <w:rFonts w:ascii="Calibri" w:eastAsia="Times New Roman" w:hAnsi="Calibri" w:cs="Calibri"/>
          <w:color w:val="000000"/>
          <w:sz w:val="18"/>
        </w:rPr>
        <w:t>,</w:t>
      </w:r>
      <w:r w:rsidRPr="00287C58">
        <w:rPr>
          <w:rFonts w:ascii="Calibri" w:eastAsia="Times New Roman" w:hAnsi="Calibri" w:cs="Calibri"/>
          <w:color w:val="000000"/>
          <w:sz w:val="18"/>
        </w:rPr>
        <w:t xml:space="preserve"> etc</w:t>
      </w:r>
      <w:r>
        <w:rPr>
          <w:rFonts w:ascii="Calibri" w:eastAsia="Times New Roman" w:hAnsi="Calibri" w:cs="Calibri"/>
          <w:color w:val="000000"/>
          <w:sz w:val="18"/>
        </w:rPr>
        <w:t>.</w:t>
      </w:r>
    </w:p>
    <w:p w:rsidR="00C945FC" w:rsidRDefault="00C945FC" w:rsidP="00C945FC">
      <w:pPr>
        <w:ind w:firstLine="720"/>
        <w:jc w:val="both"/>
        <w:rPr>
          <w:rFonts w:ascii="Calibri" w:eastAsia="Times New Roman" w:hAnsi="Calibri" w:cs="Calibri"/>
          <w:color w:val="000000"/>
          <w:sz w:val="18"/>
        </w:rPr>
      </w:pPr>
      <w:r w:rsidRPr="00B5606F">
        <w:rPr>
          <w:rFonts w:ascii="Calibri" w:eastAsia="Times New Roman" w:hAnsi="Calibri" w:cs="Calibri"/>
          <w:i/>
          <w:color w:val="000000"/>
          <w:sz w:val="18"/>
        </w:rPr>
        <w:t>Source</w:t>
      </w:r>
      <w:r>
        <w:rPr>
          <w:rFonts w:ascii="Calibri" w:eastAsia="Times New Roman" w:hAnsi="Calibri" w:cs="Calibri"/>
          <w:color w:val="000000"/>
          <w:sz w:val="18"/>
        </w:rPr>
        <w:t>: Compiled by CBGA, Receipt Budget, various years.</w:t>
      </w:r>
    </w:p>
    <w:p w:rsidR="002F5BFC" w:rsidRDefault="002F5BFC" w:rsidP="002F5BFC">
      <w:pPr>
        <w:spacing w:after="120"/>
        <w:jc w:val="both"/>
        <w:rPr>
          <w:b/>
        </w:rPr>
      </w:pPr>
      <w:r w:rsidRPr="002F5BFC">
        <w:rPr>
          <w:b/>
        </w:rPr>
        <w:t xml:space="preserve">Regional Disparity </w:t>
      </w:r>
      <w:r w:rsidR="00A607BB">
        <w:rPr>
          <w:b/>
        </w:rPr>
        <w:t>in Social Sector Spending</w:t>
      </w:r>
      <w:r w:rsidR="00B5606F" w:rsidRPr="002F5BFC">
        <w:rPr>
          <w:b/>
        </w:rPr>
        <w:t xml:space="preserve"> </w:t>
      </w:r>
    </w:p>
    <w:p w:rsidR="00C945FC" w:rsidRPr="000A716F" w:rsidRDefault="00B5606F" w:rsidP="002F5BFC">
      <w:pPr>
        <w:spacing w:after="120"/>
        <w:jc w:val="both"/>
      </w:pPr>
      <w:r>
        <w:t xml:space="preserve">Following the implementation of the Fourteenth Finance Commission (FFC) recommendations </w:t>
      </w:r>
      <w:r w:rsidR="00C945FC">
        <w:t xml:space="preserve">the Union budget allocations for social sectors need to be seen in </w:t>
      </w:r>
      <w:r>
        <w:t>conjunction</w:t>
      </w:r>
      <w:r w:rsidR="00C945FC">
        <w:t xml:space="preserve"> with the State Budgets.  An analysis </w:t>
      </w:r>
      <w:r>
        <w:t xml:space="preserve">conducted </w:t>
      </w:r>
      <w:r w:rsidR="00C945FC">
        <w:t xml:space="preserve">by CBGA </w:t>
      </w:r>
      <w:r>
        <w:t>for ten states</w:t>
      </w:r>
      <w:r w:rsidRPr="00136A56">
        <w:t xml:space="preserve"> </w:t>
      </w:r>
      <w:r>
        <w:t xml:space="preserve">has </w:t>
      </w:r>
      <w:r w:rsidR="00C945FC" w:rsidRPr="00136A56">
        <w:t>examin</w:t>
      </w:r>
      <w:r w:rsidR="00C945FC">
        <w:t>e</w:t>
      </w:r>
      <w:r>
        <w:t>d</w:t>
      </w:r>
      <w:r w:rsidR="00C945FC" w:rsidRPr="00136A56">
        <w:t xml:space="preserve"> the priorities emerging in State Budgets </w:t>
      </w:r>
      <w:r>
        <w:t>subsequent to the adoption of</w:t>
      </w:r>
      <w:r w:rsidR="00C945FC">
        <w:t xml:space="preserve"> the FFC recommendations. It shows that</w:t>
      </w:r>
      <w:r w:rsidR="00C945FC" w:rsidRPr="00B1137C">
        <w:rPr>
          <w:rFonts w:cstheme="minorHAnsi"/>
        </w:rPr>
        <w:t xml:space="preserve"> per capita </w:t>
      </w:r>
      <w:r w:rsidR="00C945FC">
        <w:rPr>
          <w:rFonts w:cstheme="minorHAnsi"/>
        </w:rPr>
        <w:t xml:space="preserve">budget </w:t>
      </w:r>
      <w:r w:rsidR="00C945FC" w:rsidRPr="00B1137C">
        <w:rPr>
          <w:rFonts w:cstheme="minorHAnsi"/>
        </w:rPr>
        <w:t xml:space="preserve">for </w:t>
      </w:r>
      <w:r w:rsidR="00C945FC">
        <w:rPr>
          <w:rFonts w:cstheme="minorHAnsi"/>
        </w:rPr>
        <w:t>‘</w:t>
      </w:r>
      <w:r w:rsidR="00C945FC" w:rsidRPr="00B1137C">
        <w:rPr>
          <w:rFonts w:cstheme="minorHAnsi"/>
        </w:rPr>
        <w:t>Social Sectors, Rural Developmen</w:t>
      </w:r>
      <w:r w:rsidR="00C945FC">
        <w:rPr>
          <w:rFonts w:cstheme="minorHAnsi"/>
        </w:rPr>
        <w:t xml:space="preserve">t, Agriculture &amp; Allied Sectors’ </w:t>
      </w:r>
      <w:r w:rsidR="00C945FC" w:rsidRPr="00B1137C">
        <w:rPr>
          <w:rFonts w:cstheme="minorHAnsi"/>
        </w:rPr>
        <w:t xml:space="preserve">in 2016-17 </w:t>
      </w:r>
      <w:r w:rsidR="009B36D9">
        <w:rPr>
          <w:rFonts w:cstheme="minorHAnsi"/>
        </w:rPr>
        <w:t>(</w:t>
      </w:r>
      <w:r w:rsidR="00C945FC" w:rsidRPr="00B1137C">
        <w:rPr>
          <w:rFonts w:cstheme="minorHAnsi"/>
        </w:rPr>
        <w:t>BE</w:t>
      </w:r>
      <w:r w:rsidR="009B36D9">
        <w:rPr>
          <w:rFonts w:cstheme="minorHAnsi"/>
        </w:rPr>
        <w:t>)</w:t>
      </w:r>
      <w:r w:rsidR="00C945FC" w:rsidRPr="00B1137C">
        <w:rPr>
          <w:rFonts w:cstheme="minorHAnsi"/>
        </w:rPr>
        <w:t xml:space="preserve"> </w:t>
      </w:r>
      <w:proofErr w:type="gramStart"/>
      <w:r w:rsidR="00C945FC" w:rsidRPr="00B1137C">
        <w:rPr>
          <w:rFonts w:cstheme="minorHAnsi"/>
        </w:rPr>
        <w:t>varies</w:t>
      </w:r>
      <w:proofErr w:type="gramEnd"/>
      <w:r w:rsidR="00C945FC" w:rsidRPr="00B1137C">
        <w:rPr>
          <w:rFonts w:cstheme="minorHAnsi"/>
        </w:rPr>
        <w:t xml:space="preserve"> from</w:t>
      </w:r>
      <w:r w:rsidR="00C945FC">
        <w:rPr>
          <w:rFonts w:cstheme="minorHAnsi"/>
        </w:rPr>
        <w:t xml:space="preserve"> </w:t>
      </w:r>
      <w:proofErr w:type="spellStart"/>
      <w:r w:rsidR="00C945FC">
        <w:rPr>
          <w:rFonts w:cstheme="minorHAnsi"/>
        </w:rPr>
        <w:t>Rs</w:t>
      </w:r>
      <w:proofErr w:type="spellEnd"/>
      <w:r w:rsidR="00C945FC">
        <w:rPr>
          <w:rFonts w:cstheme="minorHAnsi"/>
        </w:rPr>
        <w:t>. 6</w:t>
      </w:r>
      <w:r w:rsidR="009B36D9">
        <w:rPr>
          <w:rFonts w:cstheme="minorHAnsi"/>
        </w:rPr>
        <w:t>,</w:t>
      </w:r>
      <w:r w:rsidR="00C945FC">
        <w:rPr>
          <w:rFonts w:cstheme="minorHAnsi"/>
        </w:rPr>
        <w:t xml:space="preserve">287 to </w:t>
      </w:r>
      <w:proofErr w:type="spellStart"/>
      <w:r w:rsidR="00C945FC">
        <w:rPr>
          <w:rFonts w:cstheme="minorHAnsi"/>
        </w:rPr>
        <w:t>Rs</w:t>
      </w:r>
      <w:proofErr w:type="spellEnd"/>
      <w:r w:rsidR="00C945FC">
        <w:rPr>
          <w:rFonts w:cstheme="minorHAnsi"/>
        </w:rPr>
        <w:t>. 14</w:t>
      </w:r>
      <w:r w:rsidR="009B36D9">
        <w:rPr>
          <w:rFonts w:cstheme="minorHAnsi"/>
        </w:rPr>
        <w:t>,</w:t>
      </w:r>
      <w:r w:rsidR="00C945FC">
        <w:rPr>
          <w:rFonts w:cstheme="minorHAnsi"/>
        </w:rPr>
        <w:t xml:space="preserve">223. </w:t>
      </w:r>
      <w:r w:rsidR="00C945FC" w:rsidRPr="0060768C">
        <w:t xml:space="preserve">Bihar and UP spend around </w:t>
      </w:r>
      <w:proofErr w:type="spellStart"/>
      <w:r w:rsidR="00C945FC" w:rsidRPr="0060768C">
        <w:t>Rs</w:t>
      </w:r>
      <w:proofErr w:type="spellEnd"/>
      <w:r w:rsidR="00C945FC" w:rsidRPr="0060768C">
        <w:t>. 6</w:t>
      </w:r>
      <w:r w:rsidR="009B36D9">
        <w:t>,</w:t>
      </w:r>
      <w:r w:rsidR="00C945FC" w:rsidRPr="0060768C">
        <w:t>000 per capita per annum</w:t>
      </w:r>
      <w:r w:rsidR="009B36D9">
        <w:t>,</w:t>
      </w:r>
      <w:r w:rsidR="00C945FC">
        <w:t xml:space="preserve"> while</w:t>
      </w:r>
      <w:r w:rsidR="00C945FC" w:rsidRPr="0060768C">
        <w:t xml:space="preserve"> </w:t>
      </w:r>
      <w:proofErr w:type="spellStart"/>
      <w:r w:rsidR="00C945FC" w:rsidRPr="0060768C">
        <w:t>Odisha</w:t>
      </w:r>
      <w:proofErr w:type="spellEnd"/>
      <w:r w:rsidR="00C945FC" w:rsidRPr="0060768C">
        <w:t xml:space="preserve"> at </w:t>
      </w:r>
      <w:proofErr w:type="spellStart"/>
      <w:r w:rsidR="00C945FC" w:rsidRPr="0060768C">
        <w:t>Rs</w:t>
      </w:r>
      <w:proofErr w:type="spellEnd"/>
      <w:r w:rsidR="00C945FC" w:rsidRPr="0060768C">
        <w:t>. 13</w:t>
      </w:r>
      <w:r w:rsidR="009B36D9">
        <w:t>,</w:t>
      </w:r>
      <w:r w:rsidR="00C945FC" w:rsidRPr="0060768C">
        <w:t xml:space="preserve">000, and Chhattisgarh at </w:t>
      </w:r>
      <w:proofErr w:type="spellStart"/>
      <w:r w:rsidR="00C945FC" w:rsidRPr="0060768C">
        <w:t>Rs</w:t>
      </w:r>
      <w:proofErr w:type="spellEnd"/>
      <w:r w:rsidR="00C945FC" w:rsidRPr="0060768C">
        <w:t>. 14</w:t>
      </w:r>
      <w:r w:rsidR="009B36D9">
        <w:t>,</w:t>
      </w:r>
      <w:r w:rsidR="00C945FC" w:rsidRPr="0060768C">
        <w:t xml:space="preserve">000 </w:t>
      </w:r>
      <w:r w:rsidR="00C945FC">
        <w:t xml:space="preserve">have shown higher </w:t>
      </w:r>
      <w:r w:rsidR="00C945FC" w:rsidRPr="0060768C">
        <w:t>spending than developed States like Maharashtra and Tamil Nadu.</w:t>
      </w:r>
      <w:r w:rsidR="00C945FC" w:rsidRPr="000F3133">
        <w:t xml:space="preserve"> </w:t>
      </w:r>
      <w:r w:rsidR="00C945FC">
        <w:t xml:space="preserve">Thus, </w:t>
      </w:r>
      <w:r w:rsidR="00C945FC" w:rsidRPr="00252687">
        <w:t>public spending on critical sectors</w:t>
      </w:r>
      <w:r w:rsidR="00C945FC">
        <w:t xml:space="preserve"> continues to</w:t>
      </w:r>
      <w:r w:rsidR="00C945FC" w:rsidRPr="00252687">
        <w:t xml:space="preserve"> lag behind</w:t>
      </w:r>
      <w:r w:rsidR="00C945FC">
        <w:t xml:space="preserve"> in s</w:t>
      </w:r>
      <w:r w:rsidR="00C945FC" w:rsidRPr="00252687">
        <w:t>ome of the poorer States</w:t>
      </w:r>
      <w:r w:rsidR="00C945FC">
        <w:t xml:space="preserve">. </w:t>
      </w:r>
      <w:r w:rsidR="009B36D9">
        <w:t>In order to mitigate these disparities,</w:t>
      </w:r>
      <w:r w:rsidR="00C945FC">
        <w:t xml:space="preserve"> the Union Government should </w:t>
      </w:r>
      <w:r w:rsidR="009B36D9">
        <w:t>step up spending on</w:t>
      </w:r>
      <w:r w:rsidR="00C945FC" w:rsidRPr="00C90B3F">
        <w:t xml:space="preserve"> social sectors </w:t>
      </w:r>
      <w:r w:rsidR="009B36D9">
        <w:t>through centrally sponsored schemes</w:t>
      </w:r>
      <w:r w:rsidR="00C945FC">
        <w:t xml:space="preserve">. </w:t>
      </w:r>
    </w:p>
    <w:p w:rsidR="00C945FC" w:rsidRDefault="00C945FC" w:rsidP="00C945FC">
      <w:pPr>
        <w:spacing w:line="240" w:lineRule="auto"/>
        <w:contextualSpacing/>
        <w:jc w:val="center"/>
        <w:rPr>
          <w:rFonts w:cstheme="minorHAnsi"/>
          <w:b/>
          <w:bCs/>
        </w:rPr>
      </w:pPr>
      <w:r w:rsidRPr="00E55D99">
        <w:rPr>
          <w:rFonts w:cstheme="minorHAnsi"/>
          <w:b/>
          <w:bCs/>
        </w:rPr>
        <w:t xml:space="preserve">Table </w:t>
      </w:r>
      <w:r>
        <w:rPr>
          <w:rFonts w:cstheme="minorHAnsi"/>
          <w:b/>
          <w:bCs/>
        </w:rPr>
        <w:t>1.4</w:t>
      </w:r>
      <w:r w:rsidRPr="00E55D99">
        <w:rPr>
          <w:rFonts w:cstheme="minorHAnsi"/>
          <w:b/>
          <w:bCs/>
        </w:rPr>
        <w:t xml:space="preserve">: </w:t>
      </w:r>
      <w:r>
        <w:rPr>
          <w:rFonts w:cstheme="minorHAnsi"/>
          <w:b/>
          <w:bCs/>
        </w:rPr>
        <w:t xml:space="preserve">States’ </w:t>
      </w:r>
      <w:r w:rsidRPr="00E55D99">
        <w:rPr>
          <w:rFonts w:cstheme="minorHAnsi"/>
          <w:b/>
          <w:bCs/>
        </w:rPr>
        <w:t xml:space="preserve">Per Capita </w:t>
      </w:r>
      <w:r>
        <w:rPr>
          <w:rFonts w:cstheme="minorHAnsi"/>
          <w:b/>
          <w:bCs/>
        </w:rPr>
        <w:t>Spending</w:t>
      </w:r>
      <w:r w:rsidRPr="00E55D99">
        <w:rPr>
          <w:rFonts w:cstheme="minorHAnsi"/>
          <w:b/>
          <w:bCs/>
        </w:rPr>
        <w:t xml:space="preserve"> for </w:t>
      </w:r>
      <w:r>
        <w:rPr>
          <w:rFonts w:cstheme="minorHAnsi"/>
          <w:b/>
          <w:bCs/>
        </w:rPr>
        <w:t>‘</w:t>
      </w:r>
      <w:r w:rsidRPr="00E55D99">
        <w:rPr>
          <w:rFonts w:cstheme="minorHAnsi"/>
          <w:b/>
          <w:bCs/>
        </w:rPr>
        <w:t>Social Sectors</w:t>
      </w:r>
      <w:r>
        <w:rPr>
          <w:rFonts w:cstheme="minorHAnsi"/>
          <w:b/>
          <w:bCs/>
        </w:rPr>
        <w:t>, Rural Development,</w:t>
      </w:r>
    </w:p>
    <w:p w:rsidR="00C945FC" w:rsidRDefault="00C945FC" w:rsidP="00C945FC">
      <w:pPr>
        <w:spacing w:line="240" w:lineRule="auto"/>
        <w:contextualSpacing/>
        <w:jc w:val="center"/>
        <w:rPr>
          <w:rFonts w:cstheme="minorHAnsi"/>
          <w:b/>
          <w:bCs/>
        </w:rPr>
      </w:pPr>
      <w:proofErr w:type="gramStart"/>
      <w:r>
        <w:rPr>
          <w:rFonts w:cstheme="minorHAnsi"/>
          <w:b/>
          <w:bCs/>
        </w:rPr>
        <w:t xml:space="preserve">Agriculture &amp; Allied Sectors’ </w:t>
      </w:r>
      <w:r w:rsidRPr="00E55D99">
        <w:rPr>
          <w:rFonts w:cstheme="minorHAnsi"/>
          <w:b/>
          <w:bCs/>
        </w:rPr>
        <w:t xml:space="preserve">(in </w:t>
      </w:r>
      <w:proofErr w:type="spellStart"/>
      <w:r w:rsidRPr="00E55D99">
        <w:rPr>
          <w:rFonts w:cstheme="minorHAnsi"/>
          <w:b/>
          <w:bCs/>
        </w:rPr>
        <w:t>Rs</w:t>
      </w:r>
      <w:proofErr w:type="spellEnd"/>
      <w:r>
        <w:rPr>
          <w:rFonts w:cstheme="minorHAnsi"/>
          <w:b/>
          <w:bCs/>
        </w:rPr>
        <w:t>.</w:t>
      </w:r>
      <w:r w:rsidRPr="00E55D99">
        <w:rPr>
          <w:rFonts w:cstheme="minorHAnsi"/>
          <w:b/>
          <w:bCs/>
        </w:rPr>
        <w:t>)</w:t>
      </w:r>
      <w:proofErr w:type="gramEnd"/>
    </w:p>
    <w:p w:rsidR="009B36D9" w:rsidRPr="00E55D99" w:rsidRDefault="009B36D9" w:rsidP="00C945FC">
      <w:pPr>
        <w:spacing w:line="240" w:lineRule="auto"/>
        <w:contextualSpacing/>
        <w:jc w:val="center"/>
        <w:rPr>
          <w:rFonts w:cstheme="minorHAnsi"/>
          <w:b/>
          <w:bCs/>
        </w:rPr>
      </w:pPr>
    </w:p>
    <w:tbl>
      <w:tblPr>
        <w:tblW w:w="8228" w:type="dxa"/>
        <w:tblInd w:w="900" w:type="dxa"/>
        <w:tblLook w:val="04A0" w:firstRow="1" w:lastRow="0" w:firstColumn="1" w:lastColumn="0" w:noHBand="0" w:noVBand="1"/>
      </w:tblPr>
      <w:tblGrid>
        <w:gridCol w:w="1914"/>
        <w:gridCol w:w="1721"/>
        <w:gridCol w:w="2541"/>
        <w:gridCol w:w="2052"/>
      </w:tblGrid>
      <w:tr w:rsidR="00C945FC" w:rsidRPr="00E55D99" w:rsidTr="00C945FC">
        <w:trPr>
          <w:trHeight w:val="283"/>
        </w:trPr>
        <w:tc>
          <w:tcPr>
            <w:tcW w:w="191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945FC" w:rsidRPr="00E55D99" w:rsidRDefault="00C945FC" w:rsidP="00C945FC">
            <w:pPr>
              <w:spacing w:after="0"/>
              <w:jc w:val="both"/>
              <w:rPr>
                <w:rFonts w:eastAsia="Times New Roman" w:cstheme="minorHAnsi"/>
                <w:b/>
                <w:bCs/>
                <w:i/>
                <w:iCs/>
                <w:lang w:val="en-IN" w:eastAsia="en-IN" w:bidi="hi-IN"/>
              </w:rPr>
            </w:pPr>
          </w:p>
        </w:tc>
        <w:tc>
          <w:tcPr>
            <w:tcW w:w="1721" w:type="dxa"/>
            <w:tcBorders>
              <w:top w:val="single" w:sz="8" w:space="0" w:color="auto"/>
              <w:left w:val="nil"/>
              <w:bottom w:val="single" w:sz="8" w:space="0" w:color="auto"/>
              <w:right w:val="single" w:sz="8" w:space="0" w:color="auto"/>
            </w:tcBorders>
            <w:shd w:val="clear" w:color="auto" w:fill="auto"/>
            <w:noWrap/>
            <w:vAlign w:val="bottom"/>
            <w:hideMark/>
          </w:tcPr>
          <w:p w:rsidR="00C945FC" w:rsidRPr="009B36D9" w:rsidRDefault="00C945FC" w:rsidP="009B36D9">
            <w:pPr>
              <w:spacing w:after="0"/>
              <w:jc w:val="center"/>
              <w:rPr>
                <w:rFonts w:eastAsia="Times New Roman" w:cstheme="minorHAnsi"/>
                <w:b/>
                <w:bCs/>
                <w:iCs/>
                <w:lang w:val="en-IN" w:eastAsia="en-IN" w:bidi="hi-IN"/>
              </w:rPr>
            </w:pPr>
            <w:r w:rsidRPr="009B36D9">
              <w:rPr>
                <w:rFonts w:eastAsia="Times New Roman" w:cstheme="minorHAnsi"/>
                <w:b/>
                <w:bCs/>
                <w:iCs/>
                <w:lang w:eastAsia="en-IN" w:bidi="hi-IN"/>
              </w:rPr>
              <w:t xml:space="preserve">2014-15 </w:t>
            </w:r>
            <w:r w:rsidR="009B36D9">
              <w:rPr>
                <w:rFonts w:eastAsia="Times New Roman" w:cstheme="minorHAnsi"/>
                <w:b/>
                <w:bCs/>
                <w:iCs/>
                <w:lang w:eastAsia="en-IN" w:bidi="hi-IN"/>
              </w:rPr>
              <w:t>(</w:t>
            </w:r>
            <w:r w:rsidRPr="009B36D9">
              <w:rPr>
                <w:rFonts w:eastAsia="Times New Roman" w:cstheme="minorHAnsi"/>
                <w:b/>
                <w:bCs/>
                <w:iCs/>
                <w:lang w:eastAsia="en-IN" w:bidi="hi-IN"/>
              </w:rPr>
              <w:t>A</w:t>
            </w:r>
            <w:r w:rsidR="009B36D9">
              <w:rPr>
                <w:rFonts w:eastAsia="Times New Roman" w:cstheme="minorHAnsi"/>
                <w:b/>
                <w:bCs/>
                <w:iCs/>
                <w:lang w:eastAsia="en-IN" w:bidi="hi-IN"/>
              </w:rPr>
              <w:t>)</w:t>
            </w:r>
          </w:p>
        </w:tc>
        <w:tc>
          <w:tcPr>
            <w:tcW w:w="2541" w:type="dxa"/>
            <w:tcBorders>
              <w:top w:val="single" w:sz="8" w:space="0" w:color="auto"/>
              <w:left w:val="nil"/>
              <w:bottom w:val="single" w:sz="8" w:space="0" w:color="auto"/>
              <w:right w:val="single" w:sz="8" w:space="0" w:color="auto"/>
            </w:tcBorders>
            <w:shd w:val="clear" w:color="auto" w:fill="auto"/>
            <w:noWrap/>
            <w:vAlign w:val="bottom"/>
            <w:hideMark/>
          </w:tcPr>
          <w:p w:rsidR="00C945FC" w:rsidRPr="009B36D9" w:rsidRDefault="00C945FC" w:rsidP="00C945FC">
            <w:pPr>
              <w:spacing w:after="0"/>
              <w:jc w:val="center"/>
              <w:rPr>
                <w:rFonts w:eastAsia="Times New Roman" w:cstheme="minorHAnsi"/>
                <w:b/>
                <w:bCs/>
                <w:iCs/>
                <w:lang w:val="en-IN" w:eastAsia="en-IN" w:bidi="hi-IN"/>
              </w:rPr>
            </w:pPr>
            <w:r w:rsidRPr="009B36D9">
              <w:rPr>
                <w:rFonts w:eastAsia="Times New Roman" w:cstheme="minorHAnsi"/>
                <w:b/>
                <w:bCs/>
                <w:iCs/>
                <w:lang w:eastAsia="en-IN" w:bidi="hi-IN"/>
              </w:rPr>
              <w:t xml:space="preserve">2015-16 </w:t>
            </w:r>
            <w:r w:rsidR="009B36D9">
              <w:rPr>
                <w:rFonts w:eastAsia="Times New Roman" w:cstheme="minorHAnsi"/>
                <w:b/>
                <w:bCs/>
                <w:iCs/>
                <w:lang w:eastAsia="en-IN" w:bidi="hi-IN"/>
              </w:rPr>
              <w:t>(</w:t>
            </w:r>
            <w:r w:rsidRPr="009B36D9">
              <w:rPr>
                <w:rFonts w:eastAsia="Times New Roman" w:cstheme="minorHAnsi"/>
                <w:b/>
                <w:bCs/>
                <w:iCs/>
                <w:lang w:eastAsia="en-IN" w:bidi="hi-IN"/>
              </w:rPr>
              <w:t>RE</w:t>
            </w:r>
            <w:r w:rsidR="009B36D9">
              <w:rPr>
                <w:rFonts w:eastAsia="Times New Roman" w:cstheme="minorHAnsi"/>
                <w:b/>
                <w:bCs/>
                <w:iCs/>
                <w:lang w:eastAsia="en-IN" w:bidi="hi-IN"/>
              </w:rPr>
              <w:t>)</w:t>
            </w:r>
          </w:p>
        </w:tc>
        <w:tc>
          <w:tcPr>
            <w:tcW w:w="2052" w:type="dxa"/>
            <w:tcBorders>
              <w:top w:val="single" w:sz="8" w:space="0" w:color="auto"/>
              <w:left w:val="nil"/>
              <w:bottom w:val="single" w:sz="8" w:space="0" w:color="auto"/>
              <w:right w:val="single" w:sz="8" w:space="0" w:color="auto"/>
            </w:tcBorders>
            <w:shd w:val="clear" w:color="auto" w:fill="auto"/>
            <w:noWrap/>
            <w:vAlign w:val="bottom"/>
            <w:hideMark/>
          </w:tcPr>
          <w:p w:rsidR="00C945FC" w:rsidRPr="009B36D9" w:rsidRDefault="00C945FC" w:rsidP="00C945FC">
            <w:pPr>
              <w:spacing w:after="0"/>
              <w:jc w:val="center"/>
              <w:rPr>
                <w:rFonts w:eastAsia="Times New Roman" w:cstheme="minorHAnsi"/>
                <w:b/>
                <w:bCs/>
                <w:iCs/>
                <w:lang w:val="en-IN" w:eastAsia="en-IN" w:bidi="hi-IN"/>
              </w:rPr>
            </w:pPr>
            <w:r w:rsidRPr="009B36D9">
              <w:rPr>
                <w:rFonts w:eastAsia="Times New Roman" w:cstheme="minorHAnsi"/>
                <w:b/>
                <w:bCs/>
                <w:iCs/>
                <w:lang w:eastAsia="en-IN" w:bidi="hi-IN"/>
              </w:rPr>
              <w:t xml:space="preserve">2016-17 </w:t>
            </w:r>
            <w:r w:rsidR="009B36D9">
              <w:rPr>
                <w:rFonts w:eastAsia="Times New Roman" w:cstheme="minorHAnsi"/>
                <w:b/>
                <w:bCs/>
                <w:iCs/>
                <w:lang w:eastAsia="en-IN" w:bidi="hi-IN"/>
              </w:rPr>
              <w:t>(</w:t>
            </w:r>
            <w:r w:rsidRPr="009B36D9">
              <w:rPr>
                <w:rFonts w:eastAsia="Times New Roman" w:cstheme="minorHAnsi"/>
                <w:b/>
                <w:bCs/>
                <w:iCs/>
                <w:lang w:eastAsia="en-IN" w:bidi="hi-IN"/>
              </w:rPr>
              <w:t>BE</w:t>
            </w:r>
            <w:r w:rsidR="009B36D9">
              <w:rPr>
                <w:rFonts w:eastAsia="Times New Roman" w:cstheme="minorHAnsi"/>
                <w:b/>
                <w:bCs/>
                <w:iCs/>
                <w:lang w:eastAsia="en-IN" w:bidi="hi-IN"/>
              </w:rPr>
              <w:t>)</w:t>
            </w:r>
          </w:p>
        </w:tc>
      </w:tr>
      <w:tr w:rsidR="00C945FC" w:rsidRPr="00E55D99" w:rsidTr="00C945FC">
        <w:trPr>
          <w:trHeight w:val="178"/>
        </w:trPr>
        <w:tc>
          <w:tcPr>
            <w:tcW w:w="1914" w:type="dxa"/>
            <w:tcBorders>
              <w:top w:val="nil"/>
              <w:left w:val="single" w:sz="8" w:space="0" w:color="auto"/>
              <w:bottom w:val="single" w:sz="8" w:space="0" w:color="auto"/>
              <w:right w:val="single" w:sz="8" w:space="0" w:color="auto"/>
            </w:tcBorders>
            <w:shd w:val="clear" w:color="auto" w:fill="auto"/>
            <w:noWrap/>
            <w:vAlign w:val="bottom"/>
            <w:hideMark/>
          </w:tcPr>
          <w:p w:rsidR="00C945FC" w:rsidRPr="00E55D99" w:rsidRDefault="00C945FC" w:rsidP="00C945FC">
            <w:pPr>
              <w:spacing w:after="0"/>
              <w:jc w:val="both"/>
              <w:rPr>
                <w:rFonts w:eastAsia="Times New Roman" w:cstheme="minorHAnsi"/>
                <w:lang w:val="en-IN" w:eastAsia="en-IN" w:bidi="hi-IN"/>
              </w:rPr>
            </w:pPr>
            <w:r w:rsidRPr="00E55D99">
              <w:rPr>
                <w:rFonts w:eastAsia="Times New Roman" w:cstheme="minorHAnsi"/>
                <w:lang w:eastAsia="en-IN" w:bidi="hi-IN"/>
              </w:rPr>
              <w:t>Bihar</w:t>
            </w:r>
          </w:p>
        </w:tc>
        <w:tc>
          <w:tcPr>
            <w:tcW w:w="1721"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4</w:t>
            </w:r>
            <w:r w:rsidR="002F5BFC">
              <w:rPr>
                <w:rFonts w:eastAsia="Times New Roman" w:cstheme="minorHAnsi"/>
                <w:lang w:eastAsia="en-IN" w:bidi="hi-IN"/>
              </w:rPr>
              <w:t>,</w:t>
            </w:r>
            <w:r w:rsidRPr="00E55D99">
              <w:rPr>
                <w:rFonts w:eastAsia="Times New Roman" w:cstheme="minorHAnsi"/>
                <w:lang w:eastAsia="en-IN" w:bidi="hi-IN"/>
              </w:rPr>
              <w:t>168</w:t>
            </w:r>
          </w:p>
        </w:tc>
        <w:tc>
          <w:tcPr>
            <w:tcW w:w="2541"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6</w:t>
            </w:r>
            <w:r w:rsidR="002F5BFC">
              <w:rPr>
                <w:rFonts w:eastAsia="Times New Roman" w:cstheme="minorHAnsi"/>
                <w:lang w:eastAsia="en-IN" w:bidi="hi-IN"/>
              </w:rPr>
              <w:t>,</w:t>
            </w:r>
            <w:r w:rsidRPr="00E55D99">
              <w:rPr>
                <w:rFonts w:eastAsia="Times New Roman" w:cstheme="minorHAnsi"/>
                <w:lang w:eastAsia="en-IN" w:bidi="hi-IN"/>
              </w:rPr>
              <w:t>354</w:t>
            </w:r>
          </w:p>
        </w:tc>
        <w:tc>
          <w:tcPr>
            <w:tcW w:w="2052"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6</w:t>
            </w:r>
            <w:r w:rsidR="002F5BFC">
              <w:rPr>
                <w:rFonts w:eastAsia="Times New Roman" w:cstheme="minorHAnsi"/>
                <w:lang w:eastAsia="en-IN" w:bidi="hi-IN"/>
              </w:rPr>
              <w:t>,</w:t>
            </w:r>
            <w:r w:rsidRPr="00E55D99">
              <w:rPr>
                <w:rFonts w:eastAsia="Times New Roman" w:cstheme="minorHAnsi"/>
                <w:lang w:eastAsia="en-IN" w:bidi="hi-IN"/>
              </w:rPr>
              <w:t>287</w:t>
            </w:r>
          </w:p>
        </w:tc>
      </w:tr>
      <w:tr w:rsidR="00C945FC" w:rsidRPr="00E55D99" w:rsidTr="00C945FC">
        <w:trPr>
          <w:trHeight w:val="283"/>
        </w:trPr>
        <w:tc>
          <w:tcPr>
            <w:tcW w:w="1914" w:type="dxa"/>
            <w:tcBorders>
              <w:top w:val="nil"/>
              <w:left w:val="single" w:sz="8" w:space="0" w:color="auto"/>
              <w:bottom w:val="single" w:sz="8" w:space="0" w:color="auto"/>
              <w:right w:val="single" w:sz="8" w:space="0" w:color="auto"/>
            </w:tcBorders>
            <w:shd w:val="clear" w:color="auto" w:fill="auto"/>
            <w:noWrap/>
            <w:vAlign w:val="bottom"/>
            <w:hideMark/>
          </w:tcPr>
          <w:p w:rsidR="00C945FC" w:rsidRPr="00E55D99" w:rsidRDefault="00C945FC" w:rsidP="00C945FC">
            <w:pPr>
              <w:spacing w:after="0"/>
              <w:jc w:val="both"/>
              <w:rPr>
                <w:rFonts w:eastAsia="Times New Roman" w:cstheme="minorHAnsi"/>
                <w:lang w:val="en-IN" w:eastAsia="en-IN" w:bidi="hi-IN"/>
              </w:rPr>
            </w:pPr>
            <w:r w:rsidRPr="00E55D99">
              <w:rPr>
                <w:rFonts w:eastAsia="Times New Roman" w:cstheme="minorHAnsi"/>
                <w:lang w:eastAsia="en-IN" w:bidi="hi-IN"/>
              </w:rPr>
              <w:t>Uttar Pradesh</w:t>
            </w:r>
          </w:p>
        </w:tc>
        <w:tc>
          <w:tcPr>
            <w:tcW w:w="1721"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4</w:t>
            </w:r>
            <w:r w:rsidR="002F5BFC">
              <w:rPr>
                <w:rFonts w:eastAsia="Times New Roman" w:cstheme="minorHAnsi"/>
                <w:lang w:eastAsia="en-IN" w:bidi="hi-IN"/>
              </w:rPr>
              <w:t>,</w:t>
            </w:r>
            <w:r w:rsidRPr="00E55D99">
              <w:rPr>
                <w:rFonts w:eastAsia="Times New Roman" w:cstheme="minorHAnsi"/>
                <w:lang w:eastAsia="en-IN" w:bidi="hi-IN"/>
              </w:rPr>
              <w:t>471</w:t>
            </w:r>
          </w:p>
        </w:tc>
        <w:tc>
          <w:tcPr>
            <w:tcW w:w="2541"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5</w:t>
            </w:r>
            <w:r w:rsidR="002F5BFC">
              <w:rPr>
                <w:rFonts w:eastAsia="Times New Roman" w:cstheme="minorHAnsi"/>
                <w:lang w:eastAsia="en-IN" w:bidi="hi-IN"/>
              </w:rPr>
              <w:t>,</w:t>
            </w:r>
            <w:r w:rsidRPr="00E55D99">
              <w:rPr>
                <w:rFonts w:eastAsia="Times New Roman" w:cstheme="minorHAnsi"/>
                <w:lang w:eastAsia="en-IN" w:bidi="hi-IN"/>
              </w:rPr>
              <w:t>788</w:t>
            </w:r>
          </w:p>
        </w:tc>
        <w:tc>
          <w:tcPr>
            <w:tcW w:w="2052"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6</w:t>
            </w:r>
            <w:r w:rsidR="002F5BFC">
              <w:rPr>
                <w:rFonts w:eastAsia="Times New Roman" w:cstheme="minorHAnsi"/>
                <w:lang w:eastAsia="en-IN" w:bidi="hi-IN"/>
              </w:rPr>
              <w:t>,</w:t>
            </w:r>
            <w:r w:rsidRPr="00E55D99">
              <w:rPr>
                <w:rFonts w:eastAsia="Times New Roman" w:cstheme="minorHAnsi"/>
                <w:lang w:eastAsia="en-IN" w:bidi="hi-IN"/>
              </w:rPr>
              <w:t>436</w:t>
            </w:r>
          </w:p>
        </w:tc>
      </w:tr>
      <w:tr w:rsidR="00C945FC" w:rsidRPr="00E55D99" w:rsidTr="00C945FC">
        <w:trPr>
          <w:trHeight w:val="283"/>
        </w:trPr>
        <w:tc>
          <w:tcPr>
            <w:tcW w:w="1914" w:type="dxa"/>
            <w:tcBorders>
              <w:top w:val="nil"/>
              <w:left w:val="single" w:sz="8" w:space="0" w:color="auto"/>
              <w:bottom w:val="single" w:sz="8" w:space="0" w:color="auto"/>
              <w:right w:val="single" w:sz="8" w:space="0" w:color="auto"/>
            </w:tcBorders>
            <w:shd w:val="clear" w:color="auto" w:fill="auto"/>
            <w:noWrap/>
            <w:vAlign w:val="bottom"/>
            <w:hideMark/>
          </w:tcPr>
          <w:p w:rsidR="00C945FC" w:rsidRPr="00E55D99" w:rsidRDefault="00C945FC" w:rsidP="00C945FC">
            <w:pPr>
              <w:spacing w:after="0"/>
              <w:jc w:val="both"/>
              <w:rPr>
                <w:rFonts w:eastAsia="Times New Roman" w:cstheme="minorHAnsi"/>
                <w:lang w:val="en-IN" w:eastAsia="en-IN" w:bidi="hi-IN"/>
              </w:rPr>
            </w:pPr>
            <w:r w:rsidRPr="00E55D99">
              <w:rPr>
                <w:rFonts w:eastAsia="Times New Roman" w:cstheme="minorHAnsi"/>
                <w:lang w:eastAsia="en-IN" w:bidi="hi-IN"/>
              </w:rPr>
              <w:t>Jharkhand</w:t>
            </w:r>
          </w:p>
        </w:tc>
        <w:tc>
          <w:tcPr>
            <w:tcW w:w="1721"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7</w:t>
            </w:r>
            <w:r w:rsidR="002F5BFC">
              <w:rPr>
                <w:rFonts w:eastAsia="Times New Roman" w:cstheme="minorHAnsi"/>
                <w:lang w:eastAsia="en-IN" w:bidi="hi-IN"/>
              </w:rPr>
              <w:t>,</w:t>
            </w:r>
            <w:r w:rsidRPr="00E55D99">
              <w:rPr>
                <w:rFonts w:eastAsia="Times New Roman" w:cstheme="minorHAnsi"/>
                <w:lang w:eastAsia="en-IN" w:bidi="hi-IN"/>
              </w:rPr>
              <w:t>680</w:t>
            </w:r>
          </w:p>
        </w:tc>
        <w:tc>
          <w:tcPr>
            <w:tcW w:w="2541"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8</w:t>
            </w:r>
            <w:r w:rsidR="002F5BFC">
              <w:rPr>
                <w:rFonts w:eastAsia="Times New Roman" w:cstheme="minorHAnsi"/>
                <w:lang w:eastAsia="en-IN" w:bidi="hi-IN"/>
              </w:rPr>
              <w:t>,</w:t>
            </w:r>
            <w:r w:rsidRPr="00E55D99">
              <w:rPr>
                <w:rFonts w:eastAsia="Times New Roman" w:cstheme="minorHAnsi"/>
                <w:lang w:eastAsia="en-IN" w:bidi="hi-IN"/>
              </w:rPr>
              <w:t>085</w:t>
            </w:r>
          </w:p>
        </w:tc>
        <w:tc>
          <w:tcPr>
            <w:tcW w:w="2052"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9</w:t>
            </w:r>
            <w:r w:rsidR="002F5BFC">
              <w:rPr>
                <w:rFonts w:eastAsia="Times New Roman" w:cstheme="minorHAnsi"/>
                <w:lang w:eastAsia="en-IN" w:bidi="hi-IN"/>
              </w:rPr>
              <w:t>,</w:t>
            </w:r>
            <w:r w:rsidRPr="00E55D99">
              <w:rPr>
                <w:rFonts w:eastAsia="Times New Roman" w:cstheme="minorHAnsi"/>
                <w:lang w:eastAsia="en-IN" w:bidi="hi-IN"/>
              </w:rPr>
              <w:t>755</w:t>
            </w:r>
          </w:p>
        </w:tc>
      </w:tr>
      <w:tr w:rsidR="00C945FC" w:rsidRPr="00E55D99" w:rsidTr="00C945FC">
        <w:trPr>
          <w:trHeight w:val="283"/>
        </w:trPr>
        <w:tc>
          <w:tcPr>
            <w:tcW w:w="1914" w:type="dxa"/>
            <w:tcBorders>
              <w:top w:val="nil"/>
              <w:left w:val="single" w:sz="8" w:space="0" w:color="auto"/>
              <w:bottom w:val="single" w:sz="8" w:space="0" w:color="auto"/>
              <w:right w:val="single" w:sz="8" w:space="0" w:color="auto"/>
            </w:tcBorders>
            <w:shd w:val="clear" w:color="auto" w:fill="auto"/>
            <w:noWrap/>
            <w:vAlign w:val="bottom"/>
            <w:hideMark/>
          </w:tcPr>
          <w:p w:rsidR="00C945FC" w:rsidRPr="00E55D99" w:rsidRDefault="00C945FC" w:rsidP="00C945FC">
            <w:pPr>
              <w:spacing w:after="0"/>
              <w:jc w:val="both"/>
              <w:rPr>
                <w:rFonts w:eastAsia="Times New Roman" w:cstheme="minorHAnsi"/>
                <w:lang w:val="en-IN" w:eastAsia="en-IN" w:bidi="hi-IN"/>
              </w:rPr>
            </w:pPr>
            <w:r w:rsidRPr="00E55D99">
              <w:rPr>
                <w:rFonts w:eastAsia="Times New Roman" w:cstheme="minorHAnsi"/>
                <w:lang w:eastAsia="en-IN" w:bidi="hi-IN"/>
              </w:rPr>
              <w:lastRenderedPageBreak/>
              <w:t>Madhya Pradesh</w:t>
            </w:r>
          </w:p>
        </w:tc>
        <w:tc>
          <w:tcPr>
            <w:tcW w:w="1721"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6</w:t>
            </w:r>
            <w:r w:rsidR="002F5BFC">
              <w:rPr>
                <w:rFonts w:eastAsia="Times New Roman" w:cstheme="minorHAnsi"/>
                <w:lang w:eastAsia="en-IN" w:bidi="hi-IN"/>
              </w:rPr>
              <w:t>,</w:t>
            </w:r>
            <w:r w:rsidRPr="00E55D99">
              <w:rPr>
                <w:rFonts w:eastAsia="Times New Roman" w:cstheme="minorHAnsi"/>
                <w:lang w:eastAsia="en-IN" w:bidi="hi-IN"/>
              </w:rPr>
              <w:t>512</w:t>
            </w:r>
          </w:p>
        </w:tc>
        <w:tc>
          <w:tcPr>
            <w:tcW w:w="2541"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8</w:t>
            </w:r>
            <w:r w:rsidR="002F5BFC">
              <w:rPr>
                <w:rFonts w:eastAsia="Times New Roman" w:cstheme="minorHAnsi"/>
                <w:lang w:eastAsia="en-IN" w:bidi="hi-IN"/>
              </w:rPr>
              <w:t>,</w:t>
            </w:r>
            <w:r w:rsidRPr="00E55D99">
              <w:rPr>
                <w:rFonts w:eastAsia="Times New Roman" w:cstheme="minorHAnsi"/>
                <w:lang w:eastAsia="en-IN" w:bidi="hi-IN"/>
              </w:rPr>
              <w:t>591</w:t>
            </w:r>
          </w:p>
        </w:tc>
        <w:tc>
          <w:tcPr>
            <w:tcW w:w="2052"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9</w:t>
            </w:r>
            <w:r w:rsidR="002F5BFC">
              <w:rPr>
                <w:rFonts w:eastAsia="Times New Roman" w:cstheme="minorHAnsi"/>
                <w:lang w:eastAsia="en-IN" w:bidi="hi-IN"/>
              </w:rPr>
              <w:t>,</w:t>
            </w:r>
            <w:r w:rsidRPr="00E55D99">
              <w:rPr>
                <w:rFonts w:eastAsia="Times New Roman" w:cstheme="minorHAnsi"/>
                <w:lang w:eastAsia="en-IN" w:bidi="hi-IN"/>
              </w:rPr>
              <w:t>977</w:t>
            </w:r>
          </w:p>
        </w:tc>
      </w:tr>
      <w:tr w:rsidR="00C945FC" w:rsidRPr="00E55D99" w:rsidTr="00C945FC">
        <w:trPr>
          <w:trHeight w:val="283"/>
        </w:trPr>
        <w:tc>
          <w:tcPr>
            <w:tcW w:w="1914" w:type="dxa"/>
            <w:tcBorders>
              <w:top w:val="nil"/>
              <w:left w:val="single" w:sz="8" w:space="0" w:color="auto"/>
              <w:bottom w:val="single" w:sz="8" w:space="0" w:color="auto"/>
              <w:right w:val="single" w:sz="8" w:space="0" w:color="auto"/>
            </w:tcBorders>
            <w:shd w:val="clear" w:color="auto" w:fill="auto"/>
            <w:noWrap/>
            <w:vAlign w:val="bottom"/>
            <w:hideMark/>
          </w:tcPr>
          <w:p w:rsidR="00C945FC" w:rsidRPr="00E55D99" w:rsidRDefault="00C945FC" w:rsidP="00C945FC">
            <w:pPr>
              <w:spacing w:after="0"/>
              <w:jc w:val="both"/>
              <w:rPr>
                <w:rFonts w:eastAsia="Times New Roman" w:cstheme="minorHAnsi"/>
                <w:lang w:val="en-IN" w:eastAsia="en-IN" w:bidi="hi-IN"/>
              </w:rPr>
            </w:pPr>
            <w:r w:rsidRPr="00E55D99">
              <w:rPr>
                <w:rFonts w:eastAsia="Times New Roman" w:cstheme="minorHAnsi"/>
                <w:lang w:eastAsia="en-IN" w:bidi="hi-IN"/>
              </w:rPr>
              <w:t>Rajasthan</w:t>
            </w:r>
          </w:p>
        </w:tc>
        <w:tc>
          <w:tcPr>
            <w:tcW w:w="1721"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8</w:t>
            </w:r>
            <w:r w:rsidR="002F5BFC">
              <w:rPr>
                <w:rFonts w:eastAsia="Times New Roman" w:cstheme="minorHAnsi"/>
                <w:lang w:eastAsia="en-IN" w:bidi="hi-IN"/>
              </w:rPr>
              <w:t>,</w:t>
            </w:r>
            <w:r w:rsidRPr="00E55D99">
              <w:rPr>
                <w:rFonts w:eastAsia="Times New Roman" w:cstheme="minorHAnsi"/>
                <w:lang w:eastAsia="en-IN" w:bidi="hi-IN"/>
              </w:rPr>
              <w:t>145</w:t>
            </w:r>
          </w:p>
        </w:tc>
        <w:tc>
          <w:tcPr>
            <w:tcW w:w="2541"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9</w:t>
            </w:r>
            <w:r w:rsidR="002F5BFC">
              <w:rPr>
                <w:rFonts w:eastAsia="Times New Roman" w:cstheme="minorHAnsi"/>
                <w:lang w:eastAsia="en-IN" w:bidi="hi-IN"/>
              </w:rPr>
              <w:t>,</w:t>
            </w:r>
            <w:r w:rsidRPr="00E55D99">
              <w:rPr>
                <w:rFonts w:eastAsia="Times New Roman" w:cstheme="minorHAnsi"/>
                <w:lang w:eastAsia="en-IN" w:bidi="hi-IN"/>
              </w:rPr>
              <w:t>186</w:t>
            </w:r>
          </w:p>
        </w:tc>
        <w:tc>
          <w:tcPr>
            <w:tcW w:w="2052"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10</w:t>
            </w:r>
            <w:r w:rsidR="002F5BFC">
              <w:rPr>
                <w:rFonts w:eastAsia="Times New Roman" w:cstheme="minorHAnsi"/>
                <w:lang w:eastAsia="en-IN" w:bidi="hi-IN"/>
              </w:rPr>
              <w:t>,</w:t>
            </w:r>
            <w:r w:rsidRPr="00E55D99">
              <w:rPr>
                <w:rFonts w:eastAsia="Times New Roman" w:cstheme="minorHAnsi"/>
                <w:lang w:eastAsia="en-IN" w:bidi="hi-IN"/>
              </w:rPr>
              <w:t>263</w:t>
            </w:r>
          </w:p>
        </w:tc>
      </w:tr>
      <w:tr w:rsidR="00C945FC" w:rsidRPr="00E55D99" w:rsidTr="00C945FC">
        <w:trPr>
          <w:trHeight w:val="283"/>
        </w:trPr>
        <w:tc>
          <w:tcPr>
            <w:tcW w:w="1914" w:type="dxa"/>
            <w:tcBorders>
              <w:top w:val="nil"/>
              <w:left w:val="single" w:sz="8" w:space="0" w:color="auto"/>
              <w:bottom w:val="single" w:sz="8" w:space="0" w:color="auto"/>
              <w:right w:val="single" w:sz="8" w:space="0" w:color="auto"/>
            </w:tcBorders>
            <w:shd w:val="clear" w:color="auto" w:fill="auto"/>
            <w:noWrap/>
            <w:vAlign w:val="bottom"/>
            <w:hideMark/>
          </w:tcPr>
          <w:p w:rsidR="00C945FC" w:rsidRPr="00E55D99" w:rsidRDefault="00C945FC" w:rsidP="00C945FC">
            <w:pPr>
              <w:spacing w:after="0"/>
              <w:jc w:val="both"/>
              <w:rPr>
                <w:rFonts w:eastAsia="Times New Roman" w:cstheme="minorHAnsi"/>
                <w:lang w:val="en-IN" w:eastAsia="en-IN" w:bidi="hi-IN"/>
              </w:rPr>
            </w:pPr>
            <w:r w:rsidRPr="00E55D99">
              <w:rPr>
                <w:rFonts w:eastAsia="Times New Roman" w:cstheme="minorHAnsi"/>
                <w:lang w:eastAsia="en-IN" w:bidi="hi-IN"/>
              </w:rPr>
              <w:t>Maharashtra</w:t>
            </w:r>
          </w:p>
        </w:tc>
        <w:tc>
          <w:tcPr>
            <w:tcW w:w="1721"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8</w:t>
            </w:r>
            <w:r w:rsidR="002F5BFC">
              <w:rPr>
                <w:rFonts w:eastAsia="Times New Roman" w:cstheme="minorHAnsi"/>
                <w:lang w:eastAsia="en-IN" w:bidi="hi-IN"/>
              </w:rPr>
              <w:t>,</w:t>
            </w:r>
            <w:r w:rsidRPr="00E55D99">
              <w:rPr>
                <w:rFonts w:eastAsia="Times New Roman" w:cstheme="minorHAnsi"/>
                <w:lang w:eastAsia="en-IN" w:bidi="hi-IN"/>
              </w:rPr>
              <w:t>934</w:t>
            </w:r>
          </w:p>
        </w:tc>
        <w:tc>
          <w:tcPr>
            <w:tcW w:w="2541"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10</w:t>
            </w:r>
            <w:r w:rsidR="002F5BFC">
              <w:rPr>
                <w:rFonts w:eastAsia="Times New Roman" w:cstheme="minorHAnsi"/>
                <w:lang w:eastAsia="en-IN" w:bidi="hi-IN"/>
              </w:rPr>
              <w:t>,</w:t>
            </w:r>
            <w:r w:rsidRPr="00E55D99">
              <w:rPr>
                <w:rFonts w:eastAsia="Times New Roman" w:cstheme="minorHAnsi"/>
                <w:lang w:eastAsia="en-IN" w:bidi="hi-IN"/>
              </w:rPr>
              <w:t>091</w:t>
            </w:r>
          </w:p>
        </w:tc>
        <w:tc>
          <w:tcPr>
            <w:tcW w:w="2052"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10</w:t>
            </w:r>
            <w:r w:rsidR="002F5BFC">
              <w:rPr>
                <w:rFonts w:eastAsia="Times New Roman" w:cstheme="minorHAnsi"/>
                <w:lang w:eastAsia="en-IN" w:bidi="hi-IN"/>
              </w:rPr>
              <w:t>,</w:t>
            </w:r>
            <w:r w:rsidRPr="00E55D99">
              <w:rPr>
                <w:rFonts w:eastAsia="Times New Roman" w:cstheme="minorHAnsi"/>
                <w:lang w:eastAsia="en-IN" w:bidi="hi-IN"/>
              </w:rPr>
              <w:t>476</w:t>
            </w:r>
          </w:p>
        </w:tc>
      </w:tr>
      <w:tr w:rsidR="00C945FC" w:rsidRPr="00E55D99" w:rsidTr="00C945FC">
        <w:trPr>
          <w:trHeight w:val="283"/>
        </w:trPr>
        <w:tc>
          <w:tcPr>
            <w:tcW w:w="1914" w:type="dxa"/>
            <w:tcBorders>
              <w:top w:val="nil"/>
              <w:left w:val="single" w:sz="8" w:space="0" w:color="auto"/>
              <w:bottom w:val="single" w:sz="8" w:space="0" w:color="auto"/>
              <w:right w:val="single" w:sz="8" w:space="0" w:color="auto"/>
            </w:tcBorders>
            <w:shd w:val="clear" w:color="auto" w:fill="auto"/>
            <w:noWrap/>
            <w:vAlign w:val="bottom"/>
            <w:hideMark/>
          </w:tcPr>
          <w:p w:rsidR="00C945FC" w:rsidRPr="00E55D99" w:rsidRDefault="00C945FC" w:rsidP="00C945FC">
            <w:pPr>
              <w:spacing w:after="0"/>
              <w:jc w:val="both"/>
              <w:rPr>
                <w:rFonts w:eastAsia="Times New Roman" w:cstheme="minorHAnsi"/>
                <w:lang w:val="en-IN" w:eastAsia="en-IN" w:bidi="hi-IN"/>
              </w:rPr>
            </w:pPr>
            <w:r w:rsidRPr="00E55D99">
              <w:rPr>
                <w:rFonts w:eastAsia="Times New Roman" w:cstheme="minorHAnsi"/>
                <w:lang w:eastAsia="en-IN" w:bidi="hi-IN"/>
              </w:rPr>
              <w:t>Assam</w:t>
            </w:r>
          </w:p>
        </w:tc>
        <w:tc>
          <w:tcPr>
            <w:tcW w:w="1721"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6</w:t>
            </w:r>
            <w:r w:rsidR="002F5BFC">
              <w:rPr>
                <w:rFonts w:eastAsia="Times New Roman" w:cstheme="minorHAnsi"/>
                <w:lang w:eastAsia="en-IN" w:bidi="hi-IN"/>
              </w:rPr>
              <w:t>,</w:t>
            </w:r>
            <w:r w:rsidRPr="00E55D99">
              <w:rPr>
                <w:rFonts w:eastAsia="Times New Roman" w:cstheme="minorHAnsi"/>
                <w:lang w:eastAsia="en-IN" w:bidi="hi-IN"/>
              </w:rPr>
              <w:t>644</w:t>
            </w:r>
          </w:p>
        </w:tc>
        <w:tc>
          <w:tcPr>
            <w:tcW w:w="2541"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11</w:t>
            </w:r>
            <w:r w:rsidR="002F5BFC">
              <w:rPr>
                <w:rFonts w:eastAsia="Times New Roman" w:cstheme="minorHAnsi"/>
                <w:lang w:eastAsia="en-IN" w:bidi="hi-IN"/>
              </w:rPr>
              <w:t>,</w:t>
            </w:r>
            <w:r w:rsidRPr="00E55D99">
              <w:rPr>
                <w:rFonts w:eastAsia="Times New Roman" w:cstheme="minorHAnsi"/>
                <w:lang w:eastAsia="en-IN" w:bidi="hi-IN"/>
              </w:rPr>
              <w:t>370</w:t>
            </w:r>
          </w:p>
        </w:tc>
        <w:tc>
          <w:tcPr>
            <w:tcW w:w="2052"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11</w:t>
            </w:r>
            <w:r w:rsidR="002F5BFC">
              <w:rPr>
                <w:rFonts w:eastAsia="Times New Roman" w:cstheme="minorHAnsi"/>
                <w:lang w:eastAsia="en-IN" w:bidi="hi-IN"/>
              </w:rPr>
              <w:t>,</w:t>
            </w:r>
            <w:r w:rsidRPr="00E55D99">
              <w:rPr>
                <w:rFonts w:eastAsia="Times New Roman" w:cstheme="minorHAnsi"/>
                <w:lang w:eastAsia="en-IN" w:bidi="hi-IN"/>
              </w:rPr>
              <w:t>184</w:t>
            </w:r>
          </w:p>
        </w:tc>
      </w:tr>
      <w:tr w:rsidR="00C945FC" w:rsidRPr="00E55D99" w:rsidTr="00C945FC">
        <w:trPr>
          <w:trHeight w:val="283"/>
        </w:trPr>
        <w:tc>
          <w:tcPr>
            <w:tcW w:w="1914" w:type="dxa"/>
            <w:tcBorders>
              <w:top w:val="nil"/>
              <w:left w:val="single" w:sz="8" w:space="0" w:color="auto"/>
              <w:bottom w:val="single" w:sz="8" w:space="0" w:color="auto"/>
              <w:right w:val="single" w:sz="8" w:space="0" w:color="auto"/>
            </w:tcBorders>
            <w:shd w:val="clear" w:color="auto" w:fill="auto"/>
            <w:noWrap/>
            <w:vAlign w:val="bottom"/>
            <w:hideMark/>
          </w:tcPr>
          <w:p w:rsidR="00C945FC" w:rsidRPr="00E55D99" w:rsidRDefault="00C945FC" w:rsidP="00C945FC">
            <w:pPr>
              <w:spacing w:after="0"/>
              <w:jc w:val="both"/>
              <w:rPr>
                <w:rFonts w:eastAsia="Times New Roman" w:cstheme="minorHAnsi"/>
                <w:lang w:val="en-IN" w:eastAsia="en-IN" w:bidi="hi-IN"/>
              </w:rPr>
            </w:pPr>
            <w:r w:rsidRPr="00E55D99">
              <w:rPr>
                <w:rFonts w:eastAsia="Times New Roman" w:cstheme="minorHAnsi"/>
                <w:lang w:eastAsia="en-IN" w:bidi="hi-IN"/>
              </w:rPr>
              <w:t>Tamil Nadu</w:t>
            </w:r>
          </w:p>
        </w:tc>
        <w:tc>
          <w:tcPr>
            <w:tcW w:w="1721"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9</w:t>
            </w:r>
            <w:r w:rsidR="002F5BFC">
              <w:rPr>
                <w:rFonts w:eastAsia="Times New Roman" w:cstheme="minorHAnsi"/>
                <w:lang w:eastAsia="en-IN" w:bidi="hi-IN"/>
              </w:rPr>
              <w:t>,</w:t>
            </w:r>
            <w:r w:rsidRPr="00E55D99">
              <w:rPr>
                <w:rFonts w:eastAsia="Times New Roman" w:cstheme="minorHAnsi"/>
                <w:lang w:eastAsia="en-IN" w:bidi="hi-IN"/>
              </w:rPr>
              <w:t>958</w:t>
            </w:r>
          </w:p>
        </w:tc>
        <w:tc>
          <w:tcPr>
            <w:tcW w:w="2541"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11</w:t>
            </w:r>
            <w:r w:rsidR="002F5BFC">
              <w:rPr>
                <w:rFonts w:eastAsia="Times New Roman" w:cstheme="minorHAnsi"/>
                <w:lang w:eastAsia="en-IN" w:bidi="hi-IN"/>
              </w:rPr>
              <w:t>,</w:t>
            </w:r>
            <w:r w:rsidRPr="00E55D99">
              <w:rPr>
                <w:rFonts w:eastAsia="Times New Roman" w:cstheme="minorHAnsi"/>
                <w:lang w:eastAsia="en-IN" w:bidi="hi-IN"/>
              </w:rPr>
              <w:t>302</w:t>
            </w:r>
          </w:p>
        </w:tc>
        <w:tc>
          <w:tcPr>
            <w:tcW w:w="2052"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12</w:t>
            </w:r>
            <w:r w:rsidR="002F5BFC">
              <w:rPr>
                <w:rFonts w:eastAsia="Times New Roman" w:cstheme="minorHAnsi"/>
                <w:lang w:eastAsia="en-IN" w:bidi="hi-IN"/>
              </w:rPr>
              <w:t>,</w:t>
            </w:r>
            <w:r w:rsidRPr="00E55D99">
              <w:rPr>
                <w:rFonts w:eastAsia="Times New Roman" w:cstheme="minorHAnsi"/>
                <w:lang w:eastAsia="en-IN" w:bidi="hi-IN"/>
              </w:rPr>
              <w:t>330</w:t>
            </w:r>
          </w:p>
        </w:tc>
      </w:tr>
      <w:tr w:rsidR="00C945FC" w:rsidRPr="00E55D99" w:rsidTr="00C945FC">
        <w:trPr>
          <w:trHeight w:val="283"/>
        </w:trPr>
        <w:tc>
          <w:tcPr>
            <w:tcW w:w="1914" w:type="dxa"/>
            <w:tcBorders>
              <w:top w:val="nil"/>
              <w:left w:val="single" w:sz="8" w:space="0" w:color="auto"/>
              <w:bottom w:val="single" w:sz="8" w:space="0" w:color="auto"/>
              <w:right w:val="single" w:sz="8" w:space="0" w:color="auto"/>
            </w:tcBorders>
            <w:shd w:val="clear" w:color="auto" w:fill="auto"/>
            <w:noWrap/>
            <w:vAlign w:val="bottom"/>
            <w:hideMark/>
          </w:tcPr>
          <w:p w:rsidR="00C945FC" w:rsidRPr="00E55D99" w:rsidRDefault="00C945FC" w:rsidP="00C945FC">
            <w:pPr>
              <w:spacing w:after="0"/>
              <w:jc w:val="both"/>
              <w:rPr>
                <w:rFonts w:eastAsia="Times New Roman" w:cstheme="minorHAnsi"/>
                <w:lang w:val="en-IN" w:eastAsia="en-IN" w:bidi="hi-IN"/>
              </w:rPr>
            </w:pPr>
            <w:proofErr w:type="spellStart"/>
            <w:r w:rsidRPr="00E55D99">
              <w:rPr>
                <w:rFonts w:eastAsia="Times New Roman" w:cstheme="minorHAnsi"/>
                <w:lang w:eastAsia="en-IN" w:bidi="hi-IN"/>
              </w:rPr>
              <w:t>Odisha</w:t>
            </w:r>
            <w:proofErr w:type="spellEnd"/>
          </w:p>
        </w:tc>
        <w:tc>
          <w:tcPr>
            <w:tcW w:w="1721"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8</w:t>
            </w:r>
            <w:r w:rsidR="002F5BFC">
              <w:rPr>
                <w:rFonts w:eastAsia="Times New Roman" w:cstheme="minorHAnsi"/>
                <w:lang w:eastAsia="en-IN" w:bidi="hi-IN"/>
              </w:rPr>
              <w:t>,</w:t>
            </w:r>
            <w:r w:rsidRPr="00E55D99">
              <w:rPr>
                <w:rFonts w:eastAsia="Times New Roman" w:cstheme="minorHAnsi"/>
                <w:lang w:eastAsia="en-IN" w:bidi="hi-IN"/>
              </w:rPr>
              <w:t>935</w:t>
            </w:r>
          </w:p>
        </w:tc>
        <w:tc>
          <w:tcPr>
            <w:tcW w:w="2541"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11</w:t>
            </w:r>
            <w:r w:rsidR="002F5BFC">
              <w:rPr>
                <w:rFonts w:eastAsia="Times New Roman" w:cstheme="minorHAnsi"/>
                <w:lang w:eastAsia="en-IN" w:bidi="hi-IN"/>
              </w:rPr>
              <w:t>,</w:t>
            </w:r>
            <w:r w:rsidRPr="00E55D99">
              <w:rPr>
                <w:rFonts w:eastAsia="Times New Roman" w:cstheme="minorHAnsi"/>
                <w:lang w:eastAsia="en-IN" w:bidi="hi-IN"/>
              </w:rPr>
              <w:t>524</w:t>
            </w:r>
          </w:p>
        </w:tc>
        <w:tc>
          <w:tcPr>
            <w:tcW w:w="2052"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12</w:t>
            </w:r>
            <w:r w:rsidR="002F5BFC">
              <w:rPr>
                <w:rFonts w:eastAsia="Times New Roman" w:cstheme="minorHAnsi"/>
                <w:lang w:eastAsia="en-IN" w:bidi="hi-IN"/>
              </w:rPr>
              <w:t>,</w:t>
            </w:r>
            <w:r w:rsidRPr="00E55D99">
              <w:rPr>
                <w:rFonts w:eastAsia="Times New Roman" w:cstheme="minorHAnsi"/>
                <w:lang w:eastAsia="en-IN" w:bidi="hi-IN"/>
              </w:rPr>
              <w:t>921</w:t>
            </w:r>
          </w:p>
        </w:tc>
      </w:tr>
      <w:tr w:rsidR="00C945FC" w:rsidRPr="00E55D99" w:rsidTr="00C945FC">
        <w:trPr>
          <w:trHeight w:val="97"/>
        </w:trPr>
        <w:tc>
          <w:tcPr>
            <w:tcW w:w="1914" w:type="dxa"/>
            <w:tcBorders>
              <w:top w:val="nil"/>
              <w:left w:val="single" w:sz="8" w:space="0" w:color="auto"/>
              <w:bottom w:val="single" w:sz="8" w:space="0" w:color="auto"/>
              <w:right w:val="single" w:sz="8" w:space="0" w:color="auto"/>
            </w:tcBorders>
            <w:shd w:val="clear" w:color="auto" w:fill="auto"/>
            <w:noWrap/>
            <w:vAlign w:val="bottom"/>
            <w:hideMark/>
          </w:tcPr>
          <w:p w:rsidR="00C945FC" w:rsidRPr="00E55D99" w:rsidRDefault="00C945FC" w:rsidP="00C945FC">
            <w:pPr>
              <w:spacing w:after="0"/>
              <w:jc w:val="both"/>
              <w:rPr>
                <w:rFonts w:eastAsia="Times New Roman" w:cstheme="minorHAnsi"/>
                <w:lang w:val="en-IN" w:eastAsia="en-IN" w:bidi="hi-IN"/>
              </w:rPr>
            </w:pPr>
            <w:r w:rsidRPr="00E55D99">
              <w:rPr>
                <w:rFonts w:eastAsia="Times New Roman" w:cstheme="minorHAnsi"/>
                <w:lang w:eastAsia="en-IN" w:bidi="hi-IN"/>
              </w:rPr>
              <w:t>Chhattisgarh</w:t>
            </w:r>
          </w:p>
        </w:tc>
        <w:tc>
          <w:tcPr>
            <w:tcW w:w="1721"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9</w:t>
            </w:r>
            <w:r w:rsidR="002F5BFC">
              <w:rPr>
                <w:rFonts w:eastAsia="Times New Roman" w:cstheme="minorHAnsi"/>
                <w:lang w:eastAsia="en-IN" w:bidi="hi-IN"/>
              </w:rPr>
              <w:t>,</w:t>
            </w:r>
            <w:r w:rsidRPr="00E55D99">
              <w:rPr>
                <w:rFonts w:eastAsia="Times New Roman" w:cstheme="minorHAnsi"/>
                <w:lang w:eastAsia="en-IN" w:bidi="hi-IN"/>
              </w:rPr>
              <w:t>436</w:t>
            </w:r>
          </w:p>
        </w:tc>
        <w:tc>
          <w:tcPr>
            <w:tcW w:w="2541"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14</w:t>
            </w:r>
            <w:r w:rsidR="002F5BFC">
              <w:rPr>
                <w:rFonts w:eastAsia="Times New Roman" w:cstheme="minorHAnsi"/>
                <w:lang w:eastAsia="en-IN" w:bidi="hi-IN"/>
              </w:rPr>
              <w:t>,</w:t>
            </w:r>
            <w:r w:rsidRPr="00E55D99">
              <w:rPr>
                <w:rFonts w:eastAsia="Times New Roman" w:cstheme="minorHAnsi"/>
                <w:lang w:eastAsia="en-IN" w:bidi="hi-IN"/>
              </w:rPr>
              <w:t>057</w:t>
            </w:r>
          </w:p>
        </w:tc>
        <w:tc>
          <w:tcPr>
            <w:tcW w:w="2052" w:type="dxa"/>
            <w:tcBorders>
              <w:top w:val="nil"/>
              <w:left w:val="nil"/>
              <w:bottom w:val="single" w:sz="8" w:space="0" w:color="auto"/>
              <w:right w:val="single" w:sz="8" w:space="0" w:color="auto"/>
            </w:tcBorders>
            <w:shd w:val="clear" w:color="auto" w:fill="auto"/>
            <w:noWrap/>
            <w:vAlign w:val="bottom"/>
            <w:hideMark/>
          </w:tcPr>
          <w:p w:rsidR="00C945FC" w:rsidRPr="00E55D99" w:rsidRDefault="00C945FC" w:rsidP="00C945FC">
            <w:pPr>
              <w:spacing w:after="0"/>
              <w:jc w:val="center"/>
              <w:rPr>
                <w:rFonts w:eastAsia="Times New Roman" w:cstheme="minorHAnsi"/>
                <w:lang w:val="en-IN" w:eastAsia="en-IN" w:bidi="hi-IN"/>
              </w:rPr>
            </w:pPr>
            <w:r w:rsidRPr="00E55D99">
              <w:rPr>
                <w:rFonts w:eastAsia="Times New Roman" w:cstheme="minorHAnsi"/>
                <w:lang w:eastAsia="en-IN" w:bidi="hi-IN"/>
              </w:rPr>
              <w:t>14</w:t>
            </w:r>
            <w:r w:rsidR="002F5BFC">
              <w:rPr>
                <w:rFonts w:eastAsia="Times New Roman" w:cstheme="minorHAnsi"/>
                <w:lang w:eastAsia="en-IN" w:bidi="hi-IN"/>
              </w:rPr>
              <w:t>,</w:t>
            </w:r>
            <w:r w:rsidRPr="00E55D99">
              <w:rPr>
                <w:rFonts w:eastAsia="Times New Roman" w:cstheme="minorHAnsi"/>
                <w:lang w:eastAsia="en-IN" w:bidi="hi-IN"/>
              </w:rPr>
              <w:t>223</w:t>
            </w:r>
          </w:p>
        </w:tc>
      </w:tr>
    </w:tbl>
    <w:p w:rsidR="00C945FC" w:rsidRDefault="00C945FC" w:rsidP="00C945FC">
      <w:pPr>
        <w:spacing w:after="0" w:line="240" w:lineRule="auto"/>
        <w:jc w:val="both"/>
        <w:rPr>
          <w:rFonts w:cstheme="minorHAnsi"/>
          <w:i/>
          <w:iCs/>
          <w:sz w:val="20"/>
          <w:szCs w:val="20"/>
        </w:rPr>
      </w:pPr>
    </w:p>
    <w:p w:rsidR="00C945FC" w:rsidRDefault="00C945FC" w:rsidP="00C945FC">
      <w:pPr>
        <w:spacing w:after="0" w:line="240" w:lineRule="auto"/>
        <w:ind w:firstLine="360"/>
        <w:jc w:val="both"/>
        <w:rPr>
          <w:rFonts w:cstheme="minorHAnsi"/>
          <w:sz w:val="20"/>
          <w:szCs w:val="20"/>
        </w:rPr>
      </w:pPr>
      <w:r w:rsidRPr="00E55D99">
        <w:rPr>
          <w:rFonts w:cstheme="minorHAnsi"/>
          <w:i/>
          <w:iCs/>
          <w:sz w:val="20"/>
          <w:szCs w:val="20"/>
        </w:rPr>
        <w:t>Note</w:t>
      </w:r>
      <w:r>
        <w:rPr>
          <w:rFonts w:cstheme="minorHAnsi"/>
          <w:i/>
          <w:iCs/>
          <w:sz w:val="20"/>
          <w:szCs w:val="20"/>
        </w:rPr>
        <w:t>s</w:t>
      </w:r>
      <w:r w:rsidRPr="00E55D99">
        <w:rPr>
          <w:rFonts w:cstheme="minorHAnsi"/>
          <w:i/>
          <w:iCs/>
          <w:sz w:val="20"/>
          <w:szCs w:val="20"/>
        </w:rPr>
        <w:t>:</w:t>
      </w:r>
      <w:r w:rsidRPr="00E55D99">
        <w:rPr>
          <w:rFonts w:cstheme="minorHAnsi"/>
          <w:sz w:val="20"/>
          <w:szCs w:val="20"/>
        </w:rPr>
        <w:t xml:space="preserve"> </w:t>
      </w:r>
      <w:r>
        <w:rPr>
          <w:rFonts w:cstheme="minorHAnsi"/>
          <w:sz w:val="20"/>
          <w:szCs w:val="20"/>
        </w:rPr>
        <w:t xml:space="preserve">  </w:t>
      </w:r>
    </w:p>
    <w:p w:rsidR="00C945FC" w:rsidRPr="00B75387" w:rsidRDefault="00C945FC" w:rsidP="00C945FC">
      <w:pPr>
        <w:pStyle w:val="ListParagraph"/>
        <w:numPr>
          <w:ilvl w:val="0"/>
          <w:numId w:val="2"/>
        </w:numPr>
        <w:spacing w:after="0" w:line="240" w:lineRule="auto"/>
        <w:jc w:val="both"/>
        <w:rPr>
          <w:rFonts w:cstheme="minorHAnsi"/>
          <w:sz w:val="20"/>
          <w:szCs w:val="20"/>
        </w:rPr>
      </w:pPr>
      <w:r w:rsidRPr="00B75387">
        <w:rPr>
          <w:rFonts w:cstheme="minorHAnsi"/>
          <w:sz w:val="20"/>
          <w:szCs w:val="20"/>
        </w:rPr>
        <w:t>The population projections are based on the Report of the technical group on population projections constituted by the National Commission of Population, 2006</w:t>
      </w:r>
      <w:r w:rsidR="009B36D9">
        <w:rPr>
          <w:rFonts w:cstheme="minorHAnsi"/>
          <w:sz w:val="20"/>
          <w:szCs w:val="20"/>
        </w:rPr>
        <w:t>;</w:t>
      </w:r>
      <w:r w:rsidRPr="00B75387">
        <w:rPr>
          <w:rFonts w:cstheme="minorHAnsi"/>
          <w:sz w:val="20"/>
          <w:szCs w:val="20"/>
        </w:rPr>
        <w:t xml:space="preserve">  </w:t>
      </w:r>
    </w:p>
    <w:p w:rsidR="00C945FC" w:rsidRDefault="00C945FC" w:rsidP="00C945FC">
      <w:pPr>
        <w:pStyle w:val="ListParagraph"/>
        <w:numPr>
          <w:ilvl w:val="0"/>
          <w:numId w:val="2"/>
        </w:numPr>
        <w:spacing w:after="0" w:line="240" w:lineRule="auto"/>
        <w:jc w:val="both"/>
        <w:rPr>
          <w:rFonts w:cstheme="minorHAnsi"/>
          <w:sz w:val="20"/>
          <w:szCs w:val="20"/>
        </w:rPr>
      </w:pPr>
      <w:r w:rsidRPr="00BF687B">
        <w:rPr>
          <w:rFonts w:cstheme="minorHAnsi"/>
          <w:sz w:val="20"/>
          <w:szCs w:val="20"/>
        </w:rPr>
        <w:t xml:space="preserve">Social Sectors, Rural Development, Agriculture &amp; Allied Sectors” include:  ‘Social Services’ as defined in the Budget documents plus Rural Development, Food Storage and Warehousing, </w:t>
      </w:r>
      <w:proofErr w:type="spellStart"/>
      <w:r w:rsidRPr="00BF687B">
        <w:rPr>
          <w:rFonts w:cstheme="minorHAnsi"/>
          <w:sz w:val="20"/>
          <w:szCs w:val="20"/>
        </w:rPr>
        <w:t>Panchayati</w:t>
      </w:r>
      <w:proofErr w:type="spellEnd"/>
      <w:r w:rsidRPr="00BF687B">
        <w:rPr>
          <w:rFonts w:cstheme="minorHAnsi"/>
          <w:sz w:val="20"/>
          <w:szCs w:val="20"/>
        </w:rPr>
        <w:t xml:space="preserve"> Raj, Agriculture and allied sectors (Animal Husbandry, Dairy, Fisheries), Irrigation and Water Resources, Cooperation, and Food &amp; Civil supplies.</w:t>
      </w:r>
    </w:p>
    <w:p w:rsidR="00C945FC" w:rsidRPr="00BF687B" w:rsidRDefault="00C945FC" w:rsidP="00C945FC">
      <w:pPr>
        <w:pStyle w:val="ListParagraph"/>
        <w:spacing w:after="0" w:line="240" w:lineRule="auto"/>
        <w:jc w:val="both"/>
        <w:rPr>
          <w:rFonts w:cstheme="minorHAnsi"/>
          <w:sz w:val="20"/>
          <w:szCs w:val="20"/>
        </w:rPr>
      </w:pPr>
    </w:p>
    <w:p w:rsidR="00C945FC" w:rsidRDefault="00C945FC" w:rsidP="00C945FC">
      <w:pPr>
        <w:spacing w:after="0" w:line="240" w:lineRule="auto"/>
        <w:ind w:firstLine="360"/>
        <w:jc w:val="both"/>
        <w:rPr>
          <w:rFonts w:cstheme="minorHAnsi"/>
          <w:sz w:val="20"/>
          <w:szCs w:val="20"/>
        </w:rPr>
      </w:pPr>
      <w:r w:rsidRPr="00E55D99">
        <w:rPr>
          <w:rFonts w:cstheme="minorHAnsi"/>
          <w:i/>
          <w:iCs/>
          <w:sz w:val="20"/>
          <w:szCs w:val="20"/>
        </w:rPr>
        <w:t>Source:</w:t>
      </w:r>
      <w:r w:rsidRPr="00E55D99">
        <w:rPr>
          <w:rFonts w:cstheme="minorHAnsi"/>
          <w:sz w:val="20"/>
          <w:szCs w:val="20"/>
        </w:rPr>
        <w:t xml:space="preserve"> Based on data compiled by CBGA from </w:t>
      </w:r>
      <w:r>
        <w:rPr>
          <w:rFonts w:cstheme="minorHAnsi"/>
          <w:sz w:val="20"/>
          <w:szCs w:val="20"/>
        </w:rPr>
        <w:t>various state budget documents</w:t>
      </w:r>
      <w:r w:rsidR="009B36D9">
        <w:rPr>
          <w:rFonts w:cstheme="minorHAnsi"/>
          <w:sz w:val="20"/>
          <w:szCs w:val="20"/>
        </w:rPr>
        <w:t>.</w:t>
      </w:r>
    </w:p>
    <w:p w:rsidR="00C945FC" w:rsidRPr="00E55D99" w:rsidRDefault="00C945FC" w:rsidP="00C945FC">
      <w:pPr>
        <w:spacing w:after="0" w:line="240" w:lineRule="auto"/>
        <w:jc w:val="both"/>
        <w:rPr>
          <w:rFonts w:cstheme="minorHAnsi"/>
          <w:sz w:val="20"/>
          <w:szCs w:val="20"/>
        </w:rPr>
      </w:pPr>
    </w:p>
    <w:p w:rsidR="00C945FC" w:rsidRDefault="00C945FC" w:rsidP="00A607BB">
      <w:pPr>
        <w:jc w:val="both"/>
        <w:rPr>
          <w:rFonts w:cstheme="minorHAnsi"/>
        </w:rPr>
      </w:pPr>
      <w:r>
        <w:t xml:space="preserve">The analysis also revealed that eight out of </w:t>
      </w:r>
      <w:r w:rsidR="0081514C">
        <w:t xml:space="preserve">the </w:t>
      </w:r>
      <w:r>
        <w:t xml:space="preserve">ten states (except </w:t>
      </w:r>
      <w:r w:rsidRPr="00B1137C">
        <w:rPr>
          <w:rFonts w:cstheme="minorHAnsi"/>
        </w:rPr>
        <w:t>Maharashtra and Tamil Nadu</w:t>
      </w:r>
      <w:r>
        <w:rPr>
          <w:rFonts w:cstheme="minorHAnsi"/>
        </w:rPr>
        <w:t>)</w:t>
      </w:r>
      <w:r>
        <w:t xml:space="preserve"> which are </w:t>
      </w:r>
      <w:r w:rsidRPr="00B1137C">
        <w:rPr>
          <w:rFonts w:cstheme="minorHAnsi"/>
        </w:rPr>
        <w:t xml:space="preserve">relatively </w:t>
      </w:r>
      <w:r w:rsidR="00A607BB">
        <w:rPr>
          <w:rFonts w:cstheme="minorHAnsi"/>
        </w:rPr>
        <w:t xml:space="preserve">economically </w:t>
      </w:r>
      <w:r w:rsidR="00C41FE7">
        <w:rPr>
          <w:rFonts w:cstheme="minorHAnsi"/>
        </w:rPr>
        <w:t xml:space="preserve">weaker </w:t>
      </w:r>
      <w:r w:rsidRPr="00B1137C">
        <w:rPr>
          <w:rFonts w:cstheme="minorHAnsi"/>
        </w:rPr>
        <w:t>have projected a Revenue</w:t>
      </w:r>
      <w:r>
        <w:rPr>
          <w:rFonts w:cstheme="minorHAnsi"/>
        </w:rPr>
        <w:t xml:space="preserve"> Account</w:t>
      </w:r>
      <w:r w:rsidRPr="00B1137C">
        <w:rPr>
          <w:rFonts w:cstheme="minorHAnsi"/>
        </w:rPr>
        <w:t xml:space="preserve"> Surplus</w:t>
      </w:r>
      <w:r>
        <w:rPr>
          <w:rFonts w:cstheme="minorHAnsi"/>
        </w:rPr>
        <w:t xml:space="preserve">. This indicates </w:t>
      </w:r>
      <w:r w:rsidR="0081514C">
        <w:rPr>
          <w:rFonts w:cstheme="minorHAnsi"/>
        </w:rPr>
        <w:t>states’ preference for</w:t>
      </w:r>
      <w:r>
        <w:rPr>
          <w:rFonts w:cstheme="minorHAnsi"/>
        </w:rPr>
        <w:t xml:space="preserve"> capital expen</w:t>
      </w:r>
      <w:r w:rsidR="0081514C">
        <w:rPr>
          <w:rFonts w:cstheme="minorHAnsi"/>
        </w:rPr>
        <w:t xml:space="preserve">diture over revenue expenditure because of </w:t>
      </w:r>
      <w:r w:rsidR="00922F9B">
        <w:rPr>
          <w:rFonts w:cstheme="minorHAnsi"/>
        </w:rPr>
        <w:t xml:space="preserve">an </w:t>
      </w:r>
      <w:r w:rsidR="0081514C">
        <w:rPr>
          <w:rFonts w:cstheme="minorHAnsi"/>
        </w:rPr>
        <w:t>over-emphasis on reducing revenue deficit</w:t>
      </w:r>
      <w:r>
        <w:rPr>
          <w:rFonts w:cstheme="minorHAnsi"/>
        </w:rPr>
        <w:t xml:space="preserve">. </w:t>
      </w:r>
      <w:r w:rsidR="0081514C">
        <w:rPr>
          <w:rFonts w:cstheme="minorHAnsi"/>
        </w:rPr>
        <w:t>T</w:t>
      </w:r>
      <w:r w:rsidR="0081514C" w:rsidRPr="00B1137C">
        <w:rPr>
          <w:rFonts w:cstheme="minorHAnsi"/>
        </w:rPr>
        <w:t>he tendency of these States to reduce their Fiscal Deficit by running a surplus on the Revenue Account</w:t>
      </w:r>
      <w:r w:rsidR="0081514C">
        <w:rPr>
          <w:rFonts w:cstheme="minorHAnsi"/>
        </w:rPr>
        <w:t xml:space="preserve"> impacts social sectors like Education and Health</w:t>
      </w:r>
      <w:r w:rsidRPr="00B1137C">
        <w:rPr>
          <w:rFonts w:cstheme="minorHAnsi"/>
        </w:rPr>
        <w:t xml:space="preserve">, large proportions of which </w:t>
      </w:r>
      <w:r w:rsidR="00922F9B">
        <w:rPr>
          <w:rFonts w:cstheme="minorHAnsi"/>
        </w:rPr>
        <w:t xml:space="preserve">need higher </w:t>
      </w:r>
      <w:r w:rsidRPr="00B1137C">
        <w:rPr>
          <w:rFonts w:cstheme="minorHAnsi"/>
        </w:rPr>
        <w:t xml:space="preserve">Revenue Account of the budget. </w:t>
      </w:r>
      <w:r w:rsidR="00A607BB">
        <w:rPr>
          <w:rFonts w:cstheme="minorHAnsi"/>
        </w:rPr>
        <w:t xml:space="preserve">  </w:t>
      </w:r>
    </w:p>
    <w:p w:rsidR="00C945FC" w:rsidRPr="00E37F10" w:rsidRDefault="00C945FC" w:rsidP="00C945FC">
      <w:pPr>
        <w:jc w:val="both"/>
        <w:rPr>
          <w:b/>
        </w:rPr>
      </w:pPr>
      <w:r w:rsidRPr="004A4DF9">
        <w:rPr>
          <w:b/>
        </w:rPr>
        <w:t>Social Sector</w:t>
      </w:r>
      <w:r w:rsidR="00CE52D2">
        <w:rPr>
          <w:b/>
        </w:rPr>
        <w:t xml:space="preserve"> </w:t>
      </w:r>
      <w:r w:rsidR="00CE52D2" w:rsidRPr="004A4DF9">
        <w:rPr>
          <w:b/>
        </w:rPr>
        <w:t xml:space="preserve">Priorities </w:t>
      </w:r>
    </w:p>
    <w:p w:rsidR="00C945FC" w:rsidRDefault="00CE52D2" w:rsidP="00C945FC">
      <w:pPr>
        <w:jc w:val="both"/>
      </w:pPr>
      <w:r>
        <w:t>Subsequent to</w:t>
      </w:r>
      <w:r w:rsidR="00C945FC" w:rsidRPr="004A4DF9">
        <w:t xml:space="preserve"> the recommendations of the 14</w:t>
      </w:r>
      <w:r w:rsidR="00C945FC" w:rsidRPr="004A4DF9">
        <w:rPr>
          <w:vertAlign w:val="superscript"/>
        </w:rPr>
        <w:t>th</w:t>
      </w:r>
      <w:r w:rsidR="00C945FC" w:rsidRPr="004A4DF9">
        <w:t xml:space="preserve"> Finance Commission, the states’ share in central taxes </w:t>
      </w:r>
      <w:r w:rsidR="00D079BC" w:rsidRPr="004A4DF9">
        <w:t>was</w:t>
      </w:r>
      <w:r w:rsidR="00C945FC" w:rsidRPr="004A4DF9">
        <w:t xml:space="preserve"> increased from 32 percent to 42 percent. </w:t>
      </w:r>
      <w:r>
        <w:t>T</w:t>
      </w:r>
      <w:r w:rsidR="00C945FC" w:rsidRPr="004A4DF9">
        <w:t xml:space="preserve">he last two Union budgets </w:t>
      </w:r>
      <w:r>
        <w:t xml:space="preserve">came in post FFC setting, and </w:t>
      </w:r>
      <w:r w:rsidR="00C945FC" w:rsidRPr="004A4DF9">
        <w:t xml:space="preserve">witnessed substantial reduction in </w:t>
      </w:r>
      <w:r w:rsidR="000973C1" w:rsidRPr="004A4DF9">
        <w:t xml:space="preserve">allocations for </w:t>
      </w:r>
      <w:r w:rsidR="00C945FC" w:rsidRPr="004A4DF9">
        <w:t xml:space="preserve">major social sector schemes and </w:t>
      </w:r>
      <w:proofErr w:type="spellStart"/>
      <w:r w:rsidR="00C945FC" w:rsidRPr="004A4DF9">
        <w:t>programmes</w:t>
      </w:r>
      <w:proofErr w:type="spellEnd"/>
      <w:r w:rsidR="00C945FC" w:rsidRPr="004A4DF9">
        <w:t xml:space="preserve"> which was justified by the government on the grounds of additional tax revenues transferred to the states. The Union Budget 2017-18, however, presents a slightly different picture, with major social sector ministries witnessing either marginal increases over 2016-17 (RE) or retaining previous year’s expenditure levels (Table 1.1).</w:t>
      </w:r>
      <w:r w:rsidR="00C945FC">
        <w:t xml:space="preserve"> This is also visible from the trends in the expenditures for the selected social sector ministries</w:t>
      </w:r>
      <w:r w:rsidR="00C945FC" w:rsidRPr="007E15DA">
        <w:t xml:space="preserve"> </w:t>
      </w:r>
      <w:r w:rsidR="00C945FC">
        <w:t xml:space="preserve">as share of GDP over the years. </w:t>
      </w:r>
    </w:p>
    <w:p w:rsidR="00C945FC" w:rsidRPr="00E3399D" w:rsidRDefault="00C945FC" w:rsidP="00C945FC">
      <w:pPr>
        <w:jc w:val="center"/>
        <w:rPr>
          <w:b/>
        </w:rPr>
      </w:pPr>
      <w:r w:rsidRPr="00E3399D">
        <w:rPr>
          <w:b/>
        </w:rPr>
        <w:t xml:space="preserve">Table 1.1: </w:t>
      </w:r>
      <w:r w:rsidRPr="00E3399D">
        <w:rPr>
          <w:rFonts w:ascii="Calibri" w:eastAsia="Calibri" w:hAnsi="Calibri" w:cs="Calibri"/>
          <w:b/>
          <w:bCs/>
          <w:spacing w:val="-19"/>
        </w:rPr>
        <w:t>T</w:t>
      </w:r>
      <w:r w:rsidRPr="00E3399D">
        <w:rPr>
          <w:rFonts w:ascii="Calibri" w:eastAsia="Calibri" w:hAnsi="Calibri" w:cs="Calibri"/>
          <w:b/>
          <w:bCs/>
        </w:rPr>
        <w:t>o</w:t>
      </w:r>
      <w:r w:rsidRPr="00E3399D">
        <w:rPr>
          <w:rFonts w:ascii="Calibri" w:eastAsia="Calibri" w:hAnsi="Calibri" w:cs="Calibri"/>
          <w:b/>
          <w:bCs/>
          <w:spacing w:val="-2"/>
        </w:rPr>
        <w:t>t</w:t>
      </w:r>
      <w:r w:rsidRPr="00E3399D">
        <w:rPr>
          <w:rFonts w:ascii="Calibri" w:eastAsia="Calibri" w:hAnsi="Calibri" w:cs="Calibri"/>
          <w:b/>
          <w:bCs/>
        </w:rPr>
        <w:t>al Expenditu</w:t>
      </w:r>
      <w:r w:rsidRPr="00E3399D">
        <w:rPr>
          <w:rFonts w:ascii="Calibri" w:eastAsia="Calibri" w:hAnsi="Calibri" w:cs="Calibri"/>
          <w:b/>
          <w:bCs/>
          <w:spacing w:val="-3"/>
        </w:rPr>
        <w:t>r</w:t>
      </w:r>
      <w:r w:rsidRPr="00E3399D">
        <w:rPr>
          <w:rFonts w:ascii="Calibri" w:eastAsia="Calibri" w:hAnsi="Calibri" w:cs="Calibri"/>
          <w:b/>
          <w:bCs/>
        </w:rPr>
        <w:t xml:space="preserve">e </w:t>
      </w:r>
      <w:r w:rsidRPr="00E3399D">
        <w:rPr>
          <w:rFonts w:ascii="Calibri" w:eastAsia="Calibri" w:hAnsi="Calibri" w:cs="Calibri"/>
          <w:b/>
          <w:bCs/>
          <w:spacing w:val="-1"/>
        </w:rPr>
        <w:t>b</w:t>
      </w:r>
      <w:r w:rsidRPr="00E3399D">
        <w:rPr>
          <w:rFonts w:ascii="Calibri" w:eastAsia="Calibri" w:hAnsi="Calibri" w:cs="Calibri"/>
          <w:b/>
          <w:bCs/>
        </w:rPr>
        <w:t>y Select Mini</w:t>
      </w:r>
      <w:r w:rsidRPr="00E3399D">
        <w:rPr>
          <w:rFonts w:ascii="Calibri" w:eastAsia="Calibri" w:hAnsi="Calibri" w:cs="Calibri"/>
          <w:b/>
          <w:bCs/>
          <w:spacing w:val="-3"/>
        </w:rPr>
        <w:t>s</w:t>
      </w:r>
      <w:r w:rsidRPr="00E3399D">
        <w:rPr>
          <w:rFonts w:ascii="Calibri" w:eastAsia="Calibri" w:hAnsi="Calibri" w:cs="Calibri"/>
          <w:b/>
          <w:bCs/>
        </w:rPr>
        <w:t>tries (</w:t>
      </w:r>
      <w:proofErr w:type="spellStart"/>
      <w:r w:rsidRPr="00E3399D">
        <w:rPr>
          <w:rFonts w:ascii="Calibri" w:eastAsia="Calibri" w:hAnsi="Calibri" w:cs="Calibri"/>
          <w:b/>
          <w:bCs/>
        </w:rPr>
        <w:t>Rs</w:t>
      </w:r>
      <w:proofErr w:type="spellEnd"/>
      <w:r w:rsidRPr="00E3399D">
        <w:rPr>
          <w:rFonts w:ascii="Calibri" w:eastAsia="Calibri" w:hAnsi="Calibri" w:cs="Calibri"/>
          <w:b/>
          <w:bCs/>
        </w:rPr>
        <w:t xml:space="preserve">. </w:t>
      </w:r>
      <w:proofErr w:type="spellStart"/>
      <w:r w:rsidRPr="00E3399D">
        <w:rPr>
          <w:rFonts w:ascii="Calibri" w:eastAsia="Calibri" w:hAnsi="Calibri" w:cs="Calibri"/>
          <w:b/>
          <w:bCs/>
        </w:rPr>
        <w:t>c</w:t>
      </w:r>
      <w:r w:rsidRPr="00E3399D">
        <w:rPr>
          <w:rFonts w:ascii="Calibri" w:eastAsia="Calibri" w:hAnsi="Calibri" w:cs="Calibri"/>
          <w:b/>
          <w:bCs/>
          <w:spacing w:val="-3"/>
        </w:rPr>
        <w:t>r</w:t>
      </w:r>
      <w:r w:rsidRPr="00E3399D">
        <w:rPr>
          <w:rFonts w:ascii="Calibri" w:eastAsia="Calibri" w:hAnsi="Calibri" w:cs="Calibri"/>
          <w:b/>
          <w:bCs/>
        </w:rPr>
        <w:t>o</w:t>
      </w:r>
      <w:r w:rsidRPr="00E3399D">
        <w:rPr>
          <w:rFonts w:ascii="Calibri" w:eastAsia="Calibri" w:hAnsi="Calibri" w:cs="Calibri"/>
          <w:b/>
          <w:bCs/>
          <w:spacing w:val="-2"/>
        </w:rPr>
        <w:t>r</w:t>
      </w:r>
      <w:r w:rsidRPr="00E3399D">
        <w:rPr>
          <w:rFonts w:ascii="Calibri" w:eastAsia="Calibri" w:hAnsi="Calibri" w:cs="Calibri"/>
          <w:b/>
          <w:bCs/>
        </w:rPr>
        <w:t>e</w:t>
      </w:r>
      <w:proofErr w:type="spellEnd"/>
      <w:r w:rsidRPr="00E3399D">
        <w:rPr>
          <w:rFonts w:ascii="Calibri" w:eastAsia="Calibri" w:hAnsi="Calibri" w:cs="Calibri"/>
          <w:b/>
          <w:bCs/>
        </w:rPr>
        <w:t>)</w:t>
      </w:r>
    </w:p>
    <w:tbl>
      <w:tblPr>
        <w:tblW w:w="1070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2226"/>
        <w:gridCol w:w="1255"/>
        <w:gridCol w:w="1177"/>
        <w:gridCol w:w="1177"/>
        <w:gridCol w:w="1177"/>
        <w:gridCol w:w="1027"/>
        <w:gridCol w:w="1027"/>
        <w:gridCol w:w="1177"/>
      </w:tblGrid>
      <w:tr w:rsidR="00C945FC" w:rsidRPr="00B24240" w:rsidTr="00C945FC">
        <w:trPr>
          <w:trHeight w:val="540"/>
          <w:jc w:val="center"/>
        </w:trPr>
        <w:tc>
          <w:tcPr>
            <w:tcW w:w="582" w:type="dxa"/>
            <w:shd w:val="clear" w:color="auto" w:fill="auto"/>
            <w:vAlign w:val="bottom"/>
            <w:hideMark/>
          </w:tcPr>
          <w:p w:rsidR="00C945FC" w:rsidRPr="00B24240" w:rsidRDefault="00C945FC" w:rsidP="00C945FC">
            <w:pPr>
              <w:spacing w:after="0" w:line="240" w:lineRule="auto"/>
              <w:rPr>
                <w:rFonts w:eastAsia="Times New Roman" w:cstheme="minorHAnsi"/>
                <w:b/>
                <w:bCs/>
                <w:color w:val="000000"/>
                <w:sz w:val="20"/>
                <w:szCs w:val="20"/>
              </w:rPr>
            </w:pPr>
            <w:r w:rsidRPr="00B24240">
              <w:rPr>
                <w:rFonts w:eastAsia="Times New Roman" w:cstheme="minorHAnsi"/>
                <w:b/>
                <w:bCs/>
                <w:color w:val="000000"/>
                <w:sz w:val="20"/>
                <w:szCs w:val="20"/>
              </w:rPr>
              <w:t>S. No.</w:t>
            </w: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b/>
                <w:bCs/>
                <w:color w:val="000000"/>
                <w:sz w:val="20"/>
                <w:szCs w:val="20"/>
              </w:rPr>
            </w:pPr>
            <w:r w:rsidRPr="00B24240">
              <w:rPr>
                <w:rFonts w:eastAsia="Times New Roman" w:cstheme="minorHAnsi"/>
                <w:b/>
                <w:bCs/>
                <w:color w:val="000000"/>
                <w:sz w:val="20"/>
                <w:szCs w:val="20"/>
              </w:rPr>
              <w:t>Ministries/Departments</w:t>
            </w:r>
          </w:p>
        </w:tc>
        <w:tc>
          <w:tcPr>
            <w:tcW w:w="1255" w:type="dxa"/>
            <w:shd w:val="clear" w:color="auto" w:fill="auto"/>
            <w:vAlign w:val="bottom"/>
            <w:hideMark/>
          </w:tcPr>
          <w:p w:rsidR="00C945FC" w:rsidRPr="00B24240" w:rsidRDefault="00C945FC" w:rsidP="00C945FC">
            <w:pPr>
              <w:spacing w:after="0" w:line="240" w:lineRule="auto"/>
              <w:rPr>
                <w:rFonts w:eastAsia="Times New Roman" w:cstheme="minorHAnsi"/>
                <w:b/>
                <w:bCs/>
                <w:color w:val="000000"/>
                <w:sz w:val="20"/>
                <w:szCs w:val="20"/>
              </w:rPr>
            </w:pPr>
            <w:r w:rsidRPr="00B24240">
              <w:rPr>
                <w:rFonts w:eastAsia="Times New Roman" w:cstheme="minorHAnsi"/>
                <w:b/>
                <w:bCs/>
                <w:color w:val="000000"/>
                <w:sz w:val="20"/>
                <w:szCs w:val="20"/>
              </w:rPr>
              <w:t>2012-13</w:t>
            </w:r>
          </w:p>
        </w:tc>
        <w:tc>
          <w:tcPr>
            <w:tcW w:w="1027" w:type="dxa"/>
            <w:shd w:val="clear" w:color="auto" w:fill="auto"/>
            <w:vAlign w:val="bottom"/>
            <w:hideMark/>
          </w:tcPr>
          <w:p w:rsidR="00C945FC" w:rsidRPr="00B24240" w:rsidRDefault="00C945FC" w:rsidP="00C945FC">
            <w:pPr>
              <w:spacing w:after="0" w:line="240" w:lineRule="auto"/>
              <w:rPr>
                <w:rFonts w:eastAsia="Times New Roman" w:cstheme="minorHAnsi"/>
                <w:b/>
                <w:bCs/>
                <w:color w:val="000000"/>
                <w:sz w:val="20"/>
                <w:szCs w:val="20"/>
              </w:rPr>
            </w:pPr>
            <w:r w:rsidRPr="00B24240">
              <w:rPr>
                <w:rFonts w:eastAsia="Times New Roman" w:cstheme="minorHAnsi"/>
                <w:b/>
                <w:bCs/>
                <w:color w:val="000000"/>
                <w:sz w:val="20"/>
                <w:szCs w:val="20"/>
              </w:rPr>
              <w:t>2013-14</w:t>
            </w:r>
          </w:p>
        </w:tc>
        <w:tc>
          <w:tcPr>
            <w:tcW w:w="1027" w:type="dxa"/>
            <w:shd w:val="clear" w:color="auto" w:fill="auto"/>
            <w:vAlign w:val="bottom"/>
            <w:hideMark/>
          </w:tcPr>
          <w:p w:rsidR="00C945FC" w:rsidRPr="00B24240" w:rsidRDefault="00C945FC" w:rsidP="00C945FC">
            <w:pPr>
              <w:spacing w:after="0" w:line="240" w:lineRule="auto"/>
              <w:rPr>
                <w:rFonts w:eastAsia="Times New Roman" w:cstheme="minorHAnsi"/>
                <w:b/>
                <w:bCs/>
                <w:color w:val="000000"/>
                <w:sz w:val="20"/>
                <w:szCs w:val="20"/>
              </w:rPr>
            </w:pPr>
            <w:r w:rsidRPr="00B24240">
              <w:rPr>
                <w:rFonts w:eastAsia="Times New Roman" w:cstheme="minorHAnsi"/>
                <w:b/>
                <w:bCs/>
                <w:color w:val="000000"/>
                <w:sz w:val="20"/>
                <w:szCs w:val="20"/>
              </w:rPr>
              <w:t xml:space="preserve">2014-15 </w:t>
            </w:r>
          </w:p>
        </w:tc>
        <w:tc>
          <w:tcPr>
            <w:tcW w:w="1027" w:type="dxa"/>
            <w:shd w:val="clear" w:color="auto" w:fill="auto"/>
            <w:vAlign w:val="bottom"/>
            <w:hideMark/>
          </w:tcPr>
          <w:p w:rsidR="00C945FC" w:rsidRPr="00B24240" w:rsidRDefault="00C945FC" w:rsidP="00C945FC">
            <w:pPr>
              <w:spacing w:after="0" w:line="240" w:lineRule="auto"/>
              <w:rPr>
                <w:rFonts w:eastAsia="Times New Roman" w:cstheme="minorHAnsi"/>
                <w:b/>
                <w:bCs/>
                <w:color w:val="000000"/>
                <w:sz w:val="20"/>
                <w:szCs w:val="20"/>
              </w:rPr>
            </w:pPr>
            <w:r w:rsidRPr="00B24240">
              <w:rPr>
                <w:rFonts w:eastAsia="Times New Roman" w:cstheme="minorHAnsi"/>
                <w:b/>
                <w:bCs/>
                <w:color w:val="000000"/>
                <w:sz w:val="20"/>
                <w:szCs w:val="20"/>
              </w:rPr>
              <w:t>2015-16 (A)</w:t>
            </w:r>
          </w:p>
        </w:tc>
        <w:tc>
          <w:tcPr>
            <w:tcW w:w="1027" w:type="dxa"/>
            <w:shd w:val="clear" w:color="auto" w:fill="auto"/>
            <w:vAlign w:val="bottom"/>
            <w:hideMark/>
          </w:tcPr>
          <w:p w:rsidR="00C945FC" w:rsidRPr="00B24240" w:rsidRDefault="00C945FC" w:rsidP="00C945FC">
            <w:pPr>
              <w:spacing w:after="0" w:line="240" w:lineRule="auto"/>
              <w:rPr>
                <w:rFonts w:eastAsia="Times New Roman" w:cstheme="minorHAnsi"/>
                <w:b/>
                <w:bCs/>
                <w:color w:val="000000"/>
                <w:sz w:val="20"/>
                <w:szCs w:val="20"/>
              </w:rPr>
            </w:pPr>
            <w:r w:rsidRPr="00B24240">
              <w:rPr>
                <w:rFonts w:eastAsia="Times New Roman" w:cstheme="minorHAnsi"/>
                <w:b/>
                <w:bCs/>
                <w:color w:val="000000"/>
                <w:sz w:val="20"/>
                <w:szCs w:val="20"/>
              </w:rPr>
              <w:t>2016-17 (BE)</w:t>
            </w:r>
          </w:p>
        </w:tc>
        <w:tc>
          <w:tcPr>
            <w:tcW w:w="1027" w:type="dxa"/>
            <w:shd w:val="clear" w:color="auto" w:fill="auto"/>
            <w:vAlign w:val="bottom"/>
            <w:hideMark/>
          </w:tcPr>
          <w:p w:rsidR="00C945FC" w:rsidRPr="00B24240" w:rsidRDefault="00C945FC" w:rsidP="00C945FC">
            <w:pPr>
              <w:spacing w:after="0" w:line="240" w:lineRule="auto"/>
              <w:rPr>
                <w:rFonts w:eastAsia="Times New Roman" w:cstheme="minorHAnsi"/>
                <w:b/>
                <w:bCs/>
                <w:color w:val="000000"/>
                <w:sz w:val="20"/>
                <w:szCs w:val="20"/>
              </w:rPr>
            </w:pPr>
            <w:r w:rsidRPr="00B24240">
              <w:rPr>
                <w:rFonts w:eastAsia="Times New Roman" w:cstheme="minorHAnsi"/>
                <w:b/>
                <w:bCs/>
                <w:color w:val="000000"/>
                <w:sz w:val="20"/>
                <w:szCs w:val="20"/>
              </w:rPr>
              <w:t>2016-17 (RE)</w:t>
            </w:r>
          </w:p>
        </w:tc>
        <w:tc>
          <w:tcPr>
            <w:tcW w:w="1027" w:type="dxa"/>
            <w:shd w:val="clear" w:color="auto" w:fill="auto"/>
            <w:vAlign w:val="bottom"/>
            <w:hideMark/>
          </w:tcPr>
          <w:p w:rsidR="00C945FC" w:rsidRPr="00B24240" w:rsidRDefault="00C945FC" w:rsidP="00C945FC">
            <w:pPr>
              <w:spacing w:after="0" w:line="240" w:lineRule="auto"/>
              <w:rPr>
                <w:rFonts w:eastAsia="Times New Roman" w:cstheme="minorHAnsi"/>
                <w:b/>
                <w:bCs/>
                <w:color w:val="000000"/>
                <w:sz w:val="20"/>
                <w:szCs w:val="20"/>
              </w:rPr>
            </w:pPr>
            <w:r w:rsidRPr="00B24240">
              <w:rPr>
                <w:rFonts w:eastAsia="Times New Roman" w:cstheme="minorHAnsi"/>
                <w:b/>
                <w:bCs/>
                <w:color w:val="000000"/>
                <w:sz w:val="20"/>
                <w:szCs w:val="20"/>
              </w:rPr>
              <w:t>2017-18 (BE)</w:t>
            </w:r>
          </w:p>
        </w:tc>
      </w:tr>
      <w:tr w:rsidR="00C945FC" w:rsidRPr="00B24240" w:rsidTr="00C945FC">
        <w:trPr>
          <w:trHeight w:val="270"/>
          <w:jc w:val="center"/>
        </w:trPr>
        <w:tc>
          <w:tcPr>
            <w:tcW w:w="582"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1</w:t>
            </w: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Ministry of Culture</w:t>
            </w:r>
          </w:p>
        </w:tc>
        <w:tc>
          <w:tcPr>
            <w:tcW w:w="1255"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w:t>
            </w:r>
            <w:r>
              <w:rPr>
                <w:rFonts w:eastAsia="Times New Roman" w:cstheme="minorHAnsi"/>
                <w:color w:val="000000"/>
                <w:sz w:val="20"/>
                <w:szCs w:val="20"/>
              </w:rPr>
              <w:t>,</w:t>
            </w:r>
            <w:r w:rsidRPr="00B24240">
              <w:rPr>
                <w:rFonts w:eastAsia="Times New Roman" w:cstheme="minorHAnsi"/>
                <w:color w:val="000000"/>
                <w:sz w:val="20"/>
                <w:szCs w:val="20"/>
              </w:rPr>
              <w:t>388</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w:t>
            </w:r>
            <w:r>
              <w:rPr>
                <w:rFonts w:eastAsia="Times New Roman" w:cstheme="minorHAnsi"/>
                <w:color w:val="000000"/>
                <w:sz w:val="20"/>
                <w:szCs w:val="20"/>
              </w:rPr>
              <w:t>,</w:t>
            </w:r>
            <w:r w:rsidRPr="00B24240">
              <w:rPr>
                <w:rFonts w:eastAsia="Times New Roman" w:cstheme="minorHAnsi"/>
                <w:color w:val="000000"/>
                <w:sz w:val="20"/>
                <w:szCs w:val="20"/>
              </w:rPr>
              <w:t>989</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2</w:t>
            </w:r>
            <w:r>
              <w:rPr>
                <w:rFonts w:eastAsia="Times New Roman" w:cstheme="minorHAnsi"/>
                <w:color w:val="000000"/>
                <w:sz w:val="20"/>
                <w:szCs w:val="20"/>
              </w:rPr>
              <w:t>,</w:t>
            </w:r>
            <w:r w:rsidRPr="00B24240">
              <w:rPr>
                <w:rFonts w:eastAsia="Times New Roman" w:cstheme="minorHAnsi"/>
                <w:color w:val="000000"/>
                <w:sz w:val="20"/>
                <w:szCs w:val="20"/>
              </w:rPr>
              <w:t>064</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2</w:t>
            </w:r>
            <w:r>
              <w:rPr>
                <w:rFonts w:eastAsia="Times New Roman" w:cstheme="minorHAnsi"/>
                <w:color w:val="000000"/>
                <w:sz w:val="20"/>
                <w:szCs w:val="20"/>
              </w:rPr>
              <w:t>,</w:t>
            </w:r>
            <w:r w:rsidRPr="00B24240">
              <w:rPr>
                <w:rFonts w:eastAsia="Times New Roman" w:cstheme="minorHAnsi"/>
                <w:color w:val="000000"/>
                <w:sz w:val="20"/>
                <w:szCs w:val="20"/>
              </w:rPr>
              <w:t>007</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2</w:t>
            </w:r>
            <w:r>
              <w:rPr>
                <w:rFonts w:eastAsia="Times New Roman" w:cstheme="minorHAnsi"/>
                <w:color w:val="000000"/>
                <w:sz w:val="20"/>
                <w:szCs w:val="20"/>
              </w:rPr>
              <w:t>,</w:t>
            </w:r>
            <w:r w:rsidRPr="00B24240">
              <w:rPr>
                <w:rFonts w:eastAsia="Times New Roman" w:cstheme="minorHAnsi"/>
                <w:color w:val="000000"/>
                <w:sz w:val="20"/>
                <w:szCs w:val="20"/>
              </w:rPr>
              <w:t>500</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2</w:t>
            </w:r>
            <w:r>
              <w:rPr>
                <w:rFonts w:eastAsia="Times New Roman" w:cstheme="minorHAnsi"/>
                <w:color w:val="000000"/>
                <w:sz w:val="20"/>
                <w:szCs w:val="20"/>
              </w:rPr>
              <w:t>,</w:t>
            </w:r>
            <w:r w:rsidRPr="00B24240">
              <w:rPr>
                <w:rFonts w:eastAsia="Times New Roman" w:cstheme="minorHAnsi"/>
                <w:color w:val="000000"/>
                <w:sz w:val="20"/>
                <w:szCs w:val="20"/>
              </w:rPr>
              <w:t>489</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2</w:t>
            </w:r>
            <w:r>
              <w:rPr>
                <w:rFonts w:eastAsia="Times New Roman" w:cstheme="minorHAnsi"/>
                <w:color w:val="000000"/>
                <w:sz w:val="20"/>
                <w:szCs w:val="20"/>
              </w:rPr>
              <w:t>,</w:t>
            </w:r>
            <w:r w:rsidRPr="00B24240">
              <w:rPr>
                <w:rFonts w:eastAsia="Times New Roman" w:cstheme="minorHAnsi"/>
                <w:color w:val="000000"/>
                <w:sz w:val="20"/>
                <w:szCs w:val="20"/>
              </w:rPr>
              <w:t>738</w:t>
            </w:r>
          </w:p>
        </w:tc>
      </w:tr>
      <w:tr w:rsidR="00C945FC" w:rsidRPr="00B24240" w:rsidTr="00C945FC">
        <w:trPr>
          <w:trHeight w:val="460"/>
          <w:jc w:val="center"/>
        </w:trPr>
        <w:tc>
          <w:tcPr>
            <w:tcW w:w="582"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2</w:t>
            </w: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Ministry/Dept. of Drinking Water and Sanitation</w:t>
            </w:r>
          </w:p>
        </w:tc>
        <w:tc>
          <w:tcPr>
            <w:tcW w:w="1255"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12</w:t>
            </w:r>
            <w:r>
              <w:rPr>
                <w:rFonts w:eastAsia="Times New Roman" w:cstheme="minorHAnsi"/>
                <w:color w:val="000000"/>
                <w:sz w:val="20"/>
                <w:szCs w:val="20"/>
              </w:rPr>
              <w:t>,</w:t>
            </w:r>
            <w:r w:rsidRPr="00B24240">
              <w:rPr>
                <w:rFonts w:eastAsia="Times New Roman" w:cstheme="minorHAnsi"/>
                <w:color w:val="000000"/>
                <w:sz w:val="20"/>
                <w:szCs w:val="20"/>
              </w:rPr>
              <w:t>969</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11</w:t>
            </w:r>
            <w:r>
              <w:rPr>
                <w:rFonts w:eastAsia="Times New Roman" w:cstheme="minorHAnsi"/>
                <w:color w:val="000000"/>
                <w:sz w:val="20"/>
                <w:szCs w:val="20"/>
              </w:rPr>
              <w:t>,</w:t>
            </w:r>
            <w:r w:rsidRPr="00B24240">
              <w:rPr>
                <w:rFonts w:eastAsia="Times New Roman" w:cstheme="minorHAnsi"/>
                <w:color w:val="000000"/>
                <w:sz w:val="20"/>
                <w:szCs w:val="20"/>
              </w:rPr>
              <w:t>941</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12</w:t>
            </w:r>
            <w:r>
              <w:rPr>
                <w:rFonts w:eastAsia="Times New Roman" w:cstheme="minorHAnsi"/>
                <w:color w:val="000000"/>
                <w:sz w:val="20"/>
                <w:szCs w:val="20"/>
              </w:rPr>
              <w:t>,</w:t>
            </w:r>
            <w:r w:rsidRPr="00B24240">
              <w:rPr>
                <w:rFonts w:eastAsia="Times New Roman" w:cstheme="minorHAnsi"/>
                <w:color w:val="000000"/>
                <w:sz w:val="20"/>
                <w:szCs w:val="20"/>
              </w:rPr>
              <w:t>091</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11</w:t>
            </w:r>
            <w:r>
              <w:rPr>
                <w:rFonts w:eastAsia="Times New Roman" w:cstheme="minorHAnsi"/>
                <w:color w:val="000000"/>
                <w:sz w:val="20"/>
                <w:szCs w:val="20"/>
              </w:rPr>
              <w:t>,</w:t>
            </w:r>
            <w:r w:rsidRPr="00B24240">
              <w:rPr>
                <w:rFonts w:eastAsia="Times New Roman" w:cstheme="minorHAnsi"/>
                <w:color w:val="000000"/>
                <w:sz w:val="20"/>
                <w:szCs w:val="20"/>
              </w:rPr>
              <w:t>081</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14</w:t>
            </w:r>
            <w:r>
              <w:rPr>
                <w:rFonts w:eastAsia="Times New Roman" w:cstheme="minorHAnsi"/>
                <w:color w:val="000000"/>
                <w:sz w:val="20"/>
                <w:szCs w:val="20"/>
              </w:rPr>
              <w:t>,</w:t>
            </w:r>
            <w:r w:rsidRPr="00B24240">
              <w:rPr>
                <w:rFonts w:eastAsia="Times New Roman" w:cstheme="minorHAnsi"/>
                <w:color w:val="000000"/>
                <w:sz w:val="20"/>
                <w:szCs w:val="20"/>
              </w:rPr>
              <w:t>010</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16</w:t>
            </w:r>
            <w:r>
              <w:rPr>
                <w:rFonts w:eastAsia="Times New Roman" w:cstheme="minorHAnsi"/>
                <w:color w:val="000000"/>
                <w:sz w:val="20"/>
                <w:szCs w:val="20"/>
              </w:rPr>
              <w:t>,</w:t>
            </w:r>
            <w:r w:rsidRPr="00B24240">
              <w:rPr>
                <w:rFonts w:eastAsia="Times New Roman" w:cstheme="minorHAnsi"/>
                <w:color w:val="000000"/>
                <w:sz w:val="20"/>
                <w:szCs w:val="20"/>
              </w:rPr>
              <w:t>512</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20</w:t>
            </w:r>
            <w:r>
              <w:rPr>
                <w:rFonts w:eastAsia="Times New Roman" w:cstheme="minorHAnsi"/>
                <w:color w:val="000000"/>
                <w:sz w:val="20"/>
                <w:szCs w:val="20"/>
              </w:rPr>
              <w:t>,</w:t>
            </w:r>
            <w:r w:rsidRPr="00B24240">
              <w:rPr>
                <w:rFonts w:eastAsia="Times New Roman" w:cstheme="minorHAnsi"/>
                <w:color w:val="000000"/>
                <w:sz w:val="20"/>
                <w:szCs w:val="20"/>
              </w:rPr>
              <w:t>011</w:t>
            </w:r>
          </w:p>
        </w:tc>
      </w:tr>
      <w:tr w:rsidR="00C945FC" w:rsidRPr="00B24240" w:rsidTr="00C945FC">
        <w:trPr>
          <w:trHeight w:val="395"/>
          <w:jc w:val="center"/>
        </w:trPr>
        <w:tc>
          <w:tcPr>
            <w:tcW w:w="582"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3</w:t>
            </w: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 xml:space="preserve">Ministry of Health and Family Welfare </w:t>
            </w:r>
            <w:r w:rsidRPr="00B24240">
              <w:rPr>
                <w:rFonts w:eastAsia="Times New Roman" w:cstheme="minorHAnsi"/>
                <w:color w:val="000000"/>
                <w:sz w:val="20"/>
                <w:szCs w:val="20"/>
              </w:rPr>
              <w:lastRenderedPageBreak/>
              <w:t>(including AYUSH)</w:t>
            </w:r>
          </w:p>
        </w:tc>
        <w:tc>
          <w:tcPr>
            <w:tcW w:w="1255"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lastRenderedPageBreak/>
              <w:t>27</w:t>
            </w:r>
            <w:r>
              <w:rPr>
                <w:rFonts w:eastAsia="Times New Roman" w:cstheme="minorHAnsi"/>
                <w:color w:val="000000"/>
                <w:sz w:val="20"/>
                <w:szCs w:val="20"/>
              </w:rPr>
              <w:t>,</w:t>
            </w:r>
            <w:r w:rsidRPr="00B24240">
              <w:rPr>
                <w:rFonts w:eastAsia="Times New Roman" w:cstheme="minorHAnsi"/>
                <w:color w:val="000000"/>
                <w:sz w:val="20"/>
                <w:szCs w:val="20"/>
              </w:rPr>
              <w:t>885</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30</w:t>
            </w:r>
            <w:r>
              <w:rPr>
                <w:rFonts w:eastAsia="Times New Roman" w:cstheme="minorHAnsi"/>
                <w:color w:val="000000"/>
                <w:sz w:val="20"/>
                <w:szCs w:val="20"/>
              </w:rPr>
              <w:t>,</w:t>
            </w:r>
            <w:r w:rsidRPr="00B24240">
              <w:rPr>
                <w:rFonts w:eastAsia="Times New Roman" w:cstheme="minorHAnsi"/>
                <w:color w:val="000000"/>
                <w:sz w:val="20"/>
                <w:szCs w:val="20"/>
              </w:rPr>
              <w:t>135</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32</w:t>
            </w:r>
            <w:r>
              <w:rPr>
                <w:rFonts w:eastAsia="Times New Roman" w:cstheme="minorHAnsi"/>
                <w:color w:val="000000"/>
                <w:sz w:val="20"/>
                <w:szCs w:val="20"/>
              </w:rPr>
              <w:t>,</w:t>
            </w:r>
            <w:r w:rsidRPr="00B24240">
              <w:rPr>
                <w:rFonts w:eastAsia="Times New Roman" w:cstheme="minorHAnsi"/>
                <w:color w:val="000000"/>
                <w:sz w:val="20"/>
                <w:szCs w:val="20"/>
              </w:rPr>
              <w:t>154</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35</w:t>
            </w:r>
            <w:r>
              <w:rPr>
                <w:rFonts w:eastAsia="Times New Roman" w:cstheme="minorHAnsi"/>
                <w:color w:val="000000"/>
                <w:sz w:val="20"/>
                <w:szCs w:val="20"/>
              </w:rPr>
              <w:t>,</w:t>
            </w:r>
            <w:r w:rsidRPr="00B24240">
              <w:rPr>
                <w:rFonts w:eastAsia="Times New Roman" w:cstheme="minorHAnsi"/>
                <w:color w:val="000000"/>
                <w:sz w:val="20"/>
                <w:szCs w:val="20"/>
              </w:rPr>
              <w:t>190</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39</w:t>
            </w:r>
            <w:r>
              <w:rPr>
                <w:rFonts w:eastAsia="Times New Roman" w:cstheme="minorHAnsi"/>
                <w:color w:val="000000"/>
                <w:sz w:val="20"/>
                <w:szCs w:val="20"/>
              </w:rPr>
              <w:t>,</w:t>
            </w:r>
            <w:r w:rsidRPr="00B24240">
              <w:rPr>
                <w:rFonts w:eastAsia="Times New Roman" w:cstheme="minorHAnsi"/>
                <w:color w:val="000000"/>
                <w:sz w:val="20"/>
                <w:szCs w:val="20"/>
              </w:rPr>
              <w:t>533</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40</w:t>
            </w:r>
            <w:r>
              <w:rPr>
                <w:rFonts w:eastAsia="Times New Roman" w:cstheme="minorHAnsi"/>
                <w:color w:val="000000"/>
                <w:sz w:val="20"/>
                <w:szCs w:val="20"/>
              </w:rPr>
              <w:t>,</w:t>
            </w:r>
            <w:r w:rsidRPr="00B24240">
              <w:rPr>
                <w:rFonts w:eastAsia="Times New Roman" w:cstheme="minorHAnsi"/>
                <w:color w:val="000000"/>
                <w:sz w:val="20"/>
                <w:szCs w:val="20"/>
              </w:rPr>
              <w:t>995</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50</w:t>
            </w:r>
            <w:r>
              <w:rPr>
                <w:rFonts w:eastAsia="Times New Roman" w:cstheme="minorHAnsi"/>
                <w:color w:val="000000"/>
                <w:sz w:val="20"/>
                <w:szCs w:val="20"/>
              </w:rPr>
              <w:t>,</w:t>
            </w:r>
            <w:r w:rsidRPr="00B24240">
              <w:rPr>
                <w:rFonts w:eastAsia="Times New Roman" w:cstheme="minorHAnsi"/>
                <w:color w:val="000000"/>
                <w:sz w:val="20"/>
                <w:szCs w:val="20"/>
              </w:rPr>
              <w:t>281</w:t>
            </w:r>
          </w:p>
        </w:tc>
      </w:tr>
      <w:tr w:rsidR="00C945FC" w:rsidRPr="00B24240" w:rsidTr="00C945FC">
        <w:trPr>
          <w:trHeight w:val="428"/>
          <w:jc w:val="center"/>
        </w:trPr>
        <w:tc>
          <w:tcPr>
            <w:tcW w:w="582"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lastRenderedPageBreak/>
              <w:t>4</w:t>
            </w: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Ministry of Housing and Urban Poverty Alleviation</w:t>
            </w:r>
          </w:p>
        </w:tc>
        <w:tc>
          <w:tcPr>
            <w:tcW w:w="1255"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933</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w:t>
            </w:r>
            <w:r>
              <w:rPr>
                <w:rFonts w:eastAsia="Times New Roman" w:cstheme="minorHAnsi"/>
                <w:color w:val="000000"/>
                <w:sz w:val="20"/>
                <w:szCs w:val="20"/>
              </w:rPr>
              <w:t>,</w:t>
            </w:r>
            <w:r w:rsidRPr="00B24240">
              <w:rPr>
                <w:rFonts w:eastAsia="Times New Roman" w:cstheme="minorHAnsi"/>
                <w:color w:val="000000"/>
                <w:sz w:val="20"/>
                <w:szCs w:val="20"/>
              </w:rPr>
              <w:t>084</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2</w:t>
            </w:r>
            <w:r>
              <w:rPr>
                <w:rFonts w:eastAsia="Times New Roman" w:cstheme="minorHAnsi"/>
                <w:color w:val="000000"/>
                <w:sz w:val="20"/>
                <w:szCs w:val="20"/>
              </w:rPr>
              <w:t>,</w:t>
            </w:r>
            <w:r w:rsidRPr="00B24240">
              <w:rPr>
                <w:rFonts w:eastAsia="Times New Roman" w:cstheme="minorHAnsi"/>
                <w:color w:val="000000"/>
                <w:sz w:val="20"/>
                <w:szCs w:val="20"/>
              </w:rPr>
              <w:t>728</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w:t>
            </w:r>
            <w:r>
              <w:rPr>
                <w:rFonts w:eastAsia="Times New Roman" w:cstheme="minorHAnsi"/>
                <w:color w:val="000000"/>
                <w:sz w:val="20"/>
                <w:szCs w:val="20"/>
              </w:rPr>
              <w:t>,</w:t>
            </w:r>
            <w:r w:rsidRPr="00B24240">
              <w:rPr>
                <w:rFonts w:eastAsia="Times New Roman" w:cstheme="minorHAnsi"/>
                <w:color w:val="000000"/>
                <w:sz w:val="20"/>
                <w:szCs w:val="20"/>
              </w:rPr>
              <w:t>761</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5</w:t>
            </w:r>
            <w:r>
              <w:rPr>
                <w:rFonts w:eastAsia="Times New Roman" w:cstheme="minorHAnsi"/>
                <w:color w:val="000000"/>
                <w:sz w:val="20"/>
                <w:szCs w:val="20"/>
              </w:rPr>
              <w:t>,</w:t>
            </w:r>
            <w:r w:rsidRPr="00B24240">
              <w:rPr>
                <w:rFonts w:eastAsia="Times New Roman" w:cstheme="minorHAnsi"/>
                <w:color w:val="000000"/>
                <w:sz w:val="20"/>
                <w:szCs w:val="20"/>
              </w:rPr>
              <w:t>411</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5</w:t>
            </w:r>
            <w:r>
              <w:rPr>
                <w:rFonts w:eastAsia="Times New Roman" w:cstheme="minorHAnsi"/>
                <w:color w:val="000000"/>
                <w:sz w:val="20"/>
                <w:szCs w:val="20"/>
              </w:rPr>
              <w:t>,</w:t>
            </w:r>
            <w:r w:rsidRPr="00B24240">
              <w:rPr>
                <w:rFonts w:eastAsia="Times New Roman" w:cstheme="minorHAnsi"/>
                <w:color w:val="000000"/>
                <w:sz w:val="20"/>
                <w:szCs w:val="20"/>
              </w:rPr>
              <w:t>285</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6</w:t>
            </w:r>
            <w:r>
              <w:rPr>
                <w:rFonts w:eastAsia="Times New Roman" w:cstheme="minorHAnsi"/>
                <w:color w:val="000000"/>
                <w:sz w:val="20"/>
                <w:szCs w:val="20"/>
              </w:rPr>
              <w:t>,</w:t>
            </w:r>
            <w:r w:rsidRPr="00B24240">
              <w:rPr>
                <w:rFonts w:eastAsia="Times New Roman" w:cstheme="minorHAnsi"/>
                <w:color w:val="000000"/>
                <w:sz w:val="20"/>
                <w:szCs w:val="20"/>
              </w:rPr>
              <w:t>406</w:t>
            </w:r>
          </w:p>
        </w:tc>
      </w:tr>
      <w:tr w:rsidR="00C945FC" w:rsidRPr="00B24240" w:rsidTr="00C945FC">
        <w:trPr>
          <w:trHeight w:val="437"/>
          <w:jc w:val="center"/>
        </w:trPr>
        <w:tc>
          <w:tcPr>
            <w:tcW w:w="582"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5</w:t>
            </w: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Ministry of Human Resource Development</w:t>
            </w:r>
          </w:p>
        </w:tc>
        <w:tc>
          <w:tcPr>
            <w:tcW w:w="1255"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66</w:t>
            </w:r>
            <w:r>
              <w:rPr>
                <w:rFonts w:eastAsia="Times New Roman" w:cstheme="minorHAnsi"/>
                <w:color w:val="000000"/>
                <w:sz w:val="20"/>
                <w:szCs w:val="20"/>
              </w:rPr>
              <w:t>,</w:t>
            </w:r>
            <w:r w:rsidRPr="00B24240">
              <w:rPr>
                <w:rFonts w:eastAsia="Times New Roman" w:cstheme="minorHAnsi"/>
                <w:color w:val="000000"/>
                <w:sz w:val="20"/>
                <w:szCs w:val="20"/>
              </w:rPr>
              <w:t>055</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71</w:t>
            </w:r>
            <w:r>
              <w:rPr>
                <w:rFonts w:eastAsia="Times New Roman" w:cstheme="minorHAnsi"/>
                <w:color w:val="000000"/>
                <w:sz w:val="20"/>
                <w:szCs w:val="20"/>
              </w:rPr>
              <w:t>,</w:t>
            </w:r>
            <w:r w:rsidRPr="00B24240">
              <w:rPr>
                <w:rFonts w:eastAsia="Times New Roman" w:cstheme="minorHAnsi"/>
                <w:color w:val="000000"/>
                <w:sz w:val="20"/>
                <w:szCs w:val="20"/>
              </w:rPr>
              <w:t>322</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68</w:t>
            </w:r>
            <w:r>
              <w:rPr>
                <w:rFonts w:eastAsia="Times New Roman" w:cstheme="minorHAnsi"/>
                <w:color w:val="000000"/>
                <w:sz w:val="20"/>
                <w:szCs w:val="20"/>
              </w:rPr>
              <w:t>,</w:t>
            </w:r>
            <w:r w:rsidRPr="00B24240">
              <w:rPr>
                <w:rFonts w:eastAsia="Times New Roman" w:cstheme="minorHAnsi"/>
                <w:color w:val="000000"/>
                <w:sz w:val="20"/>
                <w:szCs w:val="20"/>
              </w:rPr>
              <w:t>875</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67</w:t>
            </w:r>
            <w:r>
              <w:rPr>
                <w:rFonts w:eastAsia="Times New Roman" w:cstheme="minorHAnsi"/>
                <w:color w:val="000000"/>
                <w:sz w:val="20"/>
                <w:szCs w:val="20"/>
              </w:rPr>
              <w:t>,</w:t>
            </w:r>
            <w:r w:rsidRPr="00B24240">
              <w:rPr>
                <w:rFonts w:eastAsia="Times New Roman" w:cstheme="minorHAnsi"/>
                <w:color w:val="000000"/>
                <w:sz w:val="20"/>
                <w:szCs w:val="20"/>
              </w:rPr>
              <w:t>239</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72</w:t>
            </w:r>
            <w:r>
              <w:rPr>
                <w:rFonts w:eastAsia="Times New Roman" w:cstheme="minorHAnsi"/>
                <w:color w:val="000000"/>
                <w:sz w:val="20"/>
                <w:szCs w:val="20"/>
              </w:rPr>
              <w:t>,</w:t>
            </w:r>
            <w:r w:rsidRPr="00B24240">
              <w:rPr>
                <w:rFonts w:eastAsia="Times New Roman" w:cstheme="minorHAnsi"/>
                <w:color w:val="000000"/>
                <w:sz w:val="20"/>
                <w:szCs w:val="20"/>
              </w:rPr>
              <w:t>394</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73</w:t>
            </w:r>
            <w:r>
              <w:rPr>
                <w:rFonts w:eastAsia="Times New Roman" w:cstheme="minorHAnsi"/>
                <w:color w:val="000000"/>
                <w:sz w:val="20"/>
                <w:szCs w:val="20"/>
              </w:rPr>
              <w:t>,</w:t>
            </w:r>
            <w:r w:rsidRPr="00B24240">
              <w:rPr>
                <w:rFonts w:eastAsia="Times New Roman" w:cstheme="minorHAnsi"/>
                <w:color w:val="000000"/>
                <w:sz w:val="20"/>
                <w:szCs w:val="20"/>
              </w:rPr>
              <w:t>599</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79</w:t>
            </w:r>
            <w:r>
              <w:rPr>
                <w:rFonts w:eastAsia="Times New Roman" w:cstheme="minorHAnsi"/>
                <w:color w:val="000000"/>
                <w:sz w:val="20"/>
                <w:szCs w:val="20"/>
              </w:rPr>
              <w:t>,</w:t>
            </w:r>
            <w:r w:rsidRPr="00B24240">
              <w:rPr>
                <w:rFonts w:eastAsia="Times New Roman" w:cstheme="minorHAnsi"/>
                <w:color w:val="000000"/>
                <w:sz w:val="20"/>
                <w:szCs w:val="20"/>
              </w:rPr>
              <w:t>686</w:t>
            </w:r>
          </w:p>
        </w:tc>
      </w:tr>
      <w:tr w:rsidR="00C945FC" w:rsidRPr="00B24240" w:rsidTr="00C945FC">
        <w:trPr>
          <w:trHeight w:val="270"/>
          <w:jc w:val="center"/>
        </w:trPr>
        <w:tc>
          <w:tcPr>
            <w:tcW w:w="582"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6</w:t>
            </w: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 xml:space="preserve">Ministry of </w:t>
            </w:r>
            <w:proofErr w:type="spellStart"/>
            <w:r w:rsidRPr="00B24240">
              <w:rPr>
                <w:rFonts w:eastAsia="Times New Roman" w:cstheme="minorHAnsi"/>
                <w:color w:val="000000"/>
                <w:sz w:val="20"/>
                <w:szCs w:val="20"/>
              </w:rPr>
              <w:t>Labour</w:t>
            </w:r>
            <w:proofErr w:type="spellEnd"/>
            <w:r w:rsidRPr="00B24240">
              <w:rPr>
                <w:rFonts w:eastAsia="Times New Roman" w:cstheme="minorHAnsi"/>
                <w:color w:val="000000"/>
                <w:sz w:val="20"/>
                <w:szCs w:val="20"/>
              </w:rPr>
              <w:t xml:space="preserve"> and Employment</w:t>
            </w:r>
          </w:p>
        </w:tc>
        <w:tc>
          <w:tcPr>
            <w:tcW w:w="1255"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3</w:t>
            </w:r>
            <w:r>
              <w:rPr>
                <w:rFonts w:eastAsia="Times New Roman" w:cstheme="minorHAnsi"/>
                <w:color w:val="000000"/>
                <w:sz w:val="20"/>
                <w:szCs w:val="20"/>
              </w:rPr>
              <w:t>,</w:t>
            </w:r>
            <w:r w:rsidRPr="00B24240">
              <w:rPr>
                <w:rFonts w:eastAsia="Times New Roman" w:cstheme="minorHAnsi"/>
                <w:color w:val="000000"/>
                <w:sz w:val="20"/>
                <w:szCs w:val="20"/>
              </w:rPr>
              <w:t>645</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4</w:t>
            </w:r>
            <w:r>
              <w:rPr>
                <w:rFonts w:eastAsia="Times New Roman" w:cstheme="minorHAnsi"/>
                <w:color w:val="000000"/>
                <w:sz w:val="20"/>
                <w:szCs w:val="20"/>
              </w:rPr>
              <w:t>,</w:t>
            </w:r>
            <w:r w:rsidRPr="00B24240">
              <w:rPr>
                <w:rFonts w:eastAsia="Times New Roman" w:cstheme="minorHAnsi"/>
                <w:color w:val="000000"/>
                <w:sz w:val="20"/>
                <w:szCs w:val="20"/>
              </w:rPr>
              <w:t>233</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4</w:t>
            </w:r>
            <w:r>
              <w:rPr>
                <w:rFonts w:eastAsia="Times New Roman" w:cstheme="minorHAnsi"/>
                <w:color w:val="000000"/>
                <w:sz w:val="20"/>
                <w:szCs w:val="20"/>
              </w:rPr>
              <w:t>,</w:t>
            </w:r>
            <w:r w:rsidRPr="00B24240">
              <w:rPr>
                <w:rFonts w:eastAsia="Times New Roman" w:cstheme="minorHAnsi"/>
                <w:color w:val="000000"/>
                <w:sz w:val="20"/>
                <w:szCs w:val="20"/>
              </w:rPr>
              <w:t>138</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4</w:t>
            </w:r>
            <w:r>
              <w:rPr>
                <w:rFonts w:eastAsia="Times New Roman" w:cstheme="minorHAnsi"/>
                <w:color w:val="000000"/>
                <w:sz w:val="20"/>
                <w:szCs w:val="20"/>
              </w:rPr>
              <w:t>,</w:t>
            </w:r>
            <w:r w:rsidRPr="00B24240">
              <w:rPr>
                <w:rFonts w:eastAsia="Times New Roman" w:cstheme="minorHAnsi"/>
                <w:color w:val="000000"/>
                <w:sz w:val="20"/>
                <w:szCs w:val="20"/>
              </w:rPr>
              <w:t>642</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6</w:t>
            </w:r>
            <w:r w:rsidR="00CE52D2">
              <w:rPr>
                <w:rFonts w:eastAsia="Times New Roman" w:cstheme="minorHAnsi"/>
                <w:color w:val="000000"/>
                <w:sz w:val="20"/>
                <w:szCs w:val="20"/>
              </w:rPr>
              <w:t>,</w:t>
            </w:r>
            <w:r w:rsidRPr="00B24240">
              <w:rPr>
                <w:rFonts w:eastAsia="Times New Roman" w:cstheme="minorHAnsi"/>
                <w:color w:val="000000"/>
                <w:sz w:val="20"/>
                <w:szCs w:val="20"/>
              </w:rPr>
              <w:t>243</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5</w:t>
            </w:r>
            <w:r w:rsidR="00CE52D2">
              <w:rPr>
                <w:rFonts w:eastAsia="Times New Roman" w:cstheme="minorHAnsi"/>
                <w:color w:val="000000"/>
                <w:sz w:val="20"/>
                <w:szCs w:val="20"/>
              </w:rPr>
              <w:t>,</w:t>
            </w:r>
            <w:r w:rsidRPr="00B24240">
              <w:rPr>
                <w:rFonts w:eastAsia="Times New Roman" w:cstheme="minorHAnsi"/>
                <w:color w:val="000000"/>
                <w:sz w:val="20"/>
                <w:szCs w:val="20"/>
              </w:rPr>
              <w:t>174</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7</w:t>
            </w:r>
            <w:r w:rsidR="002D37A4">
              <w:rPr>
                <w:rFonts w:eastAsia="Times New Roman" w:cstheme="minorHAnsi"/>
                <w:color w:val="000000"/>
                <w:sz w:val="20"/>
                <w:szCs w:val="20"/>
              </w:rPr>
              <w:t>,</w:t>
            </w:r>
            <w:r w:rsidRPr="00B24240">
              <w:rPr>
                <w:rFonts w:eastAsia="Times New Roman" w:cstheme="minorHAnsi"/>
                <w:color w:val="000000"/>
                <w:sz w:val="20"/>
                <w:szCs w:val="20"/>
              </w:rPr>
              <w:t>188</w:t>
            </w:r>
          </w:p>
        </w:tc>
      </w:tr>
      <w:tr w:rsidR="00C945FC" w:rsidRPr="00B24240" w:rsidTr="00C945FC">
        <w:trPr>
          <w:trHeight w:val="270"/>
          <w:jc w:val="center"/>
        </w:trPr>
        <w:tc>
          <w:tcPr>
            <w:tcW w:w="582"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7</w:t>
            </w: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Ministry of Minority Affairs</w:t>
            </w:r>
          </w:p>
        </w:tc>
        <w:tc>
          <w:tcPr>
            <w:tcW w:w="1255"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2174</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3</w:t>
            </w:r>
            <w:r w:rsidR="00CE52D2">
              <w:rPr>
                <w:rFonts w:eastAsia="Times New Roman" w:cstheme="minorHAnsi"/>
                <w:color w:val="000000"/>
                <w:sz w:val="20"/>
                <w:szCs w:val="20"/>
              </w:rPr>
              <w:t>,</w:t>
            </w:r>
            <w:r w:rsidRPr="00B24240">
              <w:rPr>
                <w:rFonts w:eastAsia="Times New Roman" w:cstheme="minorHAnsi"/>
                <w:color w:val="000000"/>
                <w:sz w:val="20"/>
                <w:szCs w:val="20"/>
              </w:rPr>
              <w:t>027</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3089</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3655</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3</w:t>
            </w:r>
            <w:r w:rsidR="00CE52D2">
              <w:rPr>
                <w:rFonts w:eastAsia="Times New Roman" w:cstheme="minorHAnsi"/>
                <w:color w:val="000000"/>
                <w:sz w:val="20"/>
                <w:szCs w:val="20"/>
              </w:rPr>
              <w:t>,</w:t>
            </w:r>
            <w:r w:rsidRPr="00B24240">
              <w:rPr>
                <w:rFonts w:eastAsia="Times New Roman" w:cstheme="minorHAnsi"/>
                <w:color w:val="000000"/>
                <w:sz w:val="20"/>
                <w:szCs w:val="20"/>
              </w:rPr>
              <w:t>827</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3</w:t>
            </w:r>
            <w:r w:rsidR="00CE52D2">
              <w:rPr>
                <w:rFonts w:eastAsia="Times New Roman" w:cstheme="minorHAnsi"/>
                <w:color w:val="000000"/>
                <w:sz w:val="20"/>
                <w:szCs w:val="20"/>
              </w:rPr>
              <w:t>,</w:t>
            </w:r>
            <w:r w:rsidRPr="00B24240">
              <w:rPr>
                <w:rFonts w:eastAsia="Times New Roman" w:cstheme="minorHAnsi"/>
                <w:color w:val="000000"/>
                <w:sz w:val="20"/>
                <w:szCs w:val="20"/>
              </w:rPr>
              <w:t>827</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4</w:t>
            </w:r>
            <w:r w:rsidR="002D37A4">
              <w:rPr>
                <w:rFonts w:eastAsia="Times New Roman" w:cstheme="minorHAnsi"/>
                <w:color w:val="000000"/>
                <w:sz w:val="20"/>
                <w:szCs w:val="20"/>
              </w:rPr>
              <w:t>,</w:t>
            </w:r>
            <w:r w:rsidRPr="00B24240">
              <w:rPr>
                <w:rFonts w:eastAsia="Times New Roman" w:cstheme="minorHAnsi"/>
                <w:color w:val="000000"/>
                <w:sz w:val="20"/>
                <w:szCs w:val="20"/>
              </w:rPr>
              <w:t>195</w:t>
            </w:r>
          </w:p>
        </w:tc>
      </w:tr>
      <w:tr w:rsidR="00C945FC" w:rsidRPr="00B24240" w:rsidTr="00C945FC">
        <w:trPr>
          <w:trHeight w:val="468"/>
          <w:jc w:val="center"/>
        </w:trPr>
        <w:tc>
          <w:tcPr>
            <w:tcW w:w="582"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8</w:t>
            </w: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Ministry of Social Justice and Empowerment</w:t>
            </w:r>
          </w:p>
        </w:tc>
        <w:tc>
          <w:tcPr>
            <w:tcW w:w="1255"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4</w:t>
            </w:r>
            <w:r w:rsidR="00CE52D2">
              <w:rPr>
                <w:rFonts w:eastAsia="Times New Roman" w:cstheme="minorHAnsi"/>
                <w:color w:val="000000"/>
                <w:sz w:val="20"/>
                <w:szCs w:val="20"/>
              </w:rPr>
              <w:t>,</w:t>
            </w:r>
            <w:r w:rsidRPr="00B24240">
              <w:rPr>
                <w:rFonts w:eastAsia="Times New Roman" w:cstheme="minorHAnsi"/>
                <w:color w:val="000000"/>
                <w:sz w:val="20"/>
                <w:szCs w:val="20"/>
              </w:rPr>
              <w:t>940</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5</w:t>
            </w:r>
            <w:r w:rsidR="00CE52D2">
              <w:rPr>
                <w:rFonts w:eastAsia="Times New Roman" w:cstheme="minorHAnsi"/>
                <w:color w:val="000000"/>
                <w:sz w:val="20"/>
                <w:szCs w:val="20"/>
              </w:rPr>
              <w:t>,</w:t>
            </w:r>
            <w:r w:rsidRPr="00B24240">
              <w:rPr>
                <w:rFonts w:eastAsia="Times New Roman" w:cstheme="minorHAnsi"/>
                <w:color w:val="000000"/>
                <w:sz w:val="20"/>
                <w:szCs w:val="20"/>
              </w:rPr>
              <w:t>515</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5381</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5753</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6</w:t>
            </w:r>
            <w:r w:rsidR="00CE52D2">
              <w:rPr>
                <w:rFonts w:eastAsia="Times New Roman" w:cstheme="minorHAnsi"/>
                <w:color w:val="000000"/>
                <w:sz w:val="20"/>
                <w:szCs w:val="20"/>
              </w:rPr>
              <w:t>,</w:t>
            </w:r>
            <w:r w:rsidRPr="00B24240">
              <w:rPr>
                <w:rFonts w:eastAsia="Times New Roman" w:cstheme="minorHAnsi"/>
                <w:color w:val="000000"/>
                <w:sz w:val="20"/>
                <w:szCs w:val="20"/>
              </w:rPr>
              <w:t>566</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6</w:t>
            </w:r>
            <w:r w:rsidR="00CE52D2">
              <w:rPr>
                <w:rFonts w:eastAsia="Times New Roman" w:cstheme="minorHAnsi"/>
                <w:color w:val="000000"/>
                <w:sz w:val="20"/>
                <w:szCs w:val="20"/>
              </w:rPr>
              <w:t>,</w:t>
            </w:r>
            <w:r w:rsidRPr="00B24240">
              <w:rPr>
                <w:rFonts w:eastAsia="Times New Roman" w:cstheme="minorHAnsi"/>
                <w:color w:val="000000"/>
                <w:sz w:val="20"/>
                <w:szCs w:val="20"/>
              </w:rPr>
              <w:t>569</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6</w:t>
            </w:r>
            <w:r w:rsidR="002D37A4">
              <w:rPr>
                <w:rFonts w:eastAsia="Times New Roman" w:cstheme="minorHAnsi"/>
                <w:color w:val="000000"/>
                <w:sz w:val="20"/>
                <w:szCs w:val="20"/>
              </w:rPr>
              <w:t>,</w:t>
            </w:r>
            <w:r w:rsidRPr="00B24240">
              <w:rPr>
                <w:rFonts w:eastAsia="Times New Roman" w:cstheme="minorHAnsi"/>
                <w:color w:val="000000"/>
                <w:sz w:val="20"/>
                <w:szCs w:val="20"/>
              </w:rPr>
              <w:t>908</w:t>
            </w:r>
          </w:p>
        </w:tc>
      </w:tr>
      <w:tr w:rsidR="00C945FC" w:rsidRPr="00B24240" w:rsidTr="00C945FC">
        <w:trPr>
          <w:trHeight w:val="270"/>
          <w:jc w:val="center"/>
        </w:trPr>
        <w:tc>
          <w:tcPr>
            <w:tcW w:w="582"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9</w:t>
            </w: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Ministry of Tribal Affairs</w:t>
            </w:r>
          </w:p>
        </w:tc>
        <w:tc>
          <w:tcPr>
            <w:tcW w:w="1255"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3</w:t>
            </w:r>
            <w:r w:rsidR="00CE52D2">
              <w:rPr>
                <w:rFonts w:eastAsia="Times New Roman" w:cstheme="minorHAnsi"/>
                <w:color w:val="000000"/>
                <w:sz w:val="20"/>
                <w:szCs w:val="20"/>
              </w:rPr>
              <w:t>,</w:t>
            </w:r>
            <w:r w:rsidRPr="00B24240">
              <w:rPr>
                <w:rFonts w:eastAsia="Times New Roman" w:cstheme="minorHAnsi"/>
                <w:color w:val="000000"/>
                <w:sz w:val="20"/>
                <w:szCs w:val="20"/>
              </w:rPr>
              <w:t>073</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3</w:t>
            </w:r>
            <w:r w:rsidR="00CE52D2">
              <w:rPr>
                <w:rFonts w:eastAsia="Times New Roman" w:cstheme="minorHAnsi"/>
                <w:color w:val="000000"/>
                <w:sz w:val="20"/>
                <w:szCs w:val="20"/>
              </w:rPr>
              <w:t>,</w:t>
            </w:r>
            <w:r w:rsidRPr="00B24240">
              <w:rPr>
                <w:rFonts w:eastAsia="Times New Roman" w:cstheme="minorHAnsi"/>
                <w:color w:val="000000"/>
                <w:sz w:val="20"/>
                <w:szCs w:val="20"/>
              </w:rPr>
              <w:t>839</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3852</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4480</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4</w:t>
            </w:r>
            <w:r w:rsidR="00CE52D2">
              <w:rPr>
                <w:rFonts w:eastAsia="Times New Roman" w:cstheme="minorHAnsi"/>
                <w:color w:val="000000"/>
                <w:sz w:val="20"/>
                <w:szCs w:val="20"/>
              </w:rPr>
              <w:t>,</w:t>
            </w:r>
            <w:r w:rsidRPr="00B24240">
              <w:rPr>
                <w:rFonts w:eastAsia="Times New Roman" w:cstheme="minorHAnsi"/>
                <w:color w:val="000000"/>
                <w:sz w:val="20"/>
                <w:szCs w:val="20"/>
              </w:rPr>
              <w:t>827</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4</w:t>
            </w:r>
            <w:r w:rsidR="00CE52D2">
              <w:rPr>
                <w:rFonts w:eastAsia="Times New Roman" w:cstheme="minorHAnsi"/>
                <w:color w:val="000000"/>
                <w:sz w:val="20"/>
                <w:szCs w:val="20"/>
              </w:rPr>
              <w:t>,</w:t>
            </w:r>
            <w:r w:rsidRPr="00B24240">
              <w:rPr>
                <w:rFonts w:eastAsia="Times New Roman" w:cstheme="minorHAnsi"/>
                <w:color w:val="000000"/>
                <w:sz w:val="20"/>
                <w:szCs w:val="20"/>
              </w:rPr>
              <w:t>827</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5</w:t>
            </w:r>
            <w:r w:rsidR="002D37A4">
              <w:rPr>
                <w:rFonts w:eastAsia="Times New Roman" w:cstheme="minorHAnsi"/>
                <w:color w:val="000000"/>
                <w:sz w:val="20"/>
                <w:szCs w:val="20"/>
              </w:rPr>
              <w:t>,</w:t>
            </w:r>
            <w:r w:rsidRPr="00B24240">
              <w:rPr>
                <w:rFonts w:eastAsia="Times New Roman" w:cstheme="minorHAnsi"/>
                <w:color w:val="000000"/>
                <w:sz w:val="20"/>
                <w:szCs w:val="20"/>
              </w:rPr>
              <w:t>329</w:t>
            </w:r>
          </w:p>
        </w:tc>
      </w:tr>
      <w:tr w:rsidR="00C945FC" w:rsidRPr="00B24240" w:rsidTr="00C945FC">
        <w:trPr>
          <w:trHeight w:val="270"/>
          <w:jc w:val="center"/>
        </w:trPr>
        <w:tc>
          <w:tcPr>
            <w:tcW w:w="582"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10</w:t>
            </w: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Dept. of Urban Development</w:t>
            </w:r>
          </w:p>
        </w:tc>
        <w:tc>
          <w:tcPr>
            <w:tcW w:w="1255"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8</w:t>
            </w:r>
            <w:r w:rsidR="00CE52D2">
              <w:rPr>
                <w:rFonts w:eastAsia="Times New Roman" w:cstheme="minorHAnsi"/>
                <w:color w:val="000000"/>
                <w:sz w:val="20"/>
                <w:szCs w:val="20"/>
              </w:rPr>
              <w:t>,</w:t>
            </w:r>
            <w:r w:rsidRPr="00B24240">
              <w:rPr>
                <w:rFonts w:eastAsia="Times New Roman" w:cstheme="minorHAnsi"/>
                <w:color w:val="000000"/>
                <w:sz w:val="20"/>
                <w:szCs w:val="20"/>
              </w:rPr>
              <w:t>465</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9</w:t>
            </w:r>
            <w:r w:rsidR="00CE52D2">
              <w:rPr>
                <w:rFonts w:eastAsia="Times New Roman" w:cstheme="minorHAnsi"/>
                <w:color w:val="000000"/>
                <w:sz w:val="20"/>
                <w:szCs w:val="20"/>
              </w:rPr>
              <w:t>,</w:t>
            </w:r>
            <w:r w:rsidRPr="00B24240">
              <w:rPr>
                <w:rFonts w:eastAsia="Times New Roman" w:cstheme="minorHAnsi"/>
                <w:color w:val="000000"/>
                <w:sz w:val="20"/>
                <w:szCs w:val="20"/>
              </w:rPr>
              <w:t>363</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13254</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18419</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24</w:t>
            </w:r>
            <w:r w:rsidR="00CE52D2">
              <w:rPr>
                <w:rFonts w:eastAsia="Times New Roman" w:cstheme="minorHAnsi"/>
                <w:color w:val="000000"/>
                <w:sz w:val="20"/>
                <w:szCs w:val="20"/>
              </w:rPr>
              <w:t>,</w:t>
            </w:r>
            <w:r w:rsidRPr="00B24240">
              <w:rPr>
                <w:rFonts w:eastAsia="Times New Roman" w:cstheme="minorHAnsi"/>
                <w:color w:val="000000"/>
                <w:sz w:val="20"/>
                <w:szCs w:val="20"/>
              </w:rPr>
              <w:t>523</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32</w:t>
            </w:r>
            <w:r w:rsidR="00CE52D2">
              <w:rPr>
                <w:rFonts w:eastAsia="Times New Roman" w:cstheme="minorHAnsi"/>
                <w:color w:val="000000"/>
                <w:sz w:val="20"/>
                <w:szCs w:val="20"/>
              </w:rPr>
              <w:t>,</w:t>
            </w:r>
            <w:r w:rsidRPr="00B24240">
              <w:rPr>
                <w:rFonts w:eastAsia="Times New Roman" w:cstheme="minorHAnsi"/>
                <w:color w:val="000000"/>
                <w:sz w:val="20"/>
                <w:szCs w:val="20"/>
              </w:rPr>
              <w:t>550</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34</w:t>
            </w:r>
            <w:r w:rsidR="002D37A4">
              <w:rPr>
                <w:rFonts w:eastAsia="Times New Roman" w:cstheme="minorHAnsi"/>
                <w:color w:val="000000"/>
                <w:sz w:val="20"/>
                <w:szCs w:val="20"/>
              </w:rPr>
              <w:t>,</w:t>
            </w:r>
            <w:r w:rsidRPr="00B24240">
              <w:rPr>
                <w:rFonts w:eastAsia="Times New Roman" w:cstheme="minorHAnsi"/>
                <w:color w:val="000000"/>
                <w:sz w:val="20"/>
                <w:szCs w:val="20"/>
              </w:rPr>
              <w:t>212</w:t>
            </w:r>
          </w:p>
        </w:tc>
      </w:tr>
      <w:tr w:rsidR="00C945FC" w:rsidRPr="00B24240" w:rsidTr="00C945FC">
        <w:trPr>
          <w:trHeight w:val="372"/>
          <w:jc w:val="center"/>
        </w:trPr>
        <w:tc>
          <w:tcPr>
            <w:tcW w:w="582"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11</w:t>
            </w: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Ministry of Women and Child Development</w:t>
            </w:r>
          </w:p>
        </w:tc>
        <w:tc>
          <w:tcPr>
            <w:tcW w:w="1255"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17</w:t>
            </w:r>
            <w:r w:rsidR="00CE52D2">
              <w:rPr>
                <w:rFonts w:eastAsia="Times New Roman" w:cstheme="minorHAnsi"/>
                <w:color w:val="000000"/>
                <w:sz w:val="20"/>
                <w:szCs w:val="20"/>
              </w:rPr>
              <w:t>,</w:t>
            </w:r>
            <w:r w:rsidRPr="00B24240">
              <w:rPr>
                <w:rFonts w:eastAsia="Times New Roman" w:cstheme="minorHAnsi"/>
                <w:color w:val="000000"/>
                <w:sz w:val="20"/>
                <w:szCs w:val="20"/>
              </w:rPr>
              <w:t>036</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18</w:t>
            </w:r>
            <w:r w:rsidR="00CE52D2">
              <w:rPr>
                <w:rFonts w:eastAsia="Times New Roman" w:cstheme="minorHAnsi"/>
                <w:color w:val="000000"/>
                <w:sz w:val="20"/>
                <w:szCs w:val="20"/>
              </w:rPr>
              <w:t>,</w:t>
            </w:r>
            <w:r w:rsidRPr="00B24240">
              <w:rPr>
                <w:rFonts w:eastAsia="Times New Roman" w:cstheme="minorHAnsi"/>
                <w:color w:val="000000"/>
                <w:sz w:val="20"/>
                <w:szCs w:val="20"/>
              </w:rPr>
              <w:t>037</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18</w:t>
            </w:r>
            <w:r w:rsidR="00CE52D2">
              <w:rPr>
                <w:rFonts w:eastAsia="Times New Roman" w:cstheme="minorHAnsi"/>
                <w:color w:val="000000"/>
                <w:sz w:val="20"/>
                <w:szCs w:val="20"/>
              </w:rPr>
              <w:t>,</w:t>
            </w:r>
            <w:r w:rsidRPr="00B24240">
              <w:rPr>
                <w:rFonts w:eastAsia="Times New Roman" w:cstheme="minorHAnsi"/>
                <w:color w:val="000000"/>
                <w:sz w:val="20"/>
                <w:szCs w:val="20"/>
              </w:rPr>
              <w:t>539</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17249</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17</w:t>
            </w:r>
            <w:r w:rsidR="00CE52D2">
              <w:rPr>
                <w:rFonts w:eastAsia="Times New Roman" w:cstheme="minorHAnsi"/>
                <w:color w:val="000000"/>
                <w:sz w:val="20"/>
                <w:szCs w:val="20"/>
              </w:rPr>
              <w:t>,</w:t>
            </w:r>
            <w:r w:rsidRPr="00B24240">
              <w:rPr>
                <w:rFonts w:eastAsia="Times New Roman" w:cstheme="minorHAnsi"/>
                <w:color w:val="000000"/>
                <w:sz w:val="20"/>
                <w:szCs w:val="20"/>
              </w:rPr>
              <w:t>408</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17</w:t>
            </w:r>
            <w:r w:rsidR="002D37A4">
              <w:rPr>
                <w:rFonts w:eastAsia="Times New Roman" w:cstheme="minorHAnsi"/>
                <w:color w:val="000000"/>
                <w:sz w:val="20"/>
                <w:szCs w:val="20"/>
              </w:rPr>
              <w:t>,</w:t>
            </w:r>
            <w:r w:rsidRPr="00B24240">
              <w:rPr>
                <w:rFonts w:eastAsia="Times New Roman" w:cstheme="minorHAnsi"/>
                <w:color w:val="000000"/>
                <w:sz w:val="20"/>
                <w:szCs w:val="20"/>
              </w:rPr>
              <w:t>640</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22</w:t>
            </w:r>
            <w:r w:rsidR="002D37A4">
              <w:rPr>
                <w:rFonts w:eastAsia="Times New Roman" w:cstheme="minorHAnsi"/>
                <w:color w:val="000000"/>
                <w:sz w:val="20"/>
                <w:szCs w:val="20"/>
              </w:rPr>
              <w:t>,</w:t>
            </w:r>
            <w:r w:rsidRPr="00B24240">
              <w:rPr>
                <w:rFonts w:eastAsia="Times New Roman" w:cstheme="minorHAnsi"/>
                <w:color w:val="000000"/>
                <w:sz w:val="20"/>
                <w:szCs w:val="20"/>
              </w:rPr>
              <w:t>095</w:t>
            </w:r>
          </w:p>
        </w:tc>
      </w:tr>
      <w:tr w:rsidR="00C945FC" w:rsidRPr="00B24240" w:rsidTr="00C945FC">
        <w:trPr>
          <w:trHeight w:val="270"/>
          <w:jc w:val="center"/>
        </w:trPr>
        <w:tc>
          <w:tcPr>
            <w:tcW w:w="582"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12</w:t>
            </w: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Ministry of Youth Affairs and Sports</w:t>
            </w:r>
          </w:p>
        </w:tc>
        <w:tc>
          <w:tcPr>
            <w:tcW w:w="1255"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871</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w:t>
            </w:r>
            <w:r w:rsidR="00CE52D2">
              <w:rPr>
                <w:rFonts w:eastAsia="Times New Roman" w:cstheme="minorHAnsi"/>
                <w:color w:val="000000"/>
                <w:sz w:val="20"/>
                <w:szCs w:val="20"/>
              </w:rPr>
              <w:t>,</w:t>
            </w:r>
            <w:r w:rsidRPr="00B24240">
              <w:rPr>
                <w:rFonts w:eastAsia="Times New Roman" w:cstheme="minorHAnsi"/>
                <w:color w:val="000000"/>
                <w:sz w:val="20"/>
                <w:szCs w:val="20"/>
              </w:rPr>
              <w:t>123</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w:t>
            </w:r>
            <w:r w:rsidR="00CE52D2">
              <w:rPr>
                <w:rFonts w:eastAsia="Times New Roman" w:cstheme="minorHAnsi"/>
                <w:color w:val="000000"/>
                <w:sz w:val="20"/>
                <w:szCs w:val="20"/>
              </w:rPr>
              <w:t>,</w:t>
            </w:r>
            <w:r w:rsidRPr="00B24240">
              <w:rPr>
                <w:rFonts w:eastAsia="Times New Roman" w:cstheme="minorHAnsi"/>
                <w:color w:val="000000"/>
                <w:sz w:val="20"/>
                <w:szCs w:val="20"/>
              </w:rPr>
              <w:t>121</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w:t>
            </w:r>
            <w:r w:rsidR="00CE52D2">
              <w:rPr>
                <w:rFonts w:eastAsia="Times New Roman" w:cstheme="minorHAnsi"/>
                <w:color w:val="000000"/>
                <w:sz w:val="20"/>
                <w:szCs w:val="20"/>
              </w:rPr>
              <w:t>,</w:t>
            </w:r>
            <w:r w:rsidRPr="00B24240">
              <w:rPr>
                <w:rFonts w:eastAsia="Times New Roman" w:cstheme="minorHAnsi"/>
                <w:color w:val="000000"/>
                <w:sz w:val="20"/>
                <w:szCs w:val="20"/>
              </w:rPr>
              <w:t>423</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w:t>
            </w:r>
            <w:r w:rsidR="00CE52D2">
              <w:rPr>
                <w:rFonts w:eastAsia="Times New Roman" w:cstheme="minorHAnsi"/>
                <w:color w:val="000000"/>
                <w:sz w:val="20"/>
                <w:szCs w:val="20"/>
              </w:rPr>
              <w:t>,</w:t>
            </w:r>
            <w:r w:rsidRPr="00B24240">
              <w:rPr>
                <w:rFonts w:eastAsia="Times New Roman" w:cstheme="minorHAnsi"/>
                <w:color w:val="000000"/>
                <w:sz w:val="20"/>
                <w:szCs w:val="20"/>
              </w:rPr>
              <w:t>592</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w:t>
            </w:r>
            <w:r w:rsidR="002D37A4">
              <w:rPr>
                <w:rFonts w:eastAsia="Times New Roman" w:cstheme="minorHAnsi"/>
                <w:color w:val="000000"/>
                <w:sz w:val="20"/>
                <w:szCs w:val="20"/>
              </w:rPr>
              <w:t>,</w:t>
            </w:r>
            <w:r w:rsidRPr="00B24240">
              <w:rPr>
                <w:rFonts w:eastAsia="Times New Roman" w:cstheme="minorHAnsi"/>
                <w:color w:val="000000"/>
                <w:sz w:val="20"/>
                <w:szCs w:val="20"/>
              </w:rPr>
              <w:t>608</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w:t>
            </w:r>
            <w:r w:rsidR="002D37A4">
              <w:rPr>
                <w:rFonts w:eastAsia="Times New Roman" w:cstheme="minorHAnsi"/>
                <w:color w:val="000000"/>
                <w:sz w:val="20"/>
                <w:szCs w:val="20"/>
              </w:rPr>
              <w:t>,</w:t>
            </w:r>
            <w:r w:rsidRPr="00B24240">
              <w:rPr>
                <w:rFonts w:eastAsia="Times New Roman" w:cstheme="minorHAnsi"/>
                <w:color w:val="000000"/>
                <w:sz w:val="20"/>
                <w:szCs w:val="20"/>
              </w:rPr>
              <w:t>943</w:t>
            </w:r>
          </w:p>
        </w:tc>
      </w:tr>
      <w:tr w:rsidR="00C945FC" w:rsidRPr="00B24240" w:rsidTr="00C945FC">
        <w:trPr>
          <w:trHeight w:val="235"/>
          <w:jc w:val="center"/>
        </w:trPr>
        <w:tc>
          <w:tcPr>
            <w:tcW w:w="582"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13</w:t>
            </w: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Empowerment of Persons with Disabilities</w:t>
            </w:r>
          </w:p>
        </w:tc>
        <w:tc>
          <w:tcPr>
            <w:tcW w:w="1255"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Pr>
                <w:rFonts w:eastAsia="Times New Roman" w:cstheme="minorHAnsi"/>
                <w:color w:val="000000"/>
                <w:sz w:val="20"/>
                <w:szCs w:val="20"/>
              </w:rPr>
              <w:t>-</w:t>
            </w:r>
            <w:r w:rsidRPr="00B24240">
              <w:rPr>
                <w:rFonts w:eastAsia="Times New Roman" w:cstheme="minorHAnsi"/>
                <w:color w:val="000000"/>
                <w:sz w:val="20"/>
                <w:szCs w:val="20"/>
              </w:rPr>
              <w:t xml:space="preserve">                                                                                                                                                                                                                                                                                             </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Pr>
                <w:rFonts w:eastAsia="Times New Roman" w:cstheme="minorHAnsi"/>
                <w:color w:val="000000"/>
                <w:sz w:val="20"/>
                <w:szCs w:val="20"/>
              </w:rPr>
              <w:t>-</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403</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555</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784</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784</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855</w:t>
            </w:r>
          </w:p>
        </w:tc>
      </w:tr>
      <w:tr w:rsidR="00C945FC" w:rsidRPr="00B24240" w:rsidTr="00C945FC">
        <w:trPr>
          <w:trHeight w:val="468"/>
          <w:jc w:val="center"/>
        </w:trPr>
        <w:tc>
          <w:tcPr>
            <w:tcW w:w="582"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14</w:t>
            </w: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Ministry of Agriculture, Cooperation and Farmers Welfare</w:t>
            </w:r>
          </w:p>
        </w:tc>
        <w:tc>
          <w:tcPr>
            <w:tcW w:w="1255"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29</w:t>
            </w:r>
            <w:r w:rsidR="00CE52D2">
              <w:rPr>
                <w:rFonts w:eastAsia="Times New Roman" w:cstheme="minorHAnsi"/>
                <w:color w:val="000000"/>
                <w:sz w:val="20"/>
                <w:szCs w:val="20"/>
              </w:rPr>
              <w:t>,</w:t>
            </w:r>
            <w:r w:rsidRPr="00B24240">
              <w:rPr>
                <w:rFonts w:eastAsia="Times New Roman" w:cstheme="minorHAnsi"/>
                <w:color w:val="000000"/>
                <w:sz w:val="20"/>
                <w:szCs w:val="20"/>
              </w:rPr>
              <w:t>654</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31</w:t>
            </w:r>
            <w:r w:rsidR="00CE52D2">
              <w:rPr>
                <w:rFonts w:eastAsia="Times New Roman" w:cstheme="minorHAnsi"/>
                <w:color w:val="000000"/>
                <w:sz w:val="20"/>
                <w:szCs w:val="20"/>
              </w:rPr>
              <w:t>,</w:t>
            </w:r>
            <w:r w:rsidRPr="00B24240">
              <w:rPr>
                <w:rFonts w:eastAsia="Times New Roman" w:cstheme="minorHAnsi"/>
                <w:color w:val="000000"/>
                <w:sz w:val="20"/>
                <w:szCs w:val="20"/>
              </w:rPr>
              <w:t>479</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31</w:t>
            </w:r>
            <w:r w:rsidR="00CE52D2">
              <w:rPr>
                <w:rFonts w:eastAsia="Times New Roman" w:cstheme="minorHAnsi"/>
                <w:color w:val="000000"/>
                <w:sz w:val="20"/>
                <w:szCs w:val="20"/>
              </w:rPr>
              <w:t>,</w:t>
            </w:r>
            <w:r w:rsidRPr="00B24240">
              <w:rPr>
                <w:rFonts w:eastAsia="Times New Roman" w:cstheme="minorHAnsi"/>
                <w:color w:val="000000"/>
                <w:sz w:val="20"/>
                <w:szCs w:val="20"/>
              </w:rPr>
              <w:t>917</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22</w:t>
            </w:r>
            <w:r w:rsidR="00CE52D2">
              <w:rPr>
                <w:rFonts w:eastAsia="Times New Roman" w:cstheme="minorHAnsi"/>
                <w:color w:val="000000"/>
                <w:sz w:val="20"/>
                <w:szCs w:val="20"/>
              </w:rPr>
              <w:t>,</w:t>
            </w:r>
            <w:r w:rsidRPr="00B24240">
              <w:rPr>
                <w:rFonts w:eastAsia="Times New Roman" w:cstheme="minorHAnsi"/>
                <w:color w:val="000000"/>
                <w:sz w:val="20"/>
                <w:szCs w:val="20"/>
              </w:rPr>
              <w:t>092</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44</w:t>
            </w:r>
            <w:r w:rsidR="00CE52D2">
              <w:rPr>
                <w:rFonts w:eastAsia="Times New Roman" w:cstheme="minorHAnsi"/>
                <w:color w:val="000000"/>
                <w:sz w:val="20"/>
                <w:szCs w:val="20"/>
              </w:rPr>
              <w:t>,</w:t>
            </w:r>
            <w:r w:rsidRPr="00B24240">
              <w:rPr>
                <w:rFonts w:eastAsia="Times New Roman" w:cstheme="minorHAnsi"/>
                <w:color w:val="000000"/>
                <w:sz w:val="20"/>
                <w:szCs w:val="20"/>
              </w:rPr>
              <w:t>485</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48</w:t>
            </w:r>
            <w:r w:rsidR="002D37A4">
              <w:rPr>
                <w:rFonts w:eastAsia="Times New Roman" w:cstheme="minorHAnsi"/>
                <w:color w:val="000000"/>
                <w:sz w:val="20"/>
                <w:szCs w:val="20"/>
              </w:rPr>
              <w:t>,</w:t>
            </w:r>
            <w:r w:rsidRPr="00B24240">
              <w:rPr>
                <w:rFonts w:eastAsia="Times New Roman" w:cstheme="minorHAnsi"/>
                <w:color w:val="000000"/>
                <w:sz w:val="20"/>
                <w:szCs w:val="20"/>
              </w:rPr>
              <w:t>073</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51</w:t>
            </w:r>
            <w:r w:rsidR="002D37A4">
              <w:rPr>
                <w:rFonts w:eastAsia="Times New Roman" w:cstheme="minorHAnsi"/>
                <w:color w:val="000000"/>
                <w:sz w:val="20"/>
                <w:szCs w:val="20"/>
              </w:rPr>
              <w:t>,</w:t>
            </w:r>
            <w:r w:rsidRPr="00B24240">
              <w:rPr>
                <w:rFonts w:eastAsia="Times New Roman" w:cstheme="minorHAnsi"/>
                <w:color w:val="000000"/>
                <w:sz w:val="20"/>
                <w:szCs w:val="20"/>
              </w:rPr>
              <w:t>026</w:t>
            </w:r>
          </w:p>
        </w:tc>
      </w:tr>
      <w:tr w:rsidR="00C945FC" w:rsidRPr="00B24240" w:rsidTr="00C945FC">
        <w:trPr>
          <w:trHeight w:val="403"/>
          <w:jc w:val="center"/>
        </w:trPr>
        <w:tc>
          <w:tcPr>
            <w:tcW w:w="582"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15</w:t>
            </w: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 xml:space="preserve">Ministry of Environment, Forest and Climate Change </w:t>
            </w:r>
          </w:p>
        </w:tc>
        <w:tc>
          <w:tcPr>
            <w:tcW w:w="1255"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w:t>
            </w:r>
            <w:r w:rsidR="00CE52D2">
              <w:rPr>
                <w:rFonts w:eastAsia="Times New Roman" w:cstheme="minorHAnsi"/>
                <w:color w:val="000000"/>
                <w:sz w:val="20"/>
                <w:szCs w:val="20"/>
              </w:rPr>
              <w:t>,</w:t>
            </w:r>
            <w:r w:rsidRPr="00B24240">
              <w:rPr>
                <w:rFonts w:eastAsia="Times New Roman" w:cstheme="minorHAnsi"/>
                <w:color w:val="000000"/>
                <w:sz w:val="20"/>
                <w:szCs w:val="20"/>
              </w:rPr>
              <w:t>753</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w:t>
            </w:r>
            <w:r w:rsidR="00CE52D2">
              <w:rPr>
                <w:rFonts w:eastAsia="Times New Roman" w:cstheme="minorHAnsi"/>
                <w:color w:val="000000"/>
                <w:sz w:val="20"/>
                <w:szCs w:val="20"/>
              </w:rPr>
              <w:t>,</w:t>
            </w:r>
            <w:r w:rsidRPr="00B24240">
              <w:rPr>
                <w:rFonts w:eastAsia="Times New Roman" w:cstheme="minorHAnsi"/>
                <w:color w:val="000000"/>
                <w:sz w:val="20"/>
                <w:szCs w:val="20"/>
              </w:rPr>
              <w:t>890</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w:t>
            </w:r>
            <w:r w:rsidR="00CE52D2">
              <w:rPr>
                <w:rFonts w:eastAsia="Times New Roman" w:cstheme="minorHAnsi"/>
                <w:color w:val="000000"/>
                <w:sz w:val="20"/>
                <w:szCs w:val="20"/>
              </w:rPr>
              <w:t>,</w:t>
            </w:r>
            <w:r w:rsidRPr="00B24240">
              <w:rPr>
                <w:rFonts w:eastAsia="Times New Roman" w:cstheme="minorHAnsi"/>
                <w:color w:val="000000"/>
                <w:sz w:val="20"/>
                <w:szCs w:val="20"/>
              </w:rPr>
              <w:t>599</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w:t>
            </w:r>
            <w:r w:rsidR="00CE52D2">
              <w:rPr>
                <w:rFonts w:eastAsia="Times New Roman" w:cstheme="minorHAnsi"/>
                <w:color w:val="000000"/>
                <w:sz w:val="20"/>
                <w:szCs w:val="20"/>
              </w:rPr>
              <w:t>,</w:t>
            </w:r>
            <w:r w:rsidRPr="00B24240">
              <w:rPr>
                <w:rFonts w:eastAsia="Times New Roman" w:cstheme="minorHAnsi"/>
                <w:color w:val="000000"/>
                <w:sz w:val="20"/>
                <w:szCs w:val="20"/>
              </w:rPr>
              <w:t>521</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2</w:t>
            </w:r>
            <w:r w:rsidR="00CE52D2">
              <w:rPr>
                <w:rFonts w:eastAsia="Times New Roman" w:cstheme="minorHAnsi"/>
                <w:color w:val="000000"/>
                <w:sz w:val="20"/>
                <w:szCs w:val="20"/>
              </w:rPr>
              <w:t>,</w:t>
            </w:r>
            <w:r w:rsidRPr="00B24240">
              <w:rPr>
                <w:rFonts w:eastAsia="Times New Roman" w:cstheme="minorHAnsi"/>
                <w:color w:val="000000"/>
                <w:sz w:val="20"/>
                <w:szCs w:val="20"/>
              </w:rPr>
              <w:t>250</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2</w:t>
            </w:r>
            <w:r w:rsidR="002D37A4">
              <w:rPr>
                <w:rFonts w:eastAsia="Times New Roman" w:cstheme="minorHAnsi"/>
                <w:color w:val="000000"/>
                <w:sz w:val="20"/>
                <w:szCs w:val="20"/>
              </w:rPr>
              <w:t>,</w:t>
            </w:r>
            <w:r w:rsidRPr="00B24240">
              <w:rPr>
                <w:rFonts w:eastAsia="Times New Roman" w:cstheme="minorHAnsi"/>
                <w:color w:val="000000"/>
                <w:sz w:val="20"/>
                <w:szCs w:val="20"/>
              </w:rPr>
              <w:t>328</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2</w:t>
            </w:r>
            <w:r w:rsidR="002D37A4">
              <w:rPr>
                <w:rFonts w:eastAsia="Times New Roman" w:cstheme="minorHAnsi"/>
                <w:color w:val="000000"/>
                <w:sz w:val="20"/>
                <w:szCs w:val="20"/>
              </w:rPr>
              <w:t>,</w:t>
            </w:r>
            <w:r w:rsidRPr="00B24240">
              <w:rPr>
                <w:rFonts w:eastAsia="Times New Roman" w:cstheme="minorHAnsi"/>
                <w:color w:val="000000"/>
                <w:sz w:val="20"/>
                <w:szCs w:val="20"/>
              </w:rPr>
              <w:t>675</w:t>
            </w:r>
          </w:p>
        </w:tc>
      </w:tr>
      <w:tr w:rsidR="00C945FC" w:rsidRPr="00B24240" w:rsidTr="00C945FC">
        <w:trPr>
          <w:trHeight w:val="270"/>
          <w:jc w:val="center"/>
        </w:trPr>
        <w:tc>
          <w:tcPr>
            <w:tcW w:w="582"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16</w:t>
            </w: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Ministry of Rural Development</w:t>
            </w:r>
          </w:p>
        </w:tc>
        <w:tc>
          <w:tcPr>
            <w:tcW w:w="1255"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53</w:t>
            </w:r>
            <w:r w:rsidR="00CE52D2">
              <w:rPr>
                <w:rFonts w:eastAsia="Times New Roman" w:cstheme="minorHAnsi"/>
                <w:color w:val="000000"/>
                <w:sz w:val="20"/>
                <w:szCs w:val="20"/>
              </w:rPr>
              <w:t>,</w:t>
            </w:r>
            <w:r w:rsidRPr="00B24240">
              <w:rPr>
                <w:rFonts w:eastAsia="Times New Roman" w:cstheme="minorHAnsi"/>
                <w:color w:val="000000"/>
                <w:sz w:val="20"/>
                <w:szCs w:val="20"/>
              </w:rPr>
              <w:t>181</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6</w:t>
            </w:r>
            <w:r w:rsidR="00CE52D2">
              <w:rPr>
                <w:rFonts w:eastAsia="Times New Roman" w:cstheme="minorHAnsi"/>
                <w:color w:val="000000"/>
                <w:sz w:val="20"/>
                <w:szCs w:val="20"/>
              </w:rPr>
              <w:t>,</w:t>
            </w:r>
            <w:r w:rsidRPr="00B24240">
              <w:rPr>
                <w:rFonts w:eastAsia="Times New Roman" w:cstheme="minorHAnsi"/>
                <w:color w:val="000000"/>
                <w:sz w:val="20"/>
                <w:szCs w:val="20"/>
              </w:rPr>
              <w:t>1162</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69</w:t>
            </w:r>
            <w:r w:rsidR="00CE52D2">
              <w:rPr>
                <w:rFonts w:eastAsia="Times New Roman" w:cstheme="minorHAnsi"/>
                <w:color w:val="000000"/>
                <w:sz w:val="20"/>
                <w:szCs w:val="20"/>
              </w:rPr>
              <w:t>,</w:t>
            </w:r>
            <w:r w:rsidRPr="00B24240">
              <w:rPr>
                <w:rFonts w:eastAsia="Times New Roman" w:cstheme="minorHAnsi"/>
                <w:color w:val="000000"/>
                <w:sz w:val="20"/>
                <w:szCs w:val="20"/>
              </w:rPr>
              <w:t>817</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78</w:t>
            </w:r>
            <w:r w:rsidR="00CE52D2">
              <w:rPr>
                <w:rFonts w:eastAsia="Times New Roman" w:cstheme="minorHAnsi"/>
                <w:color w:val="000000"/>
                <w:sz w:val="20"/>
                <w:szCs w:val="20"/>
              </w:rPr>
              <w:t>,</w:t>
            </w:r>
            <w:r w:rsidRPr="00B24240">
              <w:rPr>
                <w:rFonts w:eastAsia="Times New Roman" w:cstheme="minorHAnsi"/>
                <w:color w:val="000000"/>
                <w:sz w:val="20"/>
                <w:szCs w:val="20"/>
              </w:rPr>
              <w:t>945</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87</w:t>
            </w:r>
            <w:r w:rsidR="00CE52D2">
              <w:rPr>
                <w:rFonts w:eastAsia="Times New Roman" w:cstheme="minorHAnsi"/>
                <w:color w:val="000000"/>
                <w:sz w:val="20"/>
                <w:szCs w:val="20"/>
              </w:rPr>
              <w:t>,</w:t>
            </w:r>
            <w:r w:rsidRPr="00B24240">
              <w:rPr>
                <w:rFonts w:eastAsia="Times New Roman" w:cstheme="minorHAnsi"/>
                <w:color w:val="000000"/>
                <w:sz w:val="20"/>
                <w:szCs w:val="20"/>
              </w:rPr>
              <w:t>765</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97</w:t>
            </w:r>
            <w:r w:rsidR="002D37A4">
              <w:rPr>
                <w:rFonts w:eastAsia="Times New Roman" w:cstheme="minorHAnsi"/>
                <w:color w:val="000000"/>
                <w:sz w:val="20"/>
                <w:szCs w:val="20"/>
              </w:rPr>
              <w:t>,</w:t>
            </w:r>
            <w:r w:rsidRPr="00B24240">
              <w:rPr>
                <w:rFonts w:eastAsia="Times New Roman" w:cstheme="minorHAnsi"/>
                <w:color w:val="000000"/>
                <w:sz w:val="20"/>
                <w:szCs w:val="20"/>
              </w:rPr>
              <w:t>760</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w:t>
            </w:r>
            <w:r w:rsidR="002D37A4">
              <w:rPr>
                <w:rFonts w:eastAsia="Times New Roman" w:cstheme="minorHAnsi"/>
                <w:color w:val="000000"/>
                <w:sz w:val="20"/>
                <w:szCs w:val="20"/>
              </w:rPr>
              <w:t>,</w:t>
            </w:r>
            <w:r w:rsidRPr="00B24240">
              <w:rPr>
                <w:rFonts w:eastAsia="Times New Roman" w:cstheme="minorHAnsi"/>
                <w:color w:val="000000"/>
                <w:sz w:val="20"/>
                <w:szCs w:val="20"/>
              </w:rPr>
              <w:t>07</w:t>
            </w:r>
            <w:r w:rsidR="002D37A4">
              <w:rPr>
                <w:rFonts w:eastAsia="Times New Roman" w:cstheme="minorHAnsi"/>
                <w:color w:val="000000"/>
                <w:sz w:val="20"/>
                <w:szCs w:val="20"/>
              </w:rPr>
              <w:t>,</w:t>
            </w:r>
            <w:r w:rsidRPr="00B24240">
              <w:rPr>
                <w:rFonts w:eastAsia="Times New Roman" w:cstheme="minorHAnsi"/>
                <w:color w:val="000000"/>
                <w:sz w:val="20"/>
                <w:szCs w:val="20"/>
              </w:rPr>
              <w:t>758</w:t>
            </w:r>
          </w:p>
        </w:tc>
      </w:tr>
      <w:tr w:rsidR="00C945FC" w:rsidRPr="00B24240" w:rsidTr="00C945FC">
        <w:trPr>
          <w:trHeight w:val="622"/>
          <w:jc w:val="center"/>
        </w:trPr>
        <w:tc>
          <w:tcPr>
            <w:tcW w:w="582"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17</w:t>
            </w: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Ministry of Consumer Affairs, Food and Public Distribution (Includes Food Subsidy)</w:t>
            </w:r>
          </w:p>
        </w:tc>
        <w:tc>
          <w:tcPr>
            <w:tcW w:w="1255"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86</w:t>
            </w:r>
            <w:r w:rsidR="00CE52D2">
              <w:rPr>
                <w:rFonts w:eastAsia="Times New Roman" w:cstheme="minorHAnsi"/>
                <w:color w:val="000000"/>
                <w:sz w:val="20"/>
                <w:szCs w:val="20"/>
              </w:rPr>
              <w:t>,</w:t>
            </w:r>
            <w:r w:rsidRPr="00B24240">
              <w:rPr>
                <w:rFonts w:eastAsia="Times New Roman" w:cstheme="minorHAnsi"/>
                <w:color w:val="000000"/>
                <w:sz w:val="20"/>
                <w:szCs w:val="20"/>
              </w:rPr>
              <w:t>677</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93</w:t>
            </w:r>
            <w:r w:rsidR="00CE52D2">
              <w:rPr>
                <w:rFonts w:eastAsia="Times New Roman" w:cstheme="minorHAnsi"/>
                <w:color w:val="000000"/>
                <w:sz w:val="20"/>
                <w:szCs w:val="20"/>
              </w:rPr>
              <w:t>,</w:t>
            </w:r>
            <w:r w:rsidRPr="00B24240">
              <w:rPr>
                <w:rFonts w:eastAsia="Times New Roman" w:cstheme="minorHAnsi"/>
                <w:color w:val="000000"/>
                <w:sz w:val="20"/>
                <w:szCs w:val="20"/>
              </w:rPr>
              <w:t>317</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w:t>
            </w:r>
            <w:r w:rsidR="00CE52D2">
              <w:rPr>
                <w:rFonts w:eastAsia="Times New Roman" w:cstheme="minorHAnsi"/>
                <w:color w:val="000000"/>
                <w:sz w:val="20"/>
                <w:szCs w:val="20"/>
              </w:rPr>
              <w:t>,</w:t>
            </w:r>
            <w:r w:rsidRPr="00B24240">
              <w:rPr>
                <w:rFonts w:eastAsia="Times New Roman" w:cstheme="minorHAnsi"/>
                <w:color w:val="000000"/>
                <w:sz w:val="20"/>
                <w:szCs w:val="20"/>
              </w:rPr>
              <w:t>18</w:t>
            </w:r>
            <w:r w:rsidR="00CE52D2">
              <w:rPr>
                <w:rFonts w:eastAsia="Times New Roman" w:cstheme="minorHAnsi"/>
                <w:color w:val="000000"/>
                <w:sz w:val="20"/>
                <w:szCs w:val="20"/>
              </w:rPr>
              <w:t>,</w:t>
            </w:r>
            <w:r w:rsidRPr="00B24240">
              <w:rPr>
                <w:rFonts w:eastAsia="Times New Roman" w:cstheme="minorHAnsi"/>
                <w:color w:val="000000"/>
                <w:sz w:val="20"/>
                <w:szCs w:val="20"/>
              </w:rPr>
              <w:t>323</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w:t>
            </w:r>
            <w:r w:rsidR="00CE52D2">
              <w:rPr>
                <w:rFonts w:eastAsia="Times New Roman" w:cstheme="minorHAnsi"/>
                <w:color w:val="000000"/>
                <w:sz w:val="20"/>
                <w:szCs w:val="20"/>
              </w:rPr>
              <w:t>,</w:t>
            </w:r>
            <w:r w:rsidRPr="00B24240">
              <w:rPr>
                <w:rFonts w:eastAsia="Times New Roman" w:cstheme="minorHAnsi"/>
                <w:color w:val="000000"/>
                <w:sz w:val="20"/>
                <w:szCs w:val="20"/>
              </w:rPr>
              <w:t>40</w:t>
            </w:r>
            <w:r w:rsidR="00CE52D2">
              <w:rPr>
                <w:rFonts w:eastAsia="Times New Roman" w:cstheme="minorHAnsi"/>
                <w:color w:val="000000"/>
                <w:sz w:val="20"/>
                <w:szCs w:val="20"/>
              </w:rPr>
              <w:t>,</w:t>
            </w:r>
            <w:r w:rsidRPr="00B24240">
              <w:rPr>
                <w:rFonts w:eastAsia="Times New Roman" w:cstheme="minorHAnsi"/>
                <w:color w:val="000000"/>
                <w:sz w:val="20"/>
                <w:szCs w:val="20"/>
              </w:rPr>
              <w:t>810</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w:t>
            </w:r>
            <w:r w:rsidR="00CE52D2">
              <w:rPr>
                <w:rFonts w:eastAsia="Times New Roman" w:cstheme="minorHAnsi"/>
                <w:color w:val="000000"/>
                <w:sz w:val="20"/>
                <w:szCs w:val="20"/>
              </w:rPr>
              <w:t>,</w:t>
            </w:r>
            <w:r w:rsidRPr="00B24240">
              <w:rPr>
                <w:rFonts w:eastAsia="Times New Roman" w:cstheme="minorHAnsi"/>
                <w:color w:val="000000"/>
                <w:sz w:val="20"/>
                <w:szCs w:val="20"/>
              </w:rPr>
              <w:t>41</w:t>
            </w:r>
            <w:r w:rsidR="00CE52D2">
              <w:rPr>
                <w:rFonts w:eastAsia="Times New Roman" w:cstheme="minorHAnsi"/>
                <w:color w:val="000000"/>
                <w:sz w:val="20"/>
                <w:szCs w:val="20"/>
              </w:rPr>
              <w:t>,</w:t>
            </w:r>
            <w:r w:rsidRPr="00B24240">
              <w:rPr>
                <w:rFonts w:eastAsia="Times New Roman" w:cstheme="minorHAnsi"/>
                <w:color w:val="000000"/>
                <w:sz w:val="20"/>
                <w:szCs w:val="20"/>
              </w:rPr>
              <w:t>392</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w:t>
            </w:r>
            <w:r w:rsidR="002D37A4">
              <w:rPr>
                <w:rFonts w:eastAsia="Times New Roman" w:cstheme="minorHAnsi"/>
                <w:color w:val="000000"/>
                <w:sz w:val="20"/>
                <w:szCs w:val="20"/>
              </w:rPr>
              <w:t>,</w:t>
            </w:r>
            <w:r w:rsidRPr="00B24240">
              <w:rPr>
                <w:rFonts w:eastAsia="Times New Roman" w:cstheme="minorHAnsi"/>
                <w:color w:val="000000"/>
                <w:sz w:val="20"/>
                <w:szCs w:val="20"/>
              </w:rPr>
              <w:t>43</w:t>
            </w:r>
            <w:r w:rsidR="002D37A4">
              <w:rPr>
                <w:rFonts w:eastAsia="Times New Roman" w:cstheme="minorHAnsi"/>
                <w:color w:val="000000"/>
                <w:sz w:val="20"/>
                <w:szCs w:val="20"/>
              </w:rPr>
              <w:t>,</w:t>
            </w:r>
            <w:r w:rsidRPr="00B24240">
              <w:rPr>
                <w:rFonts w:eastAsia="Times New Roman" w:cstheme="minorHAnsi"/>
                <w:color w:val="000000"/>
                <w:sz w:val="20"/>
                <w:szCs w:val="20"/>
              </w:rPr>
              <w:t>988</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1</w:t>
            </w:r>
            <w:r w:rsidR="002D37A4">
              <w:rPr>
                <w:rFonts w:eastAsia="Times New Roman" w:cstheme="minorHAnsi"/>
                <w:color w:val="000000"/>
                <w:sz w:val="20"/>
                <w:szCs w:val="20"/>
              </w:rPr>
              <w:t>,</w:t>
            </w:r>
            <w:r w:rsidRPr="00B24240">
              <w:rPr>
                <w:rFonts w:eastAsia="Times New Roman" w:cstheme="minorHAnsi"/>
                <w:color w:val="000000"/>
                <w:sz w:val="20"/>
                <w:szCs w:val="20"/>
              </w:rPr>
              <w:t>54</w:t>
            </w:r>
            <w:r w:rsidR="002D37A4">
              <w:rPr>
                <w:rFonts w:eastAsia="Times New Roman" w:cstheme="minorHAnsi"/>
                <w:color w:val="000000"/>
                <w:sz w:val="20"/>
                <w:szCs w:val="20"/>
              </w:rPr>
              <w:t>,</w:t>
            </w:r>
            <w:r w:rsidRPr="00B24240">
              <w:rPr>
                <w:rFonts w:eastAsia="Times New Roman" w:cstheme="minorHAnsi"/>
                <w:color w:val="000000"/>
                <w:sz w:val="20"/>
                <w:szCs w:val="20"/>
              </w:rPr>
              <w:t>232</w:t>
            </w:r>
          </w:p>
        </w:tc>
      </w:tr>
      <w:tr w:rsidR="00C945FC" w:rsidRPr="00B24240" w:rsidTr="00C945FC">
        <w:trPr>
          <w:trHeight w:val="403"/>
          <w:jc w:val="center"/>
        </w:trPr>
        <w:tc>
          <w:tcPr>
            <w:tcW w:w="582" w:type="dxa"/>
            <w:shd w:val="clear" w:color="auto" w:fill="auto"/>
            <w:noWrap/>
            <w:vAlign w:val="bottom"/>
            <w:hideMark/>
          </w:tcPr>
          <w:p w:rsidR="00C945FC" w:rsidRPr="00B24240" w:rsidRDefault="00C945FC" w:rsidP="00C945FC">
            <w:pPr>
              <w:spacing w:after="0" w:line="240" w:lineRule="auto"/>
              <w:rPr>
                <w:rFonts w:eastAsia="Times New Roman" w:cstheme="minorHAnsi"/>
                <w:color w:val="000000"/>
                <w:sz w:val="20"/>
                <w:szCs w:val="20"/>
              </w:rPr>
            </w:pP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Total expenditure in select ministries (1 to 17)</w:t>
            </w:r>
          </w:p>
        </w:tc>
        <w:tc>
          <w:tcPr>
            <w:tcW w:w="1255"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3</w:t>
            </w:r>
            <w:r w:rsidR="00CE52D2">
              <w:rPr>
                <w:rFonts w:eastAsia="Times New Roman" w:cstheme="minorHAnsi"/>
                <w:color w:val="000000"/>
                <w:sz w:val="20"/>
                <w:szCs w:val="20"/>
              </w:rPr>
              <w:t>,</w:t>
            </w:r>
            <w:r w:rsidRPr="00B24240">
              <w:rPr>
                <w:rFonts w:eastAsia="Times New Roman" w:cstheme="minorHAnsi"/>
                <w:color w:val="000000"/>
                <w:sz w:val="20"/>
                <w:szCs w:val="20"/>
              </w:rPr>
              <w:t>20</w:t>
            </w:r>
            <w:r w:rsidR="00CE52D2">
              <w:rPr>
                <w:rFonts w:eastAsia="Times New Roman" w:cstheme="minorHAnsi"/>
                <w:color w:val="000000"/>
                <w:sz w:val="20"/>
                <w:szCs w:val="20"/>
              </w:rPr>
              <w:t>,</w:t>
            </w:r>
            <w:r w:rsidRPr="00B24240">
              <w:rPr>
                <w:rFonts w:eastAsia="Times New Roman" w:cstheme="minorHAnsi"/>
                <w:color w:val="000000"/>
                <w:sz w:val="20"/>
                <w:szCs w:val="20"/>
              </w:rPr>
              <w:t>698</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34</w:t>
            </w:r>
            <w:r w:rsidR="00CE52D2">
              <w:rPr>
                <w:rFonts w:eastAsia="Times New Roman" w:cstheme="minorHAnsi"/>
                <w:color w:val="000000"/>
                <w:sz w:val="20"/>
                <w:szCs w:val="20"/>
              </w:rPr>
              <w:t>,</w:t>
            </w:r>
            <w:r w:rsidRPr="00B24240">
              <w:rPr>
                <w:rFonts w:eastAsia="Times New Roman" w:cstheme="minorHAnsi"/>
                <w:color w:val="000000"/>
                <w:sz w:val="20"/>
                <w:szCs w:val="20"/>
              </w:rPr>
              <w:t>9457</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3</w:t>
            </w:r>
            <w:r w:rsidR="00CE52D2">
              <w:rPr>
                <w:rFonts w:eastAsia="Times New Roman" w:cstheme="minorHAnsi"/>
                <w:color w:val="000000"/>
                <w:sz w:val="20"/>
                <w:szCs w:val="20"/>
              </w:rPr>
              <w:t>,</w:t>
            </w:r>
            <w:r w:rsidRPr="00B24240">
              <w:rPr>
                <w:rFonts w:eastAsia="Times New Roman" w:cstheme="minorHAnsi"/>
                <w:color w:val="000000"/>
                <w:sz w:val="20"/>
                <w:szCs w:val="20"/>
              </w:rPr>
              <w:t>89</w:t>
            </w:r>
            <w:r w:rsidR="00CE52D2">
              <w:rPr>
                <w:rFonts w:eastAsia="Times New Roman" w:cstheme="minorHAnsi"/>
                <w:color w:val="000000"/>
                <w:sz w:val="20"/>
                <w:szCs w:val="20"/>
              </w:rPr>
              <w:t>,</w:t>
            </w:r>
            <w:r w:rsidRPr="00B24240">
              <w:rPr>
                <w:rFonts w:eastAsia="Times New Roman" w:cstheme="minorHAnsi"/>
                <w:color w:val="000000"/>
                <w:sz w:val="20"/>
                <w:szCs w:val="20"/>
              </w:rPr>
              <w:t>346</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4</w:t>
            </w:r>
            <w:r w:rsidR="00CE52D2">
              <w:rPr>
                <w:rFonts w:eastAsia="Times New Roman" w:cstheme="minorHAnsi"/>
                <w:color w:val="000000"/>
                <w:sz w:val="20"/>
                <w:szCs w:val="20"/>
              </w:rPr>
              <w:t>,</w:t>
            </w:r>
            <w:r w:rsidRPr="00B24240">
              <w:rPr>
                <w:rFonts w:eastAsia="Times New Roman" w:cstheme="minorHAnsi"/>
                <w:color w:val="000000"/>
                <w:sz w:val="20"/>
                <w:szCs w:val="20"/>
              </w:rPr>
              <w:t>16</w:t>
            </w:r>
            <w:r w:rsidR="00CE52D2">
              <w:rPr>
                <w:rFonts w:eastAsia="Times New Roman" w:cstheme="minorHAnsi"/>
                <w:color w:val="000000"/>
                <w:sz w:val="20"/>
                <w:szCs w:val="20"/>
              </w:rPr>
              <w:t>,</w:t>
            </w:r>
            <w:r w:rsidRPr="00B24240">
              <w:rPr>
                <w:rFonts w:eastAsia="Times New Roman" w:cstheme="minorHAnsi"/>
                <w:color w:val="000000"/>
                <w:sz w:val="20"/>
                <w:szCs w:val="20"/>
              </w:rPr>
              <w:t>822</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4</w:t>
            </w:r>
            <w:r w:rsidR="00CE52D2">
              <w:rPr>
                <w:rFonts w:eastAsia="Times New Roman" w:cstheme="minorHAnsi"/>
                <w:color w:val="000000"/>
                <w:sz w:val="20"/>
                <w:szCs w:val="20"/>
              </w:rPr>
              <w:t>,</w:t>
            </w:r>
            <w:r w:rsidRPr="00B24240">
              <w:rPr>
                <w:rFonts w:eastAsia="Times New Roman" w:cstheme="minorHAnsi"/>
                <w:color w:val="000000"/>
                <w:sz w:val="20"/>
                <w:szCs w:val="20"/>
              </w:rPr>
              <w:t>75</w:t>
            </w:r>
            <w:r w:rsidR="00CE52D2">
              <w:rPr>
                <w:rFonts w:eastAsia="Times New Roman" w:cstheme="minorHAnsi"/>
                <w:color w:val="000000"/>
                <w:sz w:val="20"/>
                <w:szCs w:val="20"/>
              </w:rPr>
              <w:t>,</w:t>
            </w:r>
            <w:r w:rsidRPr="00B24240">
              <w:rPr>
                <w:rFonts w:eastAsia="Times New Roman" w:cstheme="minorHAnsi"/>
                <w:color w:val="000000"/>
                <w:sz w:val="20"/>
                <w:szCs w:val="20"/>
              </w:rPr>
              <w:t>509</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5</w:t>
            </w:r>
            <w:r w:rsidR="002D37A4">
              <w:rPr>
                <w:rFonts w:eastAsia="Times New Roman" w:cstheme="minorHAnsi"/>
                <w:color w:val="000000"/>
                <w:sz w:val="20"/>
                <w:szCs w:val="20"/>
              </w:rPr>
              <w:t>,</w:t>
            </w:r>
            <w:r w:rsidRPr="00B24240">
              <w:rPr>
                <w:rFonts w:eastAsia="Times New Roman" w:cstheme="minorHAnsi"/>
                <w:color w:val="000000"/>
                <w:sz w:val="20"/>
                <w:szCs w:val="20"/>
              </w:rPr>
              <w:t>04</w:t>
            </w:r>
            <w:r w:rsidR="002D37A4">
              <w:rPr>
                <w:rFonts w:eastAsia="Times New Roman" w:cstheme="minorHAnsi"/>
                <w:color w:val="000000"/>
                <w:sz w:val="20"/>
                <w:szCs w:val="20"/>
              </w:rPr>
              <w:t>,</w:t>
            </w:r>
            <w:r w:rsidRPr="00B24240">
              <w:rPr>
                <w:rFonts w:eastAsia="Times New Roman" w:cstheme="minorHAnsi"/>
                <w:color w:val="000000"/>
                <w:sz w:val="20"/>
                <w:szCs w:val="20"/>
              </w:rPr>
              <w:t>007</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5</w:t>
            </w:r>
            <w:r w:rsidR="002D37A4">
              <w:rPr>
                <w:rFonts w:eastAsia="Times New Roman" w:cstheme="minorHAnsi"/>
                <w:color w:val="000000"/>
                <w:sz w:val="20"/>
                <w:szCs w:val="20"/>
              </w:rPr>
              <w:t>,</w:t>
            </w:r>
            <w:r w:rsidRPr="00B24240">
              <w:rPr>
                <w:rFonts w:eastAsia="Times New Roman" w:cstheme="minorHAnsi"/>
                <w:color w:val="000000"/>
                <w:sz w:val="20"/>
                <w:szCs w:val="20"/>
              </w:rPr>
              <w:t>57</w:t>
            </w:r>
            <w:r w:rsidR="002D37A4">
              <w:rPr>
                <w:rFonts w:eastAsia="Times New Roman" w:cstheme="minorHAnsi"/>
                <w:color w:val="000000"/>
                <w:sz w:val="20"/>
                <w:szCs w:val="20"/>
              </w:rPr>
              <w:t>,</w:t>
            </w:r>
            <w:r w:rsidRPr="00B24240">
              <w:rPr>
                <w:rFonts w:eastAsia="Times New Roman" w:cstheme="minorHAnsi"/>
                <w:color w:val="000000"/>
                <w:sz w:val="20"/>
                <w:szCs w:val="20"/>
              </w:rPr>
              <w:t>540</w:t>
            </w:r>
          </w:p>
        </w:tc>
      </w:tr>
      <w:tr w:rsidR="00C945FC" w:rsidRPr="00B24240" w:rsidTr="00C945FC">
        <w:trPr>
          <w:trHeight w:val="270"/>
          <w:jc w:val="center"/>
        </w:trPr>
        <w:tc>
          <w:tcPr>
            <w:tcW w:w="582"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18</w:t>
            </w: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Ministry of Road Transport and Highways</w:t>
            </w:r>
          </w:p>
        </w:tc>
        <w:tc>
          <w:tcPr>
            <w:tcW w:w="1255"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2</w:t>
            </w:r>
            <w:r w:rsidR="00CE52D2">
              <w:rPr>
                <w:rFonts w:eastAsia="Times New Roman" w:cstheme="minorHAnsi"/>
                <w:color w:val="000000"/>
                <w:sz w:val="20"/>
                <w:szCs w:val="20"/>
              </w:rPr>
              <w:t>,</w:t>
            </w:r>
            <w:r w:rsidRPr="00B24240">
              <w:rPr>
                <w:rFonts w:eastAsia="Times New Roman" w:cstheme="minorHAnsi"/>
                <w:color w:val="000000"/>
                <w:sz w:val="20"/>
                <w:szCs w:val="20"/>
              </w:rPr>
              <w:t>2537</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28</w:t>
            </w:r>
            <w:r w:rsidR="00CE52D2">
              <w:rPr>
                <w:rFonts w:eastAsia="Times New Roman" w:cstheme="minorHAnsi"/>
                <w:color w:val="000000"/>
                <w:sz w:val="20"/>
                <w:szCs w:val="20"/>
              </w:rPr>
              <w:t>,</w:t>
            </w:r>
            <w:r w:rsidRPr="00B24240">
              <w:rPr>
                <w:rFonts w:eastAsia="Times New Roman" w:cstheme="minorHAnsi"/>
                <w:color w:val="000000"/>
                <w:sz w:val="20"/>
                <w:szCs w:val="20"/>
              </w:rPr>
              <w:t>400</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33</w:t>
            </w:r>
            <w:r w:rsidR="00CE52D2">
              <w:rPr>
                <w:rFonts w:eastAsia="Times New Roman" w:cstheme="minorHAnsi"/>
                <w:color w:val="000000"/>
                <w:sz w:val="20"/>
                <w:szCs w:val="20"/>
              </w:rPr>
              <w:t>,</w:t>
            </w:r>
            <w:r w:rsidRPr="00B24240">
              <w:rPr>
                <w:rFonts w:eastAsia="Times New Roman" w:cstheme="minorHAnsi"/>
                <w:color w:val="000000"/>
                <w:sz w:val="20"/>
                <w:szCs w:val="20"/>
              </w:rPr>
              <w:t>048</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46</w:t>
            </w:r>
            <w:r w:rsidR="00CE52D2">
              <w:rPr>
                <w:rFonts w:eastAsia="Times New Roman" w:cstheme="minorHAnsi"/>
                <w:color w:val="000000"/>
                <w:sz w:val="20"/>
                <w:szCs w:val="20"/>
              </w:rPr>
              <w:t>,</w:t>
            </w:r>
            <w:r w:rsidRPr="00B24240">
              <w:rPr>
                <w:rFonts w:eastAsia="Times New Roman" w:cstheme="minorHAnsi"/>
                <w:color w:val="000000"/>
                <w:sz w:val="20"/>
                <w:szCs w:val="20"/>
              </w:rPr>
              <w:t>913</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57</w:t>
            </w:r>
            <w:r w:rsidR="00CE52D2">
              <w:rPr>
                <w:rFonts w:eastAsia="Times New Roman" w:cstheme="minorHAnsi"/>
                <w:color w:val="000000"/>
                <w:sz w:val="20"/>
                <w:szCs w:val="20"/>
              </w:rPr>
              <w:t>,</w:t>
            </w:r>
            <w:r w:rsidRPr="00B24240">
              <w:rPr>
                <w:rFonts w:eastAsia="Times New Roman" w:cstheme="minorHAnsi"/>
                <w:color w:val="000000"/>
                <w:sz w:val="20"/>
                <w:szCs w:val="20"/>
              </w:rPr>
              <w:t>976</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52</w:t>
            </w:r>
            <w:r w:rsidR="002D37A4">
              <w:rPr>
                <w:rFonts w:eastAsia="Times New Roman" w:cstheme="minorHAnsi"/>
                <w:color w:val="000000"/>
                <w:sz w:val="20"/>
                <w:szCs w:val="20"/>
              </w:rPr>
              <w:t>,</w:t>
            </w:r>
            <w:r w:rsidRPr="00B24240">
              <w:rPr>
                <w:rFonts w:eastAsia="Times New Roman" w:cstheme="minorHAnsi"/>
                <w:color w:val="000000"/>
                <w:sz w:val="20"/>
                <w:szCs w:val="20"/>
              </w:rPr>
              <w:t>447</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64</w:t>
            </w:r>
            <w:r w:rsidR="002D37A4">
              <w:rPr>
                <w:rFonts w:eastAsia="Times New Roman" w:cstheme="minorHAnsi"/>
                <w:color w:val="000000"/>
                <w:sz w:val="20"/>
                <w:szCs w:val="20"/>
              </w:rPr>
              <w:t>,</w:t>
            </w:r>
            <w:r w:rsidRPr="00B24240">
              <w:rPr>
                <w:rFonts w:eastAsia="Times New Roman" w:cstheme="minorHAnsi"/>
                <w:color w:val="000000"/>
                <w:sz w:val="20"/>
                <w:szCs w:val="20"/>
              </w:rPr>
              <w:t>900</w:t>
            </w:r>
          </w:p>
        </w:tc>
      </w:tr>
      <w:tr w:rsidR="00C945FC" w:rsidRPr="00B24240" w:rsidTr="00C945FC">
        <w:trPr>
          <w:trHeight w:val="270"/>
          <w:jc w:val="center"/>
        </w:trPr>
        <w:tc>
          <w:tcPr>
            <w:tcW w:w="582"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19</w:t>
            </w: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proofErr w:type="spellStart"/>
            <w:r w:rsidRPr="00B24240">
              <w:rPr>
                <w:rFonts w:eastAsia="Times New Roman" w:cstheme="minorHAnsi"/>
                <w:color w:val="000000"/>
                <w:sz w:val="20"/>
                <w:szCs w:val="20"/>
              </w:rPr>
              <w:t>Defence</w:t>
            </w:r>
            <w:proofErr w:type="spellEnd"/>
            <w:r w:rsidRPr="00B24240">
              <w:rPr>
                <w:rFonts w:eastAsia="Times New Roman" w:cstheme="minorHAnsi"/>
                <w:color w:val="000000"/>
                <w:sz w:val="20"/>
                <w:szCs w:val="20"/>
              </w:rPr>
              <w:t xml:space="preserve"> </w:t>
            </w:r>
            <w:r>
              <w:rPr>
                <w:rFonts w:eastAsia="Times New Roman" w:cstheme="minorHAnsi"/>
                <w:color w:val="000000"/>
                <w:sz w:val="20"/>
                <w:szCs w:val="20"/>
              </w:rPr>
              <w:t>**</w:t>
            </w:r>
          </w:p>
        </w:tc>
        <w:tc>
          <w:tcPr>
            <w:tcW w:w="1255"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23</w:t>
            </w:r>
            <w:r w:rsidR="00CE52D2">
              <w:rPr>
                <w:rFonts w:eastAsia="Times New Roman" w:cstheme="minorHAnsi"/>
                <w:color w:val="000000"/>
                <w:sz w:val="20"/>
                <w:szCs w:val="20"/>
              </w:rPr>
              <w:t>,</w:t>
            </w:r>
            <w:r w:rsidRPr="00B24240">
              <w:rPr>
                <w:rFonts w:eastAsia="Times New Roman" w:cstheme="minorHAnsi"/>
                <w:color w:val="000000"/>
                <w:sz w:val="20"/>
                <w:szCs w:val="20"/>
              </w:rPr>
              <w:t>0642</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2</w:t>
            </w:r>
            <w:r w:rsidR="00CE52D2">
              <w:rPr>
                <w:rFonts w:eastAsia="Times New Roman" w:cstheme="minorHAnsi"/>
                <w:color w:val="000000"/>
                <w:sz w:val="20"/>
                <w:szCs w:val="20"/>
              </w:rPr>
              <w:t>,</w:t>
            </w:r>
            <w:r w:rsidRPr="00B24240">
              <w:rPr>
                <w:rFonts w:eastAsia="Times New Roman" w:cstheme="minorHAnsi"/>
                <w:color w:val="000000"/>
                <w:sz w:val="20"/>
                <w:szCs w:val="20"/>
              </w:rPr>
              <w:t>54</w:t>
            </w:r>
            <w:r w:rsidR="00CE52D2">
              <w:rPr>
                <w:rFonts w:eastAsia="Times New Roman" w:cstheme="minorHAnsi"/>
                <w:color w:val="000000"/>
                <w:sz w:val="20"/>
                <w:szCs w:val="20"/>
              </w:rPr>
              <w:t>,</w:t>
            </w:r>
            <w:r w:rsidRPr="00B24240">
              <w:rPr>
                <w:rFonts w:eastAsia="Times New Roman" w:cstheme="minorHAnsi"/>
                <w:color w:val="000000"/>
                <w:sz w:val="20"/>
                <w:szCs w:val="20"/>
              </w:rPr>
              <w:t>133</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2</w:t>
            </w:r>
            <w:r w:rsidR="00CE52D2">
              <w:rPr>
                <w:rFonts w:eastAsia="Times New Roman" w:cstheme="minorHAnsi"/>
                <w:color w:val="000000"/>
                <w:sz w:val="20"/>
                <w:szCs w:val="20"/>
              </w:rPr>
              <w:t>,</w:t>
            </w:r>
            <w:r w:rsidRPr="00B24240">
              <w:rPr>
                <w:rFonts w:eastAsia="Times New Roman" w:cstheme="minorHAnsi"/>
                <w:color w:val="000000"/>
                <w:sz w:val="20"/>
                <w:szCs w:val="20"/>
              </w:rPr>
              <w:t>85</w:t>
            </w:r>
            <w:r w:rsidR="00CE52D2">
              <w:rPr>
                <w:rFonts w:eastAsia="Times New Roman" w:cstheme="minorHAnsi"/>
                <w:color w:val="000000"/>
                <w:sz w:val="20"/>
                <w:szCs w:val="20"/>
              </w:rPr>
              <w:t>,</w:t>
            </w:r>
            <w:r w:rsidRPr="00B24240">
              <w:rPr>
                <w:rFonts w:eastAsia="Times New Roman" w:cstheme="minorHAnsi"/>
                <w:color w:val="000000"/>
                <w:sz w:val="20"/>
                <w:szCs w:val="20"/>
              </w:rPr>
              <w:t>005</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2</w:t>
            </w:r>
            <w:r w:rsidR="00CE52D2">
              <w:rPr>
                <w:rFonts w:eastAsia="Times New Roman" w:cstheme="minorHAnsi"/>
                <w:color w:val="000000"/>
                <w:sz w:val="20"/>
                <w:szCs w:val="20"/>
              </w:rPr>
              <w:t>,</w:t>
            </w:r>
            <w:r w:rsidRPr="00B24240">
              <w:rPr>
                <w:rFonts w:eastAsia="Times New Roman" w:cstheme="minorHAnsi"/>
                <w:color w:val="000000"/>
                <w:sz w:val="20"/>
                <w:szCs w:val="20"/>
              </w:rPr>
              <w:t>93</w:t>
            </w:r>
            <w:r w:rsidR="00CE52D2">
              <w:rPr>
                <w:rFonts w:eastAsia="Times New Roman" w:cstheme="minorHAnsi"/>
                <w:color w:val="000000"/>
                <w:sz w:val="20"/>
                <w:szCs w:val="20"/>
              </w:rPr>
              <w:t>,</w:t>
            </w:r>
            <w:r w:rsidRPr="00B24240">
              <w:rPr>
                <w:rFonts w:eastAsia="Times New Roman" w:cstheme="minorHAnsi"/>
                <w:color w:val="000000"/>
                <w:sz w:val="20"/>
                <w:szCs w:val="20"/>
              </w:rPr>
              <w:t>920</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3</w:t>
            </w:r>
            <w:r w:rsidR="00CE52D2">
              <w:rPr>
                <w:rFonts w:eastAsia="Times New Roman" w:cstheme="minorHAnsi"/>
                <w:color w:val="000000"/>
                <w:sz w:val="20"/>
                <w:szCs w:val="20"/>
              </w:rPr>
              <w:t>,</w:t>
            </w:r>
            <w:r w:rsidRPr="00B24240">
              <w:rPr>
                <w:rFonts w:eastAsia="Times New Roman" w:cstheme="minorHAnsi"/>
                <w:color w:val="000000"/>
                <w:sz w:val="20"/>
                <w:szCs w:val="20"/>
              </w:rPr>
              <w:t>40</w:t>
            </w:r>
            <w:r w:rsidR="00CE52D2">
              <w:rPr>
                <w:rFonts w:eastAsia="Times New Roman" w:cstheme="minorHAnsi"/>
                <w:color w:val="000000"/>
                <w:sz w:val="20"/>
                <w:szCs w:val="20"/>
              </w:rPr>
              <w:t>,</w:t>
            </w:r>
            <w:r w:rsidRPr="00B24240">
              <w:rPr>
                <w:rFonts w:eastAsia="Times New Roman" w:cstheme="minorHAnsi"/>
                <w:color w:val="000000"/>
                <w:sz w:val="20"/>
                <w:szCs w:val="20"/>
              </w:rPr>
              <w:t>922</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3</w:t>
            </w:r>
            <w:r w:rsidR="002D37A4">
              <w:rPr>
                <w:rFonts w:eastAsia="Times New Roman" w:cstheme="minorHAnsi"/>
                <w:color w:val="000000"/>
                <w:sz w:val="20"/>
                <w:szCs w:val="20"/>
              </w:rPr>
              <w:t>,</w:t>
            </w:r>
            <w:r w:rsidRPr="00B24240">
              <w:rPr>
                <w:rFonts w:eastAsia="Times New Roman" w:cstheme="minorHAnsi"/>
                <w:color w:val="000000"/>
                <w:sz w:val="20"/>
                <w:szCs w:val="20"/>
              </w:rPr>
              <w:t>45</w:t>
            </w:r>
            <w:r w:rsidR="002D37A4">
              <w:rPr>
                <w:rFonts w:eastAsia="Times New Roman" w:cstheme="minorHAnsi"/>
                <w:color w:val="000000"/>
                <w:sz w:val="20"/>
                <w:szCs w:val="20"/>
              </w:rPr>
              <w:t>,</w:t>
            </w:r>
            <w:r w:rsidRPr="00B24240">
              <w:rPr>
                <w:rFonts w:eastAsia="Times New Roman" w:cstheme="minorHAnsi"/>
                <w:color w:val="000000"/>
                <w:sz w:val="20"/>
                <w:szCs w:val="20"/>
              </w:rPr>
              <w:t>106</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3</w:t>
            </w:r>
            <w:r w:rsidR="002D37A4">
              <w:rPr>
                <w:rFonts w:eastAsia="Times New Roman" w:cstheme="minorHAnsi"/>
                <w:color w:val="000000"/>
                <w:sz w:val="20"/>
                <w:szCs w:val="20"/>
              </w:rPr>
              <w:t>,</w:t>
            </w:r>
            <w:r w:rsidRPr="00B24240">
              <w:rPr>
                <w:rFonts w:eastAsia="Times New Roman" w:cstheme="minorHAnsi"/>
                <w:color w:val="000000"/>
                <w:sz w:val="20"/>
                <w:szCs w:val="20"/>
              </w:rPr>
              <w:t>59</w:t>
            </w:r>
            <w:r w:rsidR="002D37A4">
              <w:rPr>
                <w:rFonts w:eastAsia="Times New Roman" w:cstheme="minorHAnsi"/>
                <w:color w:val="000000"/>
                <w:sz w:val="20"/>
                <w:szCs w:val="20"/>
              </w:rPr>
              <w:t>,</w:t>
            </w:r>
            <w:r w:rsidRPr="00B24240">
              <w:rPr>
                <w:rFonts w:eastAsia="Times New Roman" w:cstheme="minorHAnsi"/>
                <w:color w:val="000000"/>
                <w:sz w:val="20"/>
                <w:szCs w:val="20"/>
              </w:rPr>
              <w:t>854</w:t>
            </w:r>
          </w:p>
        </w:tc>
      </w:tr>
      <w:tr w:rsidR="00C945FC" w:rsidRPr="00B24240" w:rsidTr="00C945FC">
        <w:trPr>
          <w:trHeight w:val="363"/>
          <w:jc w:val="center"/>
        </w:trPr>
        <w:tc>
          <w:tcPr>
            <w:tcW w:w="582" w:type="dxa"/>
            <w:shd w:val="clear" w:color="auto" w:fill="auto"/>
            <w:noWrap/>
            <w:vAlign w:val="bottom"/>
            <w:hideMark/>
          </w:tcPr>
          <w:p w:rsidR="00C945FC" w:rsidRPr="00B24240" w:rsidRDefault="00C945FC" w:rsidP="00C945FC">
            <w:pPr>
              <w:spacing w:after="0" w:line="240" w:lineRule="auto"/>
              <w:rPr>
                <w:rFonts w:eastAsia="Times New Roman" w:cstheme="minorHAnsi"/>
                <w:color w:val="000000"/>
                <w:sz w:val="20"/>
                <w:szCs w:val="20"/>
              </w:rPr>
            </w:pP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Total expenditure in select ministries (1 to 19)</w:t>
            </w:r>
          </w:p>
        </w:tc>
        <w:tc>
          <w:tcPr>
            <w:tcW w:w="1255"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5</w:t>
            </w:r>
            <w:r w:rsidR="00CE52D2">
              <w:rPr>
                <w:rFonts w:eastAsia="Times New Roman" w:cstheme="minorHAnsi"/>
                <w:color w:val="000000"/>
                <w:sz w:val="20"/>
                <w:szCs w:val="20"/>
              </w:rPr>
              <w:t>,</w:t>
            </w:r>
            <w:r w:rsidRPr="00B24240">
              <w:rPr>
                <w:rFonts w:eastAsia="Times New Roman" w:cstheme="minorHAnsi"/>
                <w:color w:val="000000"/>
                <w:sz w:val="20"/>
                <w:szCs w:val="20"/>
              </w:rPr>
              <w:t>73</w:t>
            </w:r>
            <w:r w:rsidR="00CE52D2">
              <w:rPr>
                <w:rFonts w:eastAsia="Times New Roman" w:cstheme="minorHAnsi"/>
                <w:color w:val="000000"/>
                <w:sz w:val="20"/>
                <w:szCs w:val="20"/>
              </w:rPr>
              <w:t>,</w:t>
            </w:r>
            <w:r w:rsidRPr="00B24240">
              <w:rPr>
                <w:rFonts w:eastAsia="Times New Roman" w:cstheme="minorHAnsi"/>
                <w:color w:val="000000"/>
                <w:sz w:val="20"/>
                <w:szCs w:val="20"/>
              </w:rPr>
              <w:t>877</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6</w:t>
            </w:r>
            <w:r w:rsidR="00CE52D2">
              <w:rPr>
                <w:rFonts w:eastAsia="Times New Roman" w:cstheme="minorHAnsi"/>
                <w:color w:val="000000"/>
                <w:sz w:val="20"/>
                <w:szCs w:val="20"/>
              </w:rPr>
              <w:t>,</w:t>
            </w:r>
            <w:r w:rsidRPr="00B24240">
              <w:rPr>
                <w:rFonts w:eastAsia="Times New Roman" w:cstheme="minorHAnsi"/>
                <w:color w:val="000000"/>
                <w:sz w:val="20"/>
                <w:szCs w:val="20"/>
              </w:rPr>
              <w:t>31</w:t>
            </w:r>
            <w:r w:rsidR="00CE52D2">
              <w:rPr>
                <w:rFonts w:eastAsia="Times New Roman" w:cstheme="minorHAnsi"/>
                <w:color w:val="000000"/>
                <w:sz w:val="20"/>
                <w:szCs w:val="20"/>
              </w:rPr>
              <w:t>,</w:t>
            </w:r>
            <w:r w:rsidRPr="00B24240">
              <w:rPr>
                <w:rFonts w:eastAsia="Times New Roman" w:cstheme="minorHAnsi"/>
                <w:color w:val="000000"/>
                <w:sz w:val="20"/>
                <w:szCs w:val="20"/>
              </w:rPr>
              <w:t>990</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7</w:t>
            </w:r>
            <w:r w:rsidR="00CE52D2">
              <w:rPr>
                <w:rFonts w:eastAsia="Times New Roman" w:cstheme="minorHAnsi"/>
                <w:color w:val="000000"/>
                <w:sz w:val="20"/>
                <w:szCs w:val="20"/>
              </w:rPr>
              <w:t>,</w:t>
            </w:r>
            <w:r w:rsidRPr="00B24240">
              <w:rPr>
                <w:rFonts w:eastAsia="Times New Roman" w:cstheme="minorHAnsi"/>
                <w:color w:val="000000"/>
                <w:sz w:val="20"/>
                <w:szCs w:val="20"/>
              </w:rPr>
              <w:t>07</w:t>
            </w:r>
            <w:r w:rsidR="00CE52D2">
              <w:rPr>
                <w:rFonts w:eastAsia="Times New Roman" w:cstheme="minorHAnsi"/>
                <w:color w:val="000000"/>
                <w:sz w:val="20"/>
                <w:szCs w:val="20"/>
              </w:rPr>
              <w:t>,</w:t>
            </w:r>
            <w:r w:rsidRPr="00B24240">
              <w:rPr>
                <w:rFonts w:eastAsia="Times New Roman" w:cstheme="minorHAnsi"/>
                <w:color w:val="000000"/>
                <w:sz w:val="20"/>
                <w:szCs w:val="20"/>
              </w:rPr>
              <w:t>400</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7</w:t>
            </w:r>
            <w:r w:rsidR="00CE52D2">
              <w:rPr>
                <w:rFonts w:eastAsia="Times New Roman" w:cstheme="minorHAnsi"/>
                <w:color w:val="000000"/>
                <w:sz w:val="20"/>
                <w:szCs w:val="20"/>
              </w:rPr>
              <w:t>,</w:t>
            </w:r>
            <w:r w:rsidRPr="00B24240">
              <w:rPr>
                <w:rFonts w:eastAsia="Times New Roman" w:cstheme="minorHAnsi"/>
                <w:color w:val="000000"/>
                <w:sz w:val="20"/>
                <w:szCs w:val="20"/>
              </w:rPr>
              <w:t>57</w:t>
            </w:r>
            <w:r w:rsidR="00CE52D2">
              <w:rPr>
                <w:rFonts w:eastAsia="Times New Roman" w:cstheme="minorHAnsi"/>
                <w:color w:val="000000"/>
                <w:sz w:val="20"/>
                <w:szCs w:val="20"/>
              </w:rPr>
              <w:t>,</w:t>
            </w:r>
            <w:r w:rsidRPr="00B24240">
              <w:rPr>
                <w:rFonts w:eastAsia="Times New Roman" w:cstheme="minorHAnsi"/>
                <w:color w:val="000000"/>
                <w:sz w:val="20"/>
                <w:szCs w:val="20"/>
              </w:rPr>
              <w:t>654</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8</w:t>
            </w:r>
            <w:r w:rsidR="00CE52D2">
              <w:rPr>
                <w:rFonts w:eastAsia="Times New Roman" w:cstheme="minorHAnsi"/>
                <w:color w:val="000000"/>
                <w:sz w:val="20"/>
                <w:szCs w:val="20"/>
              </w:rPr>
              <w:t>,</w:t>
            </w:r>
            <w:r w:rsidRPr="00B24240">
              <w:rPr>
                <w:rFonts w:eastAsia="Times New Roman" w:cstheme="minorHAnsi"/>
                <w:color w:val="000000"/>
                <w:sz w:val="20"/>
                <w:szCs w:val="20"/>
              </w:rPr>
              <w:t>74</w:t>
            </w:r>
            <w:r w:rsidR="00CE52D2">
              <w:rPr>
                <w:rFonts w:eastAsia="Times New Roman" w:cstheme="minorHAnsi"/>
                <w:color w:val="000000"/>
                <w:sz w:val="20"/>
                <w:szCs w:val="20"/>
              </w:rPr>
              <w:t>,</w:t>
            </w:r>
            <w:r w:rsidRPr="00B24240">
              <w:rPr>
                <w:rFonts w:eastAsia="Times New Roman" w:cstheme="minorHAnsi"/>
                <w:color w:val="000000"/>
                <w:sz w:val="20"/>
                <w:szCs w:val="20"/>
              </w:rPr>
              <w:t>407</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9</w:t>
            </w:r>
            <w:r w:rsidR="002D37A4">
              <w:rPr>
                <w:rFonts w:eastAsia="Times New Roman" w:cstheme="minorHAnsi"/>
                <w:color w:val="000000"/>
                <w:sz w:val="20"/>
                <w:szCs w:val="20"/>
              </w:rPr>
              <w:t>,</w:t>
            </w:r>
            <w:r w:rsidRPr="00B24240">
              <w:rPr>
                <w:rFonts w:eastAsia="Times New Roman" w:cstheme="minorHAnsi"/>
                <w:color w:val="000000"/>
                <w:sz w:val="20"/>
                <w:szCs w:val="20"/>
              </w:rPr>
              <w:t>01</w:t>
            </w:r>
            <w:r w:rsidR="002D37A4">
              <w:rPr>
                <w:rFonts w:eastAsia="Times New Roman" w:cstheme="minorHAnsi"/>
                <w:color w:val="000000"/>
                <w:sz w:val="20"/>
                <w:szCs w:val="20"/>
              </w:rPr>
              <w:t>,</w:t>
            </w:r>
            <w:r w:rsidRPr="00B24240">
              <w:rPr>
                <w:rFonts w:eastAsia="Times New Roman" w:cstheme="minorHAnsi"/>
                <w:color w:val="000000"/>
                <w:sz w:val="20"/>
                <w:szCs w:val="20"/>
              </w:rPr>
              <w:t>560</w:t>
            </w:r>
          </w:p>
        </w:tc>
        <w:tc>
          <w:tcPr>
            <w:tcW w:w="1027" w:type="dxa"/>
            <w:shd w:val="clear" w:color="auto" w:fill="auto"/>
            <w:noWrap/>
            <w:vAlign w:val="bottom"/>
            <w:hideMark/>
          </w:tcPr>
          <w:p w:rsidR="00C945FC" w:rsidRPr="00B24240" w:rsidRDefault="00C945FC" w:rsidP="00C945FC">
            <w:pPr>
              <w:spacing w:after="0" w:line="240" w:lineRule="auto"/>
              <w:jc w:val="center"/>
              <w:rPr>
                <w:rFonts w:eastAsia="Times New Roman" w:cstheme="minorHAnsi"/>
                <w:color w:val="000000"/>
                <w:sz w:val="20"/>
                <w:szCs w:val="20"/>
              </w:rPr>
            </w:pPr>
            <w:r w:rsidRPr="00B24240">
              <w:rPr>
                <w:rFonts w:eastAsia="Times New Roman" w:cstheme="minorHAnsi"/>
                <w:color w:val="000000"/>
                <w:sz w:val="20"/>
                <w:szCs w:val="20"/>
              </w:rPr>
              <w:t>9</w:t>
            </w:r>
            <w:r w:rsidR="002D37A4">
              <w:rPr>
                <w:rFonts w:eastAsia="Times New Roman" w:cstheme="minorHAnsi"/>
                <w:color w:val="000000"/>
                <w:sz w:val="20"/>
                <w:szCs w:val="20"/>
              </w:rPr>
              <w:t>,</w:t>
            </w:r>
            <w:r w:rsidRPr="00B24240">
              <w:rPr>
                <w:rFonts w:eastAsia="Times New Roman" w:cstheme="minorHAnsi"/>
                <w:color w:val="000000"/>
                <w:sz w:val="20"/>
                <w:szCs w:val="20"/>
              </w:rPr>
              <w:t>82</w:t>
            </w:r>
            <w:r w:rsidR="002D37A4">
              <w:rPr>
                <w:rFonts w:eastAsia="Times New Roman" w:cstheme="minorHAnsi"/>
                <w:color w:val="000000"/>
                <w:sz w:val="20"/>
                <w:szCs w:val="20"/>
              </w:rPr>
              <w:t>,</w:t>
            </w:r>
            <w:r w:rsidRPr="00B24240">
              <w:rPr>
                <w:rFonts w:eastAsia="Times New Roman" w:cstheme="minorHAnsi"/>
                <w:color w:val="000000"/>
                <w:sz w:val="20"/>
                <w:szCs w:val="20"/>
              </w:rPr>
              <w:t>294</w:t>
            </w:r>
          </w:p>
        </w:tc>
      </w:tr>
      <w:tr w:rsidR="00C945FC" w:rsidRPr="00B24240" w:rsidTr="00C945FC">
        <w:trPr>
          <w:trHeight w:val="270"/>
          <w:jc w:val="center"/>
        </w:trPr>
        <w:tc>
          <w:tcPr>
            <w:tcW w:w="582" w:type="dxa"/>
            <w:shd w:val="clear" w:color="auto" w:fill="auto"/>
            <w:noWrap/>
            <w:vAlign w:val="bottom"/>
            <w:hideMark/>
          </w:tcPr>
          <w:p w:rsidR="00C945FC" w:rsidRPr="00B24240" w:rsidRDefault="00C945FC" w:rsidP="00C945FC">
            <w:pPr>
              <w:spacing w:after="0" w:line="240" w:lineRule="auto"/>
              <w:rPr>
                <w:rFonts w:eastAsia="Times New Roman" w:cstheme="minorHAnsi"/>
                <w:color w:val="000000"/>
                <w:sz w:val="20"/>
                <w:szCs w:val="20"/>
              </w:rPr>
            </w:pP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Total Union Government Expenditure</w:t>
            </w:r>
          </w:p>
        </w:tc>
        <w:tc>
          <w:tcPr>
            <w:tcW w:w="1255" w:type="dxa"/>
            <w:shd w:val="clear" w:color="auto" w:fill="auto"/>
            <w:vAlign w:val="center"/>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14</w:t>
            </w:r>
            <w:r w:rsidR="00CE52D2">
              <w:rPr>
                <w:rFonts w:eastAsia="Times New Roman" w:cstheme="minorHAnsi"/>
                <w:color w:val="000000"/>
                <w:sz w:val="20"/>
                <w:szCs w:val="20"/>
              </w:rPr>
              <w:t>,</w:t>
            </w:r>
            <w:r w:rsidRPr="00B24240">
              <w:rPr>
                <w:rFonts w:eastAsia="Times New Roman" w:cstheme="minorHAnsi"/>
                <w:color w:val="000000"/>
                <w:sz w:val="20"/>
                <w:szCs w:val="20"/>
              </w:rPr>
              <w:t>10</w:t>
            </w:r>
            <w:r w:rsidR="00CE52D2">
              <w:rPr>
                <w:rFonts w:eastAsia="Times New Roman" w:cstheme="minorHAnsi"/>
                <w:color w:val="000000"/>
                <w:sz w:val="20"/>
                <w:szCs w:val="20"/>
              </w:rPr>
              <w:t>,</w:t>
            </w:r>
            <w:r w:rsidRPr="00B24240">
              <w:rPr>
                <w:rFonts w:eastAsia="Times New Roman" w:cstheme="minorHAnsi"/>
                <w:color w:val="000000"/>
                <w:sz w:val="20"/>
                <w:szCs w:val="20"/>
              </w:rPr>
              <w:t>372</w:t>
            </w:r>
          </w:p>
        </w:tc>
        <w:tc>
          <w:tcPr>
            <w:tcW w:w="1027" w:type="dxa"/>
            <w:shd w:val="clear" w:color="auto" w:fill="auto"/>
            <w:vAlign w:val="center"/>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15</w:t>
            </w:r>
            <w:r w:rsidR="00CE52D2">
              <w:rPr>
                <w:rFonts w:eastAsia="Times New Roman" w:cstheme="minorHAnsi"/>
                <w:color w:val="000000"/>
                <w:sz w:val="20"/>
                <w:szCs w:val="20"/>
              </w:rPr>
              <w:t>,</w:t>
            </w:r>
            <w:r w:rsidRPr="00B24240">
              <w:rPr>
                <w:rFonts w:eastAsia="Times New Roman" w:cstheme="minorHAnsi"/>
                <w:color w:val="000000"/>
                <w:sz w:val="20"/>
                <w:szCs w:val="20"/>
              </w:rPr>
              <w:t>59</w:t>
            </w:r>
            <w:r w:rsidR="00CE52D2">
              <w:rPr>
                <w:rFonts w:eastAsia="Times New Roman" w:cstheme="minorHAnsi"/>
                <w:color w:val="000000"/>
                <w:sz w:val="20"/>
                <w:szCs w:val="20"/>
              </w:rPr>
              <w:t>,</w:t>
            </w:r>
            <w:r w:rsidRPr="00B24240">
              <w:rPr>
                <w:rFonts w:eastAsia="Times New Roman" w:cstheme="minorHAnsi"/>
                <w:color w:val="000000"/>
                <w:sz w:val="20"/>
                <w:szCs w:val="20"/>
              </w:rPr>
              <w:t>447</w:t>
            </w:r>
          </w:p>
        </w:tc>
        <w:tc>
          <w:tcPr>
            <w:tcW w:w="1027" w:type="dxa"/>
            <w:shd w:val="clear" w:color="auto" w:fill="auto"/>
            <w:vAlign w:val="center"/>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16</w:t>
            </w:r>
            <w:r w:rsidR="00CE52D2">
              <w:rPr>
                <w:rFonts w:eastAsia="Times New Roman" w:cstheme="minorHAnsi"/>
                <w:color w:val="000000"/>
                <w:sz w:val="20"/>
                <w:szCs w:val="20"/>
              </w:rPr>
              <w:t>,</w:t>
            </w:r>
            <w:r w:rsidRPr="00B24240">
              <w:rPr>
                <w:rFonts w:eastAsia="Times New Roman" w:cstheme="minorHAnsi"/>
                <w:color w:val="000000"/>
                <w:sz w:val="20"/>
                <w:szCs w:val="20"/>
              </w:rPr>
              <w:t>63</w:t>
            </w:r>
            <w:r w:rsidR="00CE52D2">
              <w:rPr>
                <w:rFonts w:eastAsia="Times New Roman" w:cstheme="minorHAnsi"/>
                <w:color w:val="000000"/>
                <w:sz w:val="20"/>
                <w:szCs w:val="20"/>
              </w:rPr>
              <w:t>,</w:t>
            </w:r>
            <w:r w:rsidRPr="00B24240">
              <w:rPr>
                <w:rFonts w:eastAsia="Times New Roman" w:cstheme="minorHAnsi"/>
                <w:color w:val="000000"/>
                <w:sz w:val="20"/>
                <w:szCs w:val="20"/>
              </w:rPr>
              <w:t>673</w:t>
            </w:r>
          </w:p>
        </w:tc>
        <w:tc>
          <w:tcPr>
            <w:tcW w:w="1027" w:type="dxa"/>
            <w:shd w:val="clear" w:color="auto" w:fill="auto"/>
            <w:vAlign w:val="center"/>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17</w:t>
            </w:r>
            <w:r w:rsidR="00CE52D2">
              <w:rPr>
                <w:rFonts w:eastAsia="Times New Roman" w:cstheme="minorHAnsi"/>
                <w:color w:val="000000"/>
                <w:sz w:val="20"/>
                <w:szCs w:val="20"/>
              </w:rPr>
              <w:t>,</w:t>
            </w:r>
            <w:r w:rsidRPr="00B24240">
              <w:rPr>
                <w:rFonts w:eastAsia="Times New Roman" w:cstheme="minorHAnsi"/>
                <w:color w:val="000000"/>
                <w:sz w:val="20"/>
                <w:szCs w:val="20"/>
              </w:rPr>
              <w:t>90</w:t>
            </w:r>
            <w:r w:rsidR="00CE52D2">
              <w:rPr>
                <w:rFonts w:eastAsia="Times New Roman" w:cstheme="minorHAnsi"/>
                <w:color w:val="000000"/>
                <w:sz w:val="20"/>
                <w:szCs w:val="20"/>
              </w:rPr>
              <w:t>,</w:t>
            </w:r>
            <w:r w:rsidRPr="00B24240">
              <w:rPr>
                <w:rFonts w:eastAsia="Times New Roman" w:cstheme="minorHAnsi"/>
                <w:color w:val="000000"/>
                <w:sz w:val="20"/>
                <w:szCs w:val="20"/>
              </w:rPr>
              <w:t>783</w:t>
            </w:r>
          </w:p>
        </w:tc>
        <w:tc>
          <w:tcPr>
            <w:tcW w:w="1027" w:type="dxa"/>
            <w:shd w:val="clear" w:color="auto" w:fill="auto"/>
            <w:vAlign w:val="center"/>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19</w:t>
            </w:r>
            <w:r w:rsidR="00CE52D2">
              <w:rPr>
                <w:rFonts w:eastAsia="Times New Roman" w:cstheme="minorHAnsi"/>
                <w:color w:val="000000"/>
                <w:sz w:val="20"/>
                <w:szCs w:val="20"/>
              </w:rPr>
              <w:t>,</w:t>
            </w:r>
            <w:r w:rsidRPr="00B24240">
              <w:rPr>
                <w:rFonts w:eastAsia="Times New Roman" w:cstheme="minorHAnsi"/>
                <w:color w:val="000000"/>
                <w:sz w:val="20"/>
                <w:szCs w:val="20"/>
              </w:rPr>
              <w:t>78</w:t>
            </w:r>
            <w:r w:rsidR="00CE52D2">
              <w:rPr>
                <w:rFonts w:eastAsia="Times New Roman" w:cstheme="minorHAnsi"/>
                <w:color w:val="000000"/>
                <w:sz w:val="20"/>
                <w:szCs w:val="20"/>
              </w:rPr>
              <w:t>,</w:t>
            </w:r>
            <w:r w:rsidRPr="00B24240">
              <w:rPr>
                <w:rFonts w:eastAsia="Times New Roman" w:cstheme="minorHAnsi"/>
                <w:color w:val="000000"/>
                <w:sz w:val="20"/>
                <w:szCs w:val="20"/>
              </w:rPr>
              <w:t>060</w:t>
            </w:r>
          </w:p>
        </w:tc>
        <w:tc>
          <w:tcPr>
            <w:tcW w:w="1027" w:type="dxa"/>
            <w:shd w:val="clear" w:color="auto" w:fill="auto"/>
            <w:vAlign w:val="center"/>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20</w:t>
            </w:r>
            <w:r w:rsidR="002D37A4">
              <w:rPr>
                <w:rFonts w:eastAsia="Times New Roman" w:cstheme="minorHAnsi"/>
                <w:color w:val="000000"/>
                <w:sz w:val="20"/>
                <w:szCs w:val="20"/>
              </w:rPr>
              <w:t>,</w:t>
            </w:r>
            <w:r w:rsidRPr="00B24240">
              <w:rPr>
                <w:rFonts w:eastAsia="Times New Roman" w:cstheme="minorHAnsi"/>
                <w:color w:val="000000"/>
                <w:sz w:val="20"/>
                <w:szCs w:val="20"/>
              </w:rPr>
              <w:t>14</w:t>
            </w:r>
            <w:r w:rsidR="002D37A4">
              <w:rPr>
                <w:rFonts w:eastAsia="Times New Roman" w:cstheme="minorHAnsi"/>
                <w:color w:val="000000"/>
                <w:sz w:val="20"/>
                <w:szCs w:val="20"/>
              </w:rPr>
              <w:t>,</w:t>
            </w:r>
            <w:r w:rsidRPr="00B24240">
              <w:rPr>
                <w:rFonts w:eastAsia="Times New Roman" w:cstheme="minorHAnsi"/>
                <w:color w:val="000000"/>
                <w:sz w:val="20"/>
                <w:szCs w:val="20"/>
              </w:rPr>
              <w:t>407</w:t>
            </w:r>
          </w:p>
        </w:tc>
        <w:tc>
          <w:tcPr>
            <w:tcW w:w="1027" w:type="dxa"/>
            <w:shd w:val="clear" w:color="auto" w:fill="auto"/>
            <w:vAlign w:val="center"/>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21</w:t>
            </w:r>
            <w:r w:rsidR="002D37A4">
              <w:rPr>
                <w:rFonts w:eastAsia="Times New Roman" w:cstheme="minorHAnsi"/>
                <w:color w:val="000000"/>
                <w:sz w:val="20"/>
                <w:szCs w:val="20"/>
              </w:rPr>
              <w:t>,</w:t>
            </w:r>
            <w:r w:rsidRPr="00B24240">
              <w:rPr>
                <w:rFonts w:eastAsia="Times New Roman" w:cstheme="minorHAnsi"/>
                <w:color w:val="000000"/>
                <w:sz w:val="20"/>
                <w:szCs w:val="20"/>
              </w:rPr>
              <w:t>46</w:t>
            </w:r>
            <w:r w:rsidR="002D37A4">
              <w:rPr>
                <w:rFonts w:eastAsia="Times New Roman" w:cstheme="minorHAnsi"/>
                <w:color w:val="000000"/>
                <w:sz w:val="20"/>
                <w:szCs w:val="20"/>
              </w:rPr>
              <w:t>,</w:t>
            </w:r>
            <w:r w:rsidRPr="00B24240">
              <w:rPr>
                <w:rFonts w:eastAsia="Times New Roman" w:cstheme="minorHAnsi"/>
                <w:color w:val="000000"/>
                <w:sz w:val="20"/>
                <w:szCs w:val="20"/>
              </w:rPr>
              <w:t>735</w:t>
            </w:r>
          </w:p>
        </w:tc>
      </w:tr>
      <w:tr w:rsidR="00C945FC" w:rsidRPr="00B24240" w:rsidTr="00C945FC">
        <w:trPr>
          <w:trHeight w:val="695"/>
          <w:jc w:val="center"/>
        </w:trPr>
        <w:tc>
          <w:tcPr>
            <w:tcW w:w="582" w:type="dxa"/>
            <w:shd w:val="clear" w:color="auto" w:fill="auto"/>
            <w:noWrap/>
            <w:vAlign w:val="bottom"/>
            <w:hideMark/>
          </w:tcPr>
          <w:p w:rsidR="00C945FC" w:rsidRPr="00B24240" w:rsidRDefault="00C945FC" w:rsidP="00C945FC">
            <w:pPr>
              <w:spacing w:after="0" w:line="240" w:lineRule="auto"/>
              <w:rPr>
                <w:rFonts w:eastAsia="Times New Roman" w:cstheme="minorHAnsi"/>
                <w:color w:val="000000"/>
                <w:sz w:val="20"/>
                <w:szCs w:val="20"/>
              </w:rPr>
            </w:pP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Total expenditure in ministries (1 to 17) as share of total Union Govt. expenditure (in %)</w:t>
            </w:r>
          </w:p>
        </w:tc>
        <w:tc>
          <w:tcPr>
            <w:tcW w:w="1255"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22.7</w:t>
            </w:r>
          </w:p>
        </w:tc>
        <w:tc>
          <w:tcPr>
            <w:tcW w:w="1027"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22.4</w:t>
            </w:r>
          </w:p>
        </w:tc>
        <w:tc>
          <w:tcPr>
            <w:tcW w:w="1027"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23.4</w:t>
            </w:r>
          </w:p>
        </w:tc>
        <w:tc>
          <w:tcPr>
            <w:tcW w:w="1027"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23.3</w:t>
            </w:r>
          </w:p>
        </w:tc>
        <w:tc>
          <w:tcPr>
            <w:tcW w:w="1027"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24.0</w:t>
            </w:r>
          </w:p>
        </w:tc>
        <w:tc>
          <w:tcPr>
            <w:tcW w:w="1027"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25.0</w:t>
            </w:r>
          </w:p>
        </w:tc>
        <w:tc>
          <w:tcPr>
            <w:tcW w:w="1027"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26.0</w:t>
            </w:r>
          </w:p>
        </w:tc>
      </w:tr>
      <w:tr w:rsidR="00C945FC" w:rsidRPr="00B24240" w:rsidTr="00C945FC">
        <w:trPr>
          <w:trHeight w:val="639"/>
          <w:jc w:val="center"/>
        </w:trPr>
        <w:tc>
          <w:tcPr>
            <w:tcW w:w="582" w:type="dxa"/>
            <w:shd w:val="clear" w:color="auto" w:fill="auto"/>
            <w:noWrap/>
            <w:vAlign w:val="bottom"/>
            <w:hideMark/>
          </w:tcPr>
          <w:p w:rsidR="00C945FC" w:rsidRPr="00B24240" w:rsidRDefault="00C945FC" w:rsidP="00C945FC">
            <w:pPr>
              <w:spacing w:after="0" w:line="240" w:lineRule="auto"/>
              <w:rPr>
                <w:rFonts w:eastAsia="Times New Roman" w:cstheme="minorHAnsi"/>
                <w:color w:val="000000"/>
                <w:sz w:val="20"/>
                <w:szCs w:val="20"/>
              </w:rPr>
            </w:pP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Total expenditure in ministries (1 to 19) as share of total Union Govt. expenditure (in %)</w:t>
            </w:r>
          </w:p>
        </w:tc>
        <w:tc>
          <w:tcPr>
            <w:tcW w:w="1255"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40.7</w:t>
            </w:r>
          </w:p>
        </w:tc>
        <w:tc>
          <w:tcPr>
            <w:tcW w:w="1027"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40.5</w:t>
            </w:r>
          </w:p>
        </w:tc>
        <w:tc>
          <w:tcPr>
            <w:tcW w:w="1027"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42.5</w:t>
            </w:r>
          </w:p>
        </w:tc>
        <w:tc>
          <w:tcPr>
            <w:tcW w:w="1027"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42.3</w:t>
            </w:r>
          </w:p>
        </w:tc>
        <w:tc>
          <w:tcPr>
            <w:tcW w:w="1027"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44.2</w:t>
            </w:r>
          </w:p>
        </w:tc>
        <w:tc>
          <w:tcPr>
            <w:tcW w:w="1027"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44.8</w:t>
            </w:r>
          </w:p>
        </w:tc>
        <w:tc>
          <w:tcPr>
            <w:tcW w:w="1027"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45.8</w:t>
            </w:r>
          </w:p>
        </w:tc>
      </w:tr>
      <w:tr w:rsidR="00C945FC" w:rsidRPr="00B24240" w:rsidTr="00C945FC">
        <w:trPr>
          <w:trHeight w:val="460"/>
          <w:jc w:val="center"/>
        </w:trPr>
        <w:tc>
          <w:tcPr>
            <w:tcW w:w="582" w:type="dxa"/>
            <w:shd w:val="clear" w:color="auto" w:fill="auto"/>
            <w:noWrap/>
            <w:vAlign w:val="bottom"/>
            <w:hideMark/>
          </w:tcPr>
          <w:p w:rsidR="00C945FC" w:rsidRPr="00B24240" w:rsidRDefault="00C945FC" w:rsidP="00C945FC">
            <w:pPr>
              <w:spacing w:after="0" w:line="240" w:lineRule="auto"/>
              <w:rPr>
                <w:rFonts w:eastAsia="Times New Roman" w:cstheme="minorHAnsi"/>
                <w:color w:val="000000"/>
                <w:sz w:val="20"/>
                <w:szCs w:val="20"/>
              </w:rPr>
            </w:pP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GDP at current market prices (2011-12 series)</w:t>
            </w:r>
          </w:p>
        </w:tc>
        <w:tc>
          <w:tcPr>
            <w:tcW w:w="1255" w:type="dxa"/>
            <w:shd w:val="clear" w:color="auto" w:fill="auto"/>
            <w:vAlign w:val="center"/>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99</w:t>
            </w:r>
            <w:r w:rsidR="00CE52D2">
              <w:rPr>
                <w:rFonts w:eastAsia="Times New Roman" w:cstheme="minorHAnsi"/>
                <w:color w:val="000000"/>
                <w:sz w:val="20"/>
                <w:szCs w:val="20"/>
              </w:rPr>
              <w:t>,</w:t>
            </w:r>
            <w:r w:rsidRPr="00B24240">
              <w:rPr>
                <w:rFonts w:eastAsia="Times New Roman" w:cstheme="minorHAnsi"/>
                <w:color w:val="000000"/>
                <w:sz w:val="20"/>
                <w:szCs w:val="20"/>
              </w:rPr>
              <w:t>46</w:t>
            </w:r>
            <w:r w:rsidR="00CE52D2">
              <w:rPr>
                <w:rFonts w:eastAsia="Times New Roman" w:cstheme="minorHAnsi"/>
                <w:color w:val="000000"/>
                <w:sz w:val="20"/>
                <w:szCs w:val="20"/>
              </w:rPr>
              <w:t>,</w:t>
            </w:r>
            <w:r w:rsidRPr="00B24240">
              <w:rPr>
                <w:rFonts w:eastAsia="Times New Roman" w:cstheme="minorHAnsi"/>
                <w:color w:val="000000"/>
                <w:sz w:val="20"/>
                <w:szCs w:val="20"/>
              </w:rPr>
              <w:t>636</w:t>
            </w:r>
          </w:p>
        </w:tc>
        <w:tc>
          <w:tcPr>
            <w:tcW w:w="1027" w:type="dxa"/>
            <w:shd w:val="clear" w:color="auto" w:fill="auto"/>
            <w:vAlign w:val="center"/>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1</w:t>
            </w:r>
            <w:r w:rsidR="00CE52D2">
              <w:rPr>
                <w:rFonts w:eastAsia="Times New Roman" w:cstheme="minorHAnsi"/>
                <w:color w:val="000000"/>
                <w:sz w:val="20"/>
                <w:szCs w:val="20"/>
              </w:rPr>
              <w:t>,</w:t>
            </w:r>
            <w:r w:rsidRPr="00B24240">
              <w:rPr>
                <w:rFonts w:eastAsia="Times New Roman" w:cstheme="minorHAnsi"/>
                <w:color w:val="000000"/>
                <w:sz w:val="20"/>
                <w:szCs w:val="20"/>
              </w:rPr>
              <w:t>12</w:t>
            </w:r>
            <w:r w:rsidR="00CE52D2">
              <w:rPr>
                <w:rFonts w:eastAsia="Times New Roman" w:cstheme="minorHAnsi"/>
                <w:color w:val="000000"/>
                <w:sz w:val="20"/>
                <w:szCs w:val="20"/>
              </w:rPr>
              <w:t>,</w:t>
            </w:r>
            <w:r w:rsidRPr="00B24240">
              <w:rPr>
                <w:rFonts w:eastAsia="Times New Roman" w:cstheme="minorHAnsi"/>
                <w:color w:val="000000"/>
                <w:sz w:val="20"/>
                <w:szCs w:val="20"/>
              </w:rPr>
              <w:t>36</w:t>
            </w:r>
            <w:r w:rsidR="00CE52D2">
              <w:rPr>
                <w:rFonts w:eastAsia="Times New Roman" w:cstheme="minorHAnsi"/>
                <w:color w:val="000000"/>
                <w:sz w:val="20"/>
                <w:szCs w:val="20"/>
              </w:rPr>
              <w:t>,</w:t>
            </w:r>
            <w:r w:rsidRPr="00B24240">
              <w:rPr>
                <w:rFonts w:eastAsia="Times New Roman" w:cstheme="minorHAnsi"/>
                <w:color w:val="000000"/>
                <w:sz w:val="20"/>
                <w:szCs w:val="20"/>
              </w:rPr>
              <w:t>635</w:t>
            </w:r>
          </w:p>
        </w:tc>
        <w:tc>
          <w:tcPr>
            <w:tcW w:w="1027" w:type="dxa"/>
            <w:shd w:val="clear" w:color="auto" w:fill="auto"/>
            <w:vAlign w:val="center"/>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1</w:t>
            </w:r>
            <w:r w:rsidR="00CE52D2">
              <w:rPr>
                <w:rFonts w:eastAsia="Times New Roman" w:cstheme="minorHAnsi"/>
                <w:color w:val="000000"/>
                <w:sz w:val="20"/>
                <w:szCs w:val="20"/>
              </w:rPr>
              <w:t>,</w:t>
            </w:r>
            <w:r w:rsidRPr="00B24240">
              <w:rPr>
                <w:rFonts w:eastAsia="Times New Roman" w:cstheme="minorHAnsi"/>
                <w:color w:val="000000"/>
                <w:sz w:val="20"/>
                <w:szCs w:val="20"/>
              </w:rPr>
              <w:t>24</w:t>
            </w:r>
            <w:r w:rsidR="00CE52D2">
              <w:rPr>
                <w:rFonts w:eastAsia="Times New Roman" w:cstheme="minorHAnsi"/>
                <w:color w:val="000000"/>
                <w:sz w:val="20"/>
                <w:szCs w:val="20"/>
              </w:rPr>
              <w:t>,</w:t>
            </w:r>
            <w:r w:rsidRPr="00B24240">
              <w:rPr>
                <w:rFonts w:eastAsia="Times New Roman" w:cstheme="minorHAnsi"/>
                <w:color w:val="000000"/>
                <w:sz w:val="20"/>
                <w:szCs w:val="20"/>
              </w:rPr>
              <w:t>33</w:t>
            </w:r>
            <w:r w:rsidR="00CE52D2">
              <w:rPr>
                <w:rFonts w:eastAsia="Times New Roman" w:cstheme="minorHAnsi"/>
                <w:color w:val="000000"/>
                <w:sz w:val="20"/>
                <w:szCs w:val="20"/>
              </w:rPr>
              <w:t>,</w:t>
            </w:r>
            <w:r w:rsidRPr="00B24240">
              <w:rPr>
                <w:rFonts w:eastAsia="Times New Roman" w:cstheme="minorHAnsi"/>
                <w:color w:val="000000"/>
                <w:sz w:val="20"/>
                <w:szCs w:val="20"/>
              </w:rPr>
              <w:t>749</w:t>
            </w:r>
          </w:p>
        </w:tc>
        <w:tc>
          <w:tcPr>
            <w:tcW w:w="1027" w:type="dxa"/>
            <w:shd w:val="clear" w:color="auto" w:fill="auto"/>
            <w:vAlign w:val="center"/>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1</w:t>
            </w:r>
            <w:r w:rsidR="00CE52D2">
              <w:rPr>
                <w:rFonts w:eastAsia="Times New Roman" w:cstheme="minorHAnsi"/>
                <w:color w:val="000000"/>
                <w:sz w:val="20"/>
                <w:szCs w:val="20"/>
              </w:rPr>
              <w:t>,</w:t>
            </w:r>
            <w:r w:rsidRPr="00B24240">
              <w:rPr>
                <w:rFonts w:eastAsia="Times New Roman" w:cstheme="minorHAnsi"/>
                <w:color w:val="000000"/>
                <w:sz w:val="20"/>
                <w:szCs w:val="20"/>
              </w:rPr>
              <w:t>36</w:t>
            </w:r>
            <w:r w:rsidR="00CE52D2">
              <w:rPr>
                <w:rFonts w:eastAsia="Times New Roman" w:cstheme="minorHAnsi"/>
                <w:color w:val="000000"/>
                <w:sz w:val="20"/>
                <w:szCs w:val="20"/>
              </w:rPr>
              <w:t>,</w:t>
            </w:r>
            <w:r w:rsidRPr="00B24240">
              <w:rPr>
                <w:rFonts w:eastAsia="Times New Roman" w:cstheme="minorHAnsi"/>
                <w:color w:val="000000"/>
                <w:sz w:val="20"/>
                <w:szCs w:val="20"/>
              </w:rPr>
              <w:t>75</w:t>
            </w:r>
            <w:r w:rsidR="00CE52D2">
              <w:rPr>
                <w:rFonts w:eastAsia="Times New Roman" w:cstheme="minorHAnsi"/>
                <w:color w:val="000000"/>
                <w:sz w:val="20"/>
                <w:szCs w:val="20"/>
              </w:rPr>
              <w:t>,</w:t>
            </w:r>
            <w:r w:rsidRPr="00B24240">
              <w:rPr>
                <w:rFonts w:eastAsia="Times New Roman" w:cstheme="minorHAnsi"/>
                <w:color w:val="000000"/>
                <w:sz w:val="20"/>
                <w:szCs w:val="20"/>
              </w:rPr>
              <w:t>331</w:t>
            </w:r>
          </w:p>
        </w:tc>
        <w:tc>
          <w:tcPr>
            <w:tcW w:w="1027" w:type="dxa"/>
            <w:shd w:val="clear" w:color="auto" w:fill="auto"/>
            <w:vAlign w:val="center"/>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15075429</w:t>
            </w:r>
          </w:p>
        </w:tc>
        <w:tc>
          <w:tcPr>
            <w:tcW w:w="1027" w:type="dxa"/>
            <w:shd w:val="clear" w:color="auto" w:fill="auto"/>
            <w:vAlign w:val="center"/>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15075429</w:t>
            </w:r>
          </w:p>
        </w:tc>
        <w:tc>
          <w:tcPr>
            <w:tcW w:w="1027" w:type="dxa"/>
            <w:shd w:val="clear" w:color="auto" w:fill="auto"/>
            <w:vAlign w:val="center"/>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1</w:t>
            </w:r>
            <w:r w:rsidR="002D37A4">
              <w:rPr>
                <w:rFonts w:eastAsia="Times New Roman" w:cstheme="minorHAnsi"/>
                <w:color w:val="000000"/>
                <w:sz w:val="20"/>
                <w:szCs w:val="20"/>
              </w:rPr>
              <w:t>,</w:t>
            </w:r>
            <w:r w:rsidRPr="00B24240">
              <w:rPr>
                <w:rFonts w:eastAsia="Times New Roman" w:cstheme="minorHAnsi"/>
                <w:color w:val="000000"/>
                <w:sz w:val="20"/>
                <w:szCs w:val="20"/>
              </w:rPr>
              <w:t>68</w:t>
            </w:r>
            <w:r w:rsidR="002D37A4">
              <w:rPr>
                <w:rFonts w:eastAsia="Times New Roman" w:cstheme="minorHAnsi"/>
                <w:color w:val="000000"/>
                <w:sz w:val="20"/>
                <w:szCs w:val="20"/>
              </w:rPr>
              <w:t>,</w:t>
            </w:r>
            <w:r w:rsidRPr="00B24240">
              <w:rPr>
                <w:rFonts w:eastAsia="Times New Roman" w:cstheme="minorHAnsi"/>
                <w:color w:val="000000"/>
                <w:sz w:val="20"/>
                <w:szCs w:val="20"/>
              </w:rPr>
              <w:t>47</w:t>
            </w:r>
            <w:r w:rsidR="002D37A4">
              <w:rPr>
                <w:rFonts w:eastAsia="Times New Roman" w:cstheme="minorHAnsi"/>
                <w:color w:val="000000"/>
                <w:sz w:val="20"/>
                <w:szCs w:val="20"/>
              </w:rPr>
              <w:t>,</w:t>
            </w:r>
            <w:r w:rsidRPr="00B24240">
              <w:rPr>
                <w:rFonts w:eastAsia="Times New Roman" w:cstheme="minorHAnsi"/>
                <w:color w:val="000000"/>
                <w:sz w:val="20"/>
                <w:szCs w:val="20"/>
              </w:rPr>
              <w:t>455</w:t>
            </w:r>
          </w:p>
        </w:tc>
      </w:tr>
      <w:tr w:rsidR="00C945FC" w:rsidRPr="00B24240" w:rsidTr="00C945FC">
        <w:trPr>
          <w:trHeight w:val="468"/>
          <w:jc w:val="center"/>
        </w:trPr>
        <w:tc>
          <w:tcPr>
            <w:tcW w:w="582" w:type="dxa"/>
            <w:shd w:val="clear" w:color="auto" w:fill="auto"/>
            <w:noWrap/>
            <w:vAlign w:val="bottom"/>
            <w:hideMark/>
          </w:tcPr>
          <w:p w:rsidR="00C945FC" w:rsidRPr="00B24240" w:rsidRDefault="00C945FC" w:rsidP="00C945FC">
            <w:pPr>
              <w:spacing w:after="0" w:line="240" w:lineRule="auto"/>
              <w:rPr>
                <w:rFonts w:eastAsia="Times New Roman" w:cstheme="minorHAnsi"/>
                <w:color w:val="000000"/>
                <w:sz w:val="20"/>
                <w:szCs w:val="20"/>
              </w:rPr>
            </w:pP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Total expenditure in select ministries (1 to 17) as share of GDP (in %)</w:t>
            </w:r>
          </w:p>
        </w:tc>
        <w:tc>
          <w:tcPr>
            <w:tcW w:w="1255"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3.2</w:t>
            </w:r>
          </w:p>
        </w:tc>
        <w:tc>
          <w:tcPr>
            <w:tcW w:w="1027"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3.1</w:t>
            </w:r>
          </w:p>
        </w:tc>
        <w:tc>
          <w:tcPr>
            <w:tcW w:w="1027"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3.1</w:t>
            </w:r>
          </w:p>
        </w:tc>
        <w:tc>
          <w:tcPr>
            <w:tcW w:w="1027"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3.0</w:t>
            </w:r>
          </w:p>
        </w:tc>
        <w:tc>
          <w:tcPr>
            <w:tcW w:w="1027"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3.2</w:t>
            </w:r>
          </w:p>
        </w:tc>
        <w:tc>
          <w:tcPr>
            <w:tcW w:w="1027"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3.3</w:t>
            </w:r>
          </w:p>
        </w:tc>
        <w:tc>
          <w:tcPr>
            <w:tcW w:w="1027"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3.3</w:t>
            </w:r>
          </w:p>
        </w:tc>
      </w:tr>
      <w:tr w:rsidR="00C945FC" w:rsidRPr="00B24240" w:rsidTr="00C945FC">
        <w:trPr>
          <w:trHeight w:val="403"/>
          <w:jc w:val="center"/>
        </w:trPr>
        <w:tc>
          <w:tcPr>
            <w:tcW w:w="582" w:type="dxa"/>
            <w:shd w:val="clear" w:color="auto" w:fill="auto"/>
            <w:noWrap/>
            <w:vAlign w:val="bottom"/>
            <w:hideMark/>
          </w:tcPr>
          <w:p w:rsidR="00C945FC" w:rsidRPr="00B24240" w:rsidRDefault="00C945FC" w:rsidP="00C945FC">
            <w:pPr>
              <w:spacing w:after="0" w:line="240" w:lineRule="auto"/>
              <w:rPr>
                <w:rFonts w:eastAsia="Times New Roman" w:cstheme="minorHAnsi"/>
                <w:color w:val="000000"/>
                <w:sz w:val="20"/>
                <w:szCs w:val="20"/>
              </w:rPr>
            </w:pPr>
          </w:p>
        </w:tc>
        <w:tc>
          <w:tcPr>
            <w:tcW w:w="2702" w:type="dxa"/>
            <w:shd w:val="clear" w:color="auto" w:fill="auto"/>
            <w:vAlign w:val="bottom"/>
            <w:hideMark/>
          </w:tcPr>
          <w:p w:rsidR="00C945FC" w:rsidRPr="00B24240" w:rsidRDefault="00C945FC" w:rsidP="00C945FC">
            <w:pPr>
              <w:spacing w:after="0" w:line="240" w:lineRule="auto"/>
              <w:rPr>
                <w:rFonts w:eastAsia="Times New Roman" w:cstheme="minorHAnsi"/>
                <w:color w:val="000000"/>
                <w:sz w:val="20"/>
                <w:szCs w:val="20"/>
              </w:rPr>
            </w:pPr>
            <w:r w:rsidRPr="00B24240">
              <w:rPr>
                <w:rFonts w:eastAsia="Times New Roman" w:cstheme="minorHAnsi"/>
                <w:color w:val="000000"/>
                <w:sz w:val="20"/>
                <w:szCs w:val="20"/>
              </w:rPr>
              <w:t>Total expenditure in select ministries (1 to 19) as share of GDP (in %)</w:t>
            </w:r>
          </w:p>
        </w:tc>
        <w:tc>
          <w:tcPr>
            <w:tcW w:w="1255"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5.8</w:t>
            </w:r>
          </w:p>
        </w:tc>
        <w:tc>
          <w:tcPr>
            <w:tcW w:w="1027"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5.6</w:t>
            </w:r>
          </w:p>
        </w:tc>
        <w:tc>
          <w:tcPr>
            <w:tcW w:w="1027"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5.7</w:t>
            </w:r>
          </w:p>
        </w:tc>
        <w:tc>
          <w:tcPr>
            <w:tcW w:w="1027"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5.5</w:t>
            </w:r>
          </w:p>
        </w:tc>
        <w:tc>
          <w:tcPr>
            <w:tcW w:w="1027"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5.8</w:t>
            </w:r>
          </w:p>
        </w:tc>
        <w:tc>
          <w:tcPr>
            <w:tcW w:w="1027"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6.0</w:t>
            </w:r>
          </w:p>
        </w:tc>
        <w:tc>
          <w:tcPr>
            <w:tcW w:w="1027" w:type="dxa"/>
            <w:shd w:val="clear" w:color="auto" w:fill="auto"/>
            <w:noWrap/>
            <w:vAlign w:val="bottom"/>
            <w:hideMark/>
          </w:tcPr>
          <w:p w:rsidR="00C945FC" w:rsidRPr="00B24240" w:rsidRDefault="00C945FC" w:rsidP="00C945FC">
            <w:pPr>
              <w:spacing w:after="0" w:line="240" w:lineRule="auto"/>
              <w:jc w:val="right"/>
              <w:rPr>
                <w:rFonts w:eastAsia="Times New Roman" w:cstheme="minorHAnsi"/>
                <w:color w:val="000000"/>
                <w:sz w:val="20"/>
                <w:szCs w:val="20"/>
              </w:rPr>
            </w:pPr>
            <w:r w:rsidRPr="00B24240">
              <w:rPr>
                <w:rFonts w:eastAsia="Times New Roman" w:cstheme="minorHAnsi"/>
                <w:color w:val="000000"/>
                <w:sz w:val="20"/>
                <w:szCs w:val="20"/>
              </w:rPr>
              <w:t>5.8</w:t>
            </w:r>
          </w:p>
        </w:tc>
      </w:tr>
    </w:tbl>
    <w:p w:rsidR="00C945FC" w:rsidRDefault="00C945FC" w:rsidP="00C945FC">
      <w:pPr>
        <w:spacing w:after="0" w:line="216" w:lineRule="exact"/>
        <w:ind w:left="554" w:right="-20"/>
        <w:rPr>
          <w:rFonts w:ascii="Calibri" w:eastAsia="Calibri" w:hAnsi="Calibri" w:cs="Calibri"/>
          <w:position w:val="1"/>
          <w:sz w:val="18"/>
          <w:szCs w:val="18"/>
        </w:rPr>
      </w:pPr>
      <w:r w:rsidRPr="008E6FBD">
        <w:rPr>
          <w:rFonts w:ascii="Calibri" w:eastAsia="Calibri" w:hAnsi="Calibri" w:cs="Calibri"/>
          <w:i/>
          <w:position w:val="1"/>
          <w:sz w:val="18"/>
          <w:szCs w:val="18"/>
        </w:rPr>
        <w:t>Note</w:t>
      </w:r>
      <w:r>
        <w:rPr>
          <w:rFonts w:ascii="Calibri" w:eastAsia="Calibri" w:hAnsi="Calibri" w:cs="Calibri"/>
          <w:position w:val="1"/>
          <w:sz w:val="18"/>
          <w:szCs w:val="18"/>
        </w:rPr>
        <w:t xml:space="preserve">: ** Includes </w:t>
      </w:r>
      <w:r>
        <w:rPr>
          <w:rFonts w:ascii="Calibri" w:eastAsia="Calibri" w:hAnsi="Calibri" w:cs="Calibri"/>
          <w:spacing w:val="-3"/>
          <w:position w:val="1"/>
          <w:sz w:val="18"/>
          <w:szCs w:val="18"/>
        </w:rPr>
        <w:t>e</w:t>
      </w:r>
      <w:r>
        <w:rPr>
          <w:rFonts w:ascii="Calibri" w:eastAsia="Calibri" w:hAnsi="Calibri" w:cs="Calibri"/>
          <w:position w:val="1"/>
          <w:sz w:val="18"/>
          <w:szCs w:val="18"/>
        </w:rPr>
        <w:t>xpenditu</w:t>
      </w:r>
      <w:r>
        <w:rPr>
          <w:rFonts w:ascii="Calibri" w:eastAsia="Calibri" w:hAnsi="Calibri" w:cs="Calibri"/>
          <w:spacing w:val="-2"/>
          <w:position w:val="1"/>
          <w:sz w:val="18"/>
          <w:szCs w:val="18"/>
        </w:rPr>
        <w:t>r</w:t>
      </w:r>
      <w:r>
        <w:rPr>
          <w:rFonts w:ascii="Calibri" w:eastAsia="Calibri" w:hAnsi="Calibri" w:cs="Calibri"/>
          <w:position w:val="1"/>
          <w:sz w:val="18"/>
          <w:szCs w:val="18"/>
        </w:rPr>
        <w:t xml:space="preserve">e on </w:t>
      </w:r>
      <w:proofErr w:type="spellStart"/>
      <w:r>
        <w:rPr>
          <w:rFonts w:ascii="Calibri" w:eastAsia="Calibri" w:hAnsi="Calibri" w:cs="Calibri"/>
          <w:position w:val="1"/>
          <w:sz w:val="18"/>
          <w:szCs w:val="18"/>
        </w:rPr>
        <w:t>d</w:t>
      </w:r>
      <w:r>
        <w:rPr>
          <w:rFonts w:ascii="Calibri" w:eastAsia="Calibri" w:hAnsi="Calibri" w:cs="Calibri"/>
          <w:spacing w:val="-2"/>
          <w:position w:val="1"/>
          <w:sz w:val="18"/>
          <w:szCs w:val="18"/>
        </w:rPr>
        <w:t>e</w:t>
      </w:r>
      <w:r>
        <w:rPr>
          <w:rFonts w:ascii="Calibri" w:eastAsia="Calibri" w:hAnsi="Calibri" w:cs="Calibri"/>
          <w:spacing w:val="-4"/>
          <w:position w:val="1"/>
          <w:sz w:val="18"/>
          <w:szCs w:val="18"/>
        </w:rPr>
        <w:t>f</w:t>
      </w:r>
      <w:r>
        <w:rPr>
          <w:rFonts w:ascii="Calibri" w:eastAsia="Calibri" w:hAnsi="Calibri" w:cs="Calibri"/>
          <w:position w:val="1"/>
          <w:sz w:val="18"/>
          <w:szCs w:val="18"/>
        </w:rPr>
        <w:t>ence</w:t>
      </w:r>
      <w:proofErr w:type="spellEnd"/>
      <w:r>
        <w:rPr>
          <w:rFonts w:ascii="Calibri" w:eastAsia="Calibri" w:hAnsi="Calibri" w:cs="Calibri"/>
          <w:position w:val="1"/>
          <w:sz w:val="18"/>
          <w:szCs w:val="18"/>
        </w:rPr>
        <w:t xml:space="preserve"> pension and </w:t>
      </w:r>
      <w:r>
        <w:rPr>
          <w:rFonts w:ascii="Calibri" w:eastAsia="Calibri" w:hAnsi="Calibri" w:cs="Calibri"/>
          <w:spacing w:val="-1"/>
          <w:position w:val="1"/>
          <w:sz w:val="18"/>
          <w:szCs w:val="18"/>
        </w:rPr>
        <w:t>c</w:t>
      </w:r>
      <w:r>
        <w:rPr>
          <w:rFonts w:ascii="Calibri" w:eastAsia="Calibri" w:hAnsi="Calibri" w:cs="Calibri"/>
          <w:position w:val="1"/>
          <w:sz w:val="18"/>
          <w:szCs w:val="18"/>
        </w:rPr>
        <w:t>api</w:t>
      </w:r>
      <w:r>
        <w:rPr>
          <w:rFonts w:ascii="Calibri" w:eastAsia="Calibri" w:hAnsi="Calibri" w:cs="Calibri"/>
          <w:spacing w:val="-2"/>
          <w:position w:val="1"/>
          <w:sz w:val="18"/>
          <w:szCs w:val="18"/>
        </w:rPr>
        <w:t>t</w:t>
      </w:r>
      <w:r>
        <w:rPr>
          <w:rFonts w:ascii="Calibri" w:eastAsia="Calibri" w:hAnsi="Calibri" w:cs="Calibri"/>
          <w:position w:val="1"/>
          <w:sz w:val="18"/>
          <w:szCs w:val="18"/>
        </w:rPr>
        <w:t>al outl</w:t>
      </w:r>
      <w:r>
        <w:rPr>
          <w:rFonts w:ascii="Calibri" w:eastAsia="Calibri" w:hAnsi="Calibri" w:cs="Calibri"/>
          <w:spacing w:val="-3"/>
          <w:position w:val="1"/>
          <w:sz w:val="18"/>
          <w:szCs w:val="18"/>
        </w:rPr>
        <w:t>a</w:t>
      </w:r>
      <w:r>
        <w:rPr>
          <w:rFonts w:ascii="Calibri" w:eastAsia="Calibri" w:hAnsi="Calibri" w:cs="Calibri"/>
          <w:position w:val="1"/>
          <w:sz w:val="18"/>
          <w:szCs w:val="18"/>
        </w:rPr>
        <w:t xml:space="preserve">y on </w:t>
      </w:r>
      <w:proofErr w:type="spellStart"/>
      <w:r>
        <w:rPr>
          <w:rFonts w:ascii="Calibri" w:eastAsia="Calibri" w:hAnsi="Calibri" w:cs="Calibri"/>
          <w:position w:val="1"/>
          <w:sz w:val="18"/>
          <w:szCs w:val="18"/>
        </w:rPr>
        <w:t>d</w:t>
      </w:r>
      <w:r>
        <w:rPr>
          <w:rFonts w:ascii="Calibri" w:eastAsia="Calibri" w:hAnsi="Calibri" w:cs="Calibri"/>
          <w:spacing w:val="-1"/>
          <w:position w:val="1"/>
          <w:sz w:val="18"/>
          <w:szCs w:val="18"/>
        </w:rPr>
        <w:t>e</w:t>
      </w:r>
      <w:r>
        <w:rPr>
          <w:rFonts w:ascii="Calibri" w:eastAsia="Calibri" w:hAnsi="Calibri" w:cs="Calibri"/>
          <w:spacing w:val="-4"/>
          <w:position w:val="1"/>
          <w:sz w:val="18"/>
          <w:szCs w:val="18"/>
        </w:rPr>
        <w:t>f</w:t>
      </w:r>
      <w:r>
        <w:rPr>
          <w:rFonts w:ascii="Calibri" w:eastAsia="Calibri" w:hAnsi="Calibri" w:cs="Calibri"/>
          <w:position w:val="1"/>
          <w:sz w:val="18"/>
          <w:szCs w:val="18"/>
        </w:rPr>
        <w:t>ence</w:t>
      </w:r>
      <w:proofErr w:type="spellEnd"/>
      <w:r>
        <w:rPr>
          <w:rFonts w:ascii="Calibri" w:eastAsia="Calibri" w:hAnsi="Calibri" w:cs="Calibri"/>
          <w:position w:val="1"/>
          <w:sz w:val="18"/>
          <w:szCs w:val="18"/>
        </w:rPr>
        <w:t xml:space="preserve"> se</w:t>
      </w:r>
      <w:r>
        <w:rPr>
          <w:rFonts w:ascii="Calibri" w:eastAsia="Calibri" w:hAnsi="Calibri" w:cs="Calibri"/>
          <w:spacing w:val="1"/>
          <w:position w:val="1"/>
          <w:sz w:val="18"/>
          <w:szCs w:val="18"/>
        </w:rPr>
        <w:t>r</w:t>
      </w:r>
      <w:r>
        <w:rPr>
          <w:rFonts w:ascii="Calibri" w:eastAsia="Calibri" w:hAnsi="Calibri" w:cs="Calibri"/>
          <w:position w:val="1"/>
          <w:sz w:val="18"/>
          <w:szCs w:val="18"/>
        </w:rPr>
        <w:t>vices</w:t>
      </w:r>
    </w:p>
    <w:p w:rsidR="00C945FC" w:rsidRDefault="00C945FC" w:rsidP="00C945FC">
      <w:pPr>
        <w:spacing w:after="0" w:line="216" w:lineRule="exact"/>
        <w:ind w:left="554" w:right="-20"/>
        <w:rPr>
          <w:rFonts w:ascii="Calibri" w:eastAsia="Calibri" w:hAnsi="Calibri" w:cs="Calibri"/>
          <w:sz w:val="18"/>
          <w:szCs w:val="18"/>
        </w:rPr>
      </w:pPr>
      <w:r>
        <w:rPr>
          <w:rFonts w:ascii="Calibri" w:eastAsia="Calibri" w:hAnsi="Calibri" w:cs="Calibri"/>
          <w:position w:val="1"/>
          <w:sz w:val="18"/>
          <w:szCs w:val="18"/>
        </w:rPr>
        <w:t>Sou</w:t>
      </w:r>
      <w:r>
        <w:rPr>
          <w:rFonts w:ascii="Calibri" w:eastAsia="Calibri" w:hAnsi="Calibri" w:cs="Calibri"/>
          <w:spacing w:val="-2"/>
          <w:position w:val="1"/>
          <w:sz w:val="18"/>
          <w:szCs w:val="18"/>
        </w:rPr>
        <w:t>r</w:t>
      </w:r>
      <w:r>
        <w:rPr>
          <w:rFonts w:ascii="Calibri" w:eastAsia="Calibri" w:hAnsi="Calibri" w:cs="Calibri"/>
          <w:position w:val="1"/>
          <w:sz w:val="18"/>
          <w:szCs w:val="18"/>
        </w:rPr>
        <w:t xml:space="preserve">ce: Compiled </w:t>
      </w:r>
      <w:r>
        <w:rPr>
          <w:rFonts w:ascii="Calibri" w:eastAsia="Calibri" w:hAnsi="Calibri" w:cs="Calibri"/>
          <w:spacing w:val="-1"/>
          <w:position w:val="1"/>
          <w:sz w:val="18"/>
          <w:szCs w:val="18"/>
        </w:rPr>
        <w:t>b</w:t>
      </w:r>
      <w:r>
        <w:rPr>
          <w:rFonts w:ascii="Calibri" w:eastAsia="Calibri" w:hAnsi="Calibri" w:cs="Calibri"/>
          <w:position w:val="1"/>
          <w:sz w:val="18"/>
          <w:szCs w:val="18"/>
        </w:rPr>
        <w:t>y CBGA f</w:t>
      </w:r>
      <w:r>
        <w:rPr>
          <w:rFonts w:ascii="Calibri" w:eastAsia="Calibri" w:hAnsi="Calibri" w:cs="Calibri"/>
          <w:spacing w:val="-3"/>
          <w:position w:val="1"/>
          <w:sz w:val="18"/>
          <w:szCs w:val="18"/>
        </w:rPr>
        <w:t>r</w:t>
      </w:r>
      <w:r>
        <w:rPr>
          <w:rFonts w:ascii="Calibri" w:eastAsia="Calibri" w:hAnsi="Calibri" w:cs="Calibri"/>
          <w:position w:val="1"/>
          <w:sz w:val="18"/>
          <w:szCs w:val="18"/>
        </w:rPr>
        <w:t>om Expenditu</w:t>
      </w:r>
      <w:r>
        <w:rPr>
          <w:rFonts w:ascii="Calibri" w:eastAsia="Calibri" w:hAnsi="Calibri" w:cs="Calibri"/>
          <w:spacing w:val="-2"/>
          <w:position w:val="1"/>
          <w:sz w:val="18"/>
          <w:szCs w:val="18"/>
        </w:rPr>
        <w:t>r</w:t>
      </w:r>
      <w:r>
        <w:rPr>
          <w:rFonts w:ascii="Calibri" w:eastAsia="Calibri" w:hAnsi="Calibri" w:cs="Calibri"/>
          <w:position w:val="1"/>
          <w:sz w:val="18"/>
          <w:szCs w:val="18"/>
        </w:rPr>
        <w:t>e Bud</w:t>
      </w:r>
      <w:r>
        <w:rPr>
          <w:rFonts w:ascii="Calibri" w:eastAsia="Calibri" w:hAnsi="Calibri" w:cs="Calibri"/>
          <w:spacing w:val="-1"/>
          <w:position w:val="1"/>
          <w:sz w:val="18"/>
          <w:szCs w:val="18"/>
        </w:rPr>
        <w:t>ge</w:t>
      </w:r>
      <w:r>
        <w:rPr>
          <w:rFonts w:ascii="Calibri" w:eastAsia="Calibri" w:hAnsi="Calibri" w:cs="Calibri"/>
          <w:position w:val="1"/>
          <w:sz w:val="18"/>
          <w:szCs w:val="18"/>
        </w:rPr>
        <w:t xml:space="preserve">t </w:t>
      </w:r>
      <w:r>
        <w:rPr>
          <w:rFonts w:ascii="Calibri" w:eastAsia="Calibri" w:hAnsi="Calibri" w:cs="Calibri"/>
          <w:spacing w:val="-7"/>
          <w:position w:val="1"/>
          <w:sz w:val="18"/>
          <w:szCs w:val="18"/>
        </w:rPr>
        <w:t>V</w:t>
      </w:r>
      <w:r>
        <w:rPr>
          <w:rFonts w:ascii="Calibri" w:eastAsia="Calibri" w:hAnsi="Calibri" w:cs="Calibri"/>
          <w:position w:val="1"/>
          <w:sz w:val="18"/>
          <w:szCs w:val="18"/>
        </w:rPr>
        <w:t xml:space="preserve">ol. II, </w:t>
      </w:r>
      <w:r>
        <w:rPr>
          <w:rFonts w:ascii="Calibri" w:eastAsia="Calibri" w:hAnsi="Calibri" w:cs="Calibri"/>
          <w:spacing w:val="-10"/>
          <w:position w:val="1"/>
          <w:sz w:val="18"/>
          <w:szCs w:val="18"/>
        </w:rPr>
        <w:t>V</w:t>
      </w:r>
      <w:r>
        <w:rPr>
          <w:rFonts w:ascii="Calibri" w:eastAsia="Calibri" w:hAnsi="Calibri" w:cs="Calibri"/>
          <w:position w:val="1"/>
          <w:sz w:val="18"/>
          <w:szCs w:val="18"/>
        </w:rPr>
        <w:t xml:space="preserve">arious </w:t>
      </w:r>
      <w:r>
        <w:rPr>
          <w:rFonts w:ascii="Calibri" w:eastAsia="Calibri" w:hAnsi="Calibri" w:cs="Calibri"/>
          <w:spacing w:val="-13"/>
          <w:position w:val="1"/>
          <w:sz w:val="18"/>
          <w:szCs w:val="18"/>
        </w:rPr>
        <w:t>Y</w:t>
      </w:r>
      <w:r>
        <w:rPr>
          <w:rFonts w:ascii="Calibri" w:eastAsia="Calibri" w:hAnsi="Calibri" w:cs="Calibri"/>
          <w:position w:val="1"/>
          <w:sz w:val="18"/>
          <w:szCs w:val="18"/>
        </w:rPr>
        <w:t>ea</w:t>
      </w:r>
      <w:r>
        <w:rPr>
          <w:rFonts w:ascii="Calibri" w:eastAsia="Calibri" w:hAnsi="Calibri" w:cs="Calibri"/>
          <w:spacing w:val="-3"/>
          <w:position w:val="1"/>
          <w:sz w:val="18"/>
          <w:szCs w:val="18"/>
        </w:rPr>
        <w:t>r</w:t>
      </w:r>
      <w:r>
        <w:rPr>
          <w:rFonts w:ascii="Calibri" w:eastAsia="Calibri" w:hAnsi="Calibri" w:cs="Calibri"/>
          <w:position w:val="1"/>
          <w:sz w:val="18"/>
          <w:szCs w:val="18"/>
        </w:rPr>
        <w:t xml:space="preserve">s, </w:t>
      </w:r>
      <w:proofErr w:type="spellStart"/>
      <w:proofErr w:type="gramStart"/>
      <w:r>
        <w:rPr>
          <w:rFonts w:ascii="Calibri" w:eastAsia="Calibri" w:hAnsi="Calibri" w:cs="Calibri"/>
          <w:position w:val="1"/>
          <w:sz w:val="18"/>
          <w:szCs w:val="18"/>
        </w:rPr>
        <w:t>GoI</w:t>
      </w:r>
      <w:proofErr w:type="spellEnd"/>
      <w:proofErr w:type="gramEnd"/>
      <w:r>
        <w:rPr>
          <w:rFonts w:ascii="Calibri" w:eastAsia="Calibri" w:hAnsi="Calibri" w:cs="Calibri"/>
          <w:position w:val="1"/>
          <w:sz w:val="18"/>
          <w:szCs w:val="18"/>
        </w:rPr>
        <w:t>.</w:t>
      </w:r>
    </w:p>
    <w:p w:rsidR="00C945FC" w:rsidRDefault="00C945FC" w:rsidP="00C945FC">
      <w:pPr>
        <w:jc w:val="center"/>
      </w:pPr>
    </w:p>
    <w:p w:rsidR="00C945FC" w:rsidRDefault="00C945FC" w:rsidP="00C945FC">
      <w:pPr>
        <w:jc w:val="both"/>
      </w:pPr>
      <w:r>
        <w:t>Table 1.2 attempts to capture the major variations in expenditure across important sectors. While apparently some of the social sectors such as education and health show major increases in their allocations in 2017-18 (BE</w:t>
      </w:r>
      <w:proofErr w:type="gramStart"/>
      <w:r>
        <w:t>),</w:t>
      </w:r>
      <w:proofErr w:type="gramEnd"/>
      <w:r>
        <w:t xml:space="preserve"> compared to 2016-17 (RE), the </w:t>
      </w:r>
      <w:proofErr w:type="spellStart"/>
      <w:r>
        <w:t>sectoral</w:t>
      </w:r>
      <w:proofErr w:type="spellEnd"/>
      <w:r>
        <w:t xml:space="preserve"> allocations do not show any improvement</w:t>
      </w:r>
      <w:r w:rsidRPr="00526021">
        <w:t xml:space="preserve"> </w:t>
      </w:r>
      <w:r>
        <w:t xml:space="preserve">when seen as share of GDP. These trends follow the overall declining trend in the expenditure-GDP ratio, thus implying that nominal increases in allocations do not translate into gains for the sectors in real terms. </w:t>
      </w:r>
    </w:p>
    <w:p w:rsidR="00C945FC" w:rsidRPr="00E3399D" w:rsidRDefault="00C945FC" w:rsidP="00C945FC">
      <w:pPr>
        <w:spacing w:after="0" w:line="240" w:lineRule="auto"/>
        <w:ind w:left="1126" w:right="-20"/>
        <w:rPr>
          <w:rFonts w:ascii="Calibri" w:eastAsia="Calibri" w:hAnsi="Calibri" w:cs="Calibri"/>
          <w:b/>
        </w:rPr>
      </w:pPr>
      <w:r w:rsidRPr="00E3399D">
        <w:rPr>
          <w:b/>
        </w:rPr>
        <w:t xml:space="preserve">Table 1.2: </w:t>
      </w:r>
      <w:r w:rsidRPr="00E3399D">
        <w:rPr>
          <w:rFonts w:ascii="Calibri" w:eastAsia="Calibri" w:hAnsi="Calibri" w:cs="Calibri"/>
          <w:b/>
          <w:bCs/>
        </w:rPr>
        <w:t>Major I</w:t>
      </w:r>
      <w:r w:rsidRPr="00E3399D">
        <w:rPr>
          <w:rFonts w:ascii="Calibri" w:eastAsia="Calibri" w:hAnsi="Calibri" w:cs="Calibri"/>
          <w:b/>
          <w:bCs/>
          <w:spacing w:val="-3"/>
        </w:rPr>
        <w:t>t</w:t>
      </w:r>
      <w:r w:rsidRPr="00E3399D">
        <w:rPr>
          <w:rFonts w:ascii="Calibri" w:eastAsia="Calibri" w:hAnsi="Calibri" w:cs="Calibri"/>
          <w:b/>
          <w:bCs/>
        </w:rPr>
        <w:t xml:space="preserve">ems of </w:t>
      </w:r>
      <w:r w:rsidRPr="00E3399D">
        <w:rPr>
          <w:rFonts w:ascii="Calibri" w:eastAsia="Calibri" w:hAnsi="Calibri" w:cs="Calibri"/>
          <w:b/>
          <w:bCs/>
          <w:spacing w:val="-12"/>
        </w:rPr>
        <w:t>V</w:t>
      </w:r>
      <w:r w:rsidRPr="00E3399D">
        <w:rPr>
          <w:rFonts w:ascii="Calibri" w:eastAsia="Calibri" w:hAnsi="Calibri" w:cs="Calibri"/>
          <w:b/>
          <w:bCs/>
        </w:rPr>
        <w:t>ari</w:t>
      </w:r>
      <w:r w:rsidRPr="00E3399D">
        <w:rPr>
          <w:rFonts w:ascii="Calibri" w:eastAsia="Calibri" w:hAnsi="Calibri" w:cs="Calibri"/>
          <w:b/>
          <w:bCs/>
          <w:spacing w:val="-2"/>
        </w:rPr>
        <w:t>a</w:t>
      </w:r>
      <w:r w:rsidRPr="00E3399D">
        <w:rPr>
          <w:rFonts w:ascii="Calibri" w:eastAsia="Calibri" w:hAnsi="Calibri" w:cs="Calibri"/>
          <w:b/>
          <w:bCs/>
        </w:rPr>
        <w:t>tions</w:t>
      </w:r>
      <w:r w:rsidRPr="00E3399D">
        <w:rPr>
          <w:rFonts w:ascii="Calibri" w:eastAsia="Calibri" w:hAnsi="Calibri" w:cs="Calibri"/>
          <w:b/>
          <w:bCs/>
          <w:spacing w:val="-5"/>
        </w:rPr>
        <w:t xml:space="preserve"> </w:t>
      </w:r>
      <w:r w:rsidRPr="00E3399D">
        <w:rPr>
          <w:rFonts w:ascii="Calibri" w:eastAsia="Calibri" w:hAnsi="Calibri" w:cs="Calibri"/>
          <w:b/>
          <w:bCs/>
        </w:rPr>
        <w:t>in 2016</w:t>
      </w:r>
      <w:r>
        <w:rPr>
          <w:rFonts w:ascii="Calibri" w:eastAsia="Calibri" w:hAnsi="Calibri" w:cs="Calibri"/>
          <w:b/>
          <w:bCs/>
        </w:rPr>
        <w:t>-17</w:t>
      </w:r>
      <w:r w:rsidRPr="00E3399D">
        <w:rPr>
          <w:rFonts w:ascii="Calibri" w:eastAsia="Calibri" w:hAnsi="Calibri" w:cs="Calibri"/>
          <w:b/>
          <w:bCs/>
        </w:rPr>
        <w:t xml:space="preserve"> RE and 2017</w:t>
      </w:r>
      <w:r>
        <w:rPr>
          <w:rFonts w:ascii="Calibri" w:eastAsia="Calibri" w:hAnsi="Calibri" w:cs="Calibri"/>
          <w:b/>
          <w:bCs/>
        </w:rPr>
        <w:t>-18</w:t>
      </w:r>
      <w:r w:rsidRPr="00E3399D">
        <w:rPr>
          <w:rFonts w:ascii="Calibri" w:eastAsia="Calibri" w:hAnsi="Calibri" w:cs="Calibri"/>
          <w:b/>
          <w:bCs/>
        </w:rPr>
        <w:t xml:space="preserve"> BE (</w:t>
      </w:r>
      <w:proofErr w:type="spellStart"/>
      <w:r w:rsidRPr="00E3399D">
        <w:rPr>
          <w:rFonts w:ascii="Calibri" w:eastAsia="Calibri" w:hAnsi="Calibri" w:cs="Calibri"/>
          <w:b/>
          <w:bCs/>
        </w:rPr>
        <w:t>Rs</w:t>
      </w:r>
      <w:proofErr w:type="spellEnd"/>
      <w:r w:rsidRPr="00E3399D">
        <w:rPr>
          <w:rFonts w:ascii="Calibri" w:eastAsia="Calibri" w:hAnsi="Calibri" w:cs="Calibri"/>
          <w:b/>
          <w:bCs/>
        </w:rPr>
        <w:t xml:space="preserve">. </w:t>
      </w:r>
      <w:proofErr w:type="spellStart"/>
      <w:r w:rsidRPr="00E3399D">
        <w:rPr>
          <w:rFonts w:ascii="Calibri" w:eastAsia="Calibri" w:hAnsi="Calibri" w:cs="Calibri"/>
          <w:b/>
          <w:bCs/>
        </w:rPr>
        <w:t>c</w:t>
      </w:r>
      <w:r w:rsidRPr="00E3399D">
        <w:rPr>
          <w:rFonts w:ascii="Calibri" w:eastAsia="Calibri" w:hAnsi="Calibri" w:cs="Calibri"/>
          <w:b/>
          <w:bCs/>
          <w:spacing w:val="-4"/>
        </w:rPr>
        <w:t>r</w:t>
      </w:r>
      <w:r w:rsidRPr="00E3399D">
        <w:rPr>
          <w:rFonts w:ascii="Calibri" w:eastAsia="Calibri" w:hAnsi="Calibri" w:cs="Calibri"/>
          <w:b/>
          <w:bCs/>
        </w:rPr>
        <w:t>o</w:t>
      </w:r>
      <w:r w:rsidRPr="00E3399D">
        <w:rPr>
          <w:rFonts w:ascii="Calibri" w:eastAsia="Calibri" w:hAnsi="Calibri" w:cs="Calibri"/>
          <w:b/>
          <w:bCs/>
          <w:spacing w:val="-2"/>
        </w:rPr>
        <w:t>r</w:t>
      </w:r>
      <w:r w:rsidRPr="00E3399D">
        <w:rPr>
          <w:rFonts w:ascii="Calibri" w:eastAsia="Calibri" w:hAnsi="Calibri" w:cs="Calibri"/>
          <w:b/>
          <w:bCs/>
        </w:rPr>
        <w:t>e</w:t>
      </w:r>
      <w:proofErr w:type="spellEnd"/>
      <w:r w:rsidRPr="00E3399D">
        <w:rPr>
          <w:rFonts w:ascii="Calibri" w:eastAsia="Calibri" w:hAnsi="Calibri" w:cs="Calibri"/>
          <w:b/>
          <w:bCs/>
        </w:rPr>
        <w:t>)</w:t>
      </w:r>
    </w:p>
    <w:p w:rsidR="00C945FC" w:rsidRDefault="00C945FC" w:rsidP="00C945FC">
      <w:pPr>
        <w:spacing w:before="1" w:after="0" w:line="110" w:lineRule="exact"/>
        <w:rPr>
          <w:sz w:val="11"/>
          <w:szCs w:val="11"/>
        </w:rPr>
      </w:pPr>
    </w:p>
    <w:tbl>
      <w:tblPr>
        <w:tblW w:w="919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920"/>
        <w:gridCol w:w="1109"/>
        <w:gridCol w:w="1109"/>
        <w:gridCol w:w="1129"/>
        <w:gridCol w:w="984"/>
        <w:gridCol w:w="994"/>
        <w:gridCol w:w="994"/>
      </w:tblGrid>
      <w:tr w:rsidR="00C945FC" w:rsidRPr="00E27C90" w:rsidTr="00C945FC">
        <w:trPr>
          <w:trHeight w:val="300"/>
        </w:trPr>
        <w:tc>
          <w:tcPr>
            <w:tcW w:w="960" w:type="dxa"/>
            <w:vMerge w:val="restart"/>
            <w:shd w:val="clear" w:color="auto" w:fill="auto"/>
            <w:noWrap/>
            <w:vAlign w:val="bottom"/>
            <w:hideMark/>
          </w:tcPr>
          <w:p w:rsidR="00C945FC" w:rsidRPr="00E27C90" w:rsidRDefault="00C945FC" w:rsidP="00C945FC">
            <w:pPr>
              <w:spacing w:after="0" w:line="240" w:lineRule="auto"/>
              <w:rPr>
                <w:rFonts w:ascii="Calibri" w:eastAsia="Times New Roman" w:hAnsi="Calibri" w:cs="Calibri"/>
                <w:b/>
                <w:color w:val="000000"/>
              </w:rPr>
            </w:pPr>
            <w:r w:rsidRPr="00E27C90">
              <w:rPr>
                <w:rFonts w:ascii="Calibri" w:eastAsia="Times New Roman" w:hAnsi="Calibri" w:cs="Calibri"/>
                <w:b/>
                <w:color w:val="000000"/>
              </w:rPr>
              <w:t> </w:t>
            </w:r>
            <w:proofErr w:type="spellStart"/>
            <w:r w:rsidRPr="00331272">
              <w:rPr>
                <w:rFonts w:ascii="Calibri" w:eastAsia="Times New Roman" w:hAnsi="Calibri" w:cs="Calibri"/>
                <w:b/>
                <w:color w:val="000000"/>
              </w:rPr>
              <w:t>S.No</w:t>
            </w:r>
            <w:proofErr w:type="spellEnd"/>
          </w:p>
        </w:tc>
        <w:tc>
          <w:tcPr>
            <w:tcW w:w="1920" w:type="dxa"/>
            <w:vMerge w:val="restart"/>
            <w:shd w:val="clear" w:color="auto" w:fill="auto"/>
            <w:noWrap/>
            <w:vAlign w:val="bottom"/>
            <w:hideMark/>
          </w:tcPr>
          <w:p w:rsidR="00C945FC" w:rsidRPr="00E27C90" w:rsidRDefault="00C945FC" w:rsidP="00C945FC">
            <w:pPr>
              <w:spacing w:after="0" w:line="240" w:lineRule="auto"/>
              <w:rPr>
                <w:rFonts w:ascii="Calibri" w:eastAsia="Times New Roman" w:hAnsi="Calibri" w:cs="Calibri"/>
                <w:b/>
                <w:color w:val="000000"/>
              </w:rPr>
            </w:pPr>
            <w:r w:rsidRPr="00E27C90">
              <w:rPr>
                <w:rFonts w:ascii="Calibri" w:eastAsia="Times New Roman" w:hAnsi="Calibri" w:cs="Calibri"/>
                <w:b/>
                <w:color w:val="000000"/>
              </w:rPr>
              <w:t> </w:t>
            </w:r>
            <w:r w:rsidRPr="00331272">
              <w:rPr>
                <w:rFonts w:ascii="Calibri" w:eastAsia="Times New Roman" w:hAnsi="Calibri" w:cs="Calibri"/>
                <w:b/>
                <w:color w:val="000000"/>
              </w:rPr>
              <w:t>Items</w:t>
            </w:r>
          </w:p>
        </w:tc>
        <w:tc>
          <w:tcPr>
            <w:tcW w:w="1109" w:type="dxa"/>
            <w:vMerge w:val="restart"/>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b/>
                <w:color w:val="000000"/>
              </w:rPr>
            </w:pPr>
            <w:r w:rsidRPr="00E27C90">
              <w:rPr>
                <w:rFonts w:ascii="Calibri" w:eastAsia="Times New Roman" w:hAnsi="Calibri" w:cs="Calibri"/>
                <w:b/>
                <w:color w:val="000000"/>
              </w:rPr>
              <w:t>2016-17</w:t>
            </w:r>
            <w:r>
              <w:rPr>
                <w:rFonts w:ascii="Calibri" w:eastAsia="Times New Roman" w:hAnsi="Calibri" w:cs="Calibri"/>
                <w:b/>
                <w:color w:val="000000"/>
              </w:rPr>
              <w:t xml:space="preserve"> (</w:t>
            </w:r>
            <w:r w:rsidRPr="00E27C90">
              <w:rPr>
                <w:rFonts w:ascii="Calibri" w:eastAsia="Times New Roman" w:hAnsi="Calibri" w:cs="Calibri"/>
                <w:b/>
                <w:color w:val="000000"/>
              </w:rPr>
              <w:t>RE</w:t>
            </w:r>
            <w:r>
              <w:rPr>
                <w:rFonts w:ascii="Calibri" w:eastAsia="Times New Roman" w:hAnsi="Calibri" w:cs="Calibri"/>
                <w:b/>
                <w:color w:val="000000"/>
              </w:rPr>
              <w:t>)</w:t>
            </w:r>
          </w:p>
        </w:tc>
        <w:tc>
          <w:tcPr>
            <w:tcW w:w="1109" w:type="dxa"/>
            <w:vMerge w:val="restart"/>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b/>
                <w:color w:val="000000"/>
              </w:rPr>
            </w:pPr>
            <w:r w:rsidRPr="00E27C90">
              <w:rPr>
                <w:rFonts w:ascii="Calibri" w:eastAsia="Times New Roman" w:hAnsi="Calibri" w:cs="Calibri"/>
                <w:b/>
                <w:color w:val="000000"/>
              </w:rPr>
              <w:t>2017-18</w:t>
            </w:r>
            <w:r>
              <w:rPr>
                <w:rFonts w:ascii="Calibri" w:eastAsia="Times New Roman" w:hAnsi="Calibri" w:cs="Calibri"/>
                <w:b/>
                <w:color w:val="000000"/>
              </w:rPr>
              <w:t xml:space="preserve"> (</w:t>
            </w:r>
            <w:r w:rsidRPr="00E27C90">
              <w:rPr>
                <w:rFonts w:ascii="Calibri" w:eastAsia="Times New Roman" w:hAnsi="Calibri" w:cs="Calibri"/>
                <w:b/>
                <w:color w:val="000000"/>
              </w:rPr>
              <w:t>BE</w:t>
            </w:r>
            <w:r>
              <w:rPr>
                <w:rFonts w:ascii="Calibri" w:eastAsia="Times New Roman" w:hAnsi="Calibri" w:cs="Calibri"/>
                <w:b/>
                <w:color w:val="000000"/>
              </w:rPr>
              <w:t>)</w:t>
            </w:r>
          </w:p>
        </w:tc>
        <w:tc>
          <w:tcPr>
            <w:tcW w:w="1129" w:type="dxa"/>
            <w:vMerge w:val="restart"/>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b/>
                <w:color w:val="000000"/>
              </w:rPr>
            </w:pPr>
            <w:r w:rsidRPr="00E27C90">
              <w:rPr>
                <w:rFonts w:ascii="Calibri" w:eastAsia="Times New Roman" w:hAnsi="Calibri" w:cs="Calibri"/>
                <w:b/>
                <w:color w:val="000000"/>
              </w:rPr>
              <w:t>Variation</w:t>
            </w:r>
          </w:p>
        </w:tc>
        <w:tc>
          <w:tcPr>
            <w:tcW w:w="984" w:type="dxa"/>
            <w:vMerge w:val="restart"/>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b/>
                <w:color w:val="000000"/>
              </w:rPr>
            </w:pPr>
            <w:r w:rsidRPr="00E27C90">
              <w:rPr>
                <w:rFonts w:ascii="Calibri" w:eastAsia="Times New Roman" w:hAnsi="Calibri" w:cs="Calibri"/>
                <w:b/>
                <w:color w:val="000000"/>
              </w:rPr>
              <w:t>% increase</w:t>
            </w:r>
          </w:p>
        </w:tc>
        <w:tc>
          <w:tcPr>
            <w:tcW w:w="1988" w:type="dxa"/>
            <w:gridSpan w:val="2"/>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b/>
                <w:color w:val="000000"/>
              </w:rPr>
            </w:pPr>
            <w:r w:rsidRPr="00331272">
              <w:rPr>
                <w:rFonts w:ascii="Calibri" w:eastAsia="Times New Roman" w:hAnsi="Calibri" w:cs="Calibri"/>
                <w:b/>
                <w:color w:val="000000"/>
              </w:rPr>
              <w:t xml:space="preserve">As </w:t>
            </w:r>
            <w:r w:rsidRPr="00E27C90">
              <w:rPr>
                <w:rFonts w:ascii="Calibri" w:eastAsia="Times New Roman" w:hAnsi="Calibri" w:cs="Calibri"/>
                <w:b/>
                <w:color w:val="000000"/>
              </w:rPr>
              <w:t>share of GDP</w:t>
            </w:r>
            <w:r w:rsidRPr="00331272">
              <w:rPr>
                <w:rFonts w:ascii="Calibri" w:eastAsia="Times New Roman" w:hAnsi="Calibri" w:cs="Calibri"/>
                <w:b/>
                <w:color w:val="000000"/>
              </w:rPr>
              <w:t xml:space="preserve"> (%)</w:t>
            </w:r>
          </w:p>
        </w:tc>
      </w:tr>
      <w:tr w:rsidR="00C945FC" w:rsidRPr="00E27C90" w:rsidTr="00C945FC">
        <w:trPr>
          <w:trHeight w:val="359"/>
        </w:trPr>
        <w:tc>
          <w:tcPr>
            <w:tcW w:w="960" w:type="dxa"/>
            <w:vMerge/>
            <w:shd w:val="clear" w:color="auto" w:fill="auto"/>
            <w:noWrap/>
            <w:vAlign w:val="bottom"/>
            <w:hideMark/>
          </w:tcPr>
          <w:p w:rsidR="00C945FC" w:rsidRPr="00E27C90" w:rsidRDefault="00C945FC" w:rsidP="00C945FC">
            <w:pPr>
              <w:spacing w:after="0" w:line="240" w:lineRule="auto"/>
              <w:rPr>
                <w:rFonts w:ascii="Calibri" w:eastAsia="Times New Roman" w:hAnsi="Calibri" w:cs="Calibri"/>
                <w:b/>
                <w:color w:val="000000"/>
              </w:rPr>
            </w:pPr>
          </w:p>
        </w:tc>
        <w:tc>
          <w:tcPr>
            <w:tcW w:w="1920" w:type="dxa"/>
            <w:vMerge/>
            <w:shd w:val="clear" w:color="auto" w:fill="auto"/>
            <w:noWrap/>
            <w:vAlign w:val="bottom"/>
            <w:hideMark/>
          </w:tcPr>
          <w:p w:rsidR="00C945FC" w:rsidRPr="00E27C90" w:rsidRDefault="00C945FC" w:rsidP="00C945FC">
            <w:pPr>
              <w:spacing w:after="0" w:line="240" w:lineRule="auto"/>
              <w:rPr>
                <w:rFonts w:ascii="Calibri" w:eastAsia="Times New Roman" w:hAnsi="Calibri" w:cs="Calibri"/>
                <w:b/>
                <w:color w:val="000000"/>
              </w:rPr>
            </w:pPr>
          </w:p>
        </w:tc>
        <w:tc>
          <w:tcPr>
            <w:tcW w:w="1109" w:type="dxa"/>
            <w:vMerge/>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b/>
                <w:color w:val="000000"/>
              </w:rPr>
            </w:pPr>
          </w:p>
        </w:tc>
        <w:tc>
          <w:tcPr>
            <w:tcW w:w="1109" w:type="dxa"/>
            <w:vMerge/>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b/>
                <w:color w:val="000000"/>
              </w:rPr>
            </w:pPr>
          </w:p>
        </w:tc>
        <w:tc>
          <w:tcPr>
            <w:tcW w:w="1129" w:type="dxa"/>
            <w:vMerge/>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b/>
                <w:color w:val="000000"/>
              </w:rPr>
            </w:pPr>
          </w:p>
        </w:tc>
        <w:tc>
          <w:tcPr>
            <w:tcW w:w="984" w:type="dxa"/>
            <w:vMerge/>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b/>
                <w:color w:val="000000"/>
              </w:rPr>
            </w:pP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b/>
                <w:color w:val="000000"/>
              </w:rPr>
            </w:pPr>
            <w:r w:rsidRPr="00E27C90">
              <w:rPr>
                <w:rFonts w:ascii="Calibri" w:eastAsia="Times New Roman" w:hAnsi="Calibri" w:cs="Calibri"/>
                <w:b/>
                <w:color w:val="000000"/>
              </w:rPr>
              <w:t>2016-17</w:t>
            </w:r>
            <w:r>
              <w:rPr>
                <w:rFonts w:ascii="Calibri" w:eastAsia="Times New Roman" w:hAnsi="Calibri" w:cs="Calibri"/>
                <w:b/>
                <w:color w:val="000000"/>
              </w:rPr>
              <w:t xml:space="preserve"> (</w:t>
            </w:r>
            <w:r w:rsidRPr="00E27C90">
              <w:rPr>
                <w:rFonts w:ascii="Calibri" w:eastAsia="Times New Roman" w:hAnsi="Calibri" w:cs="Calibri"/>
                <w:b/>
                <w:color w:val="000000"/>
              </w:rPr>
              <w:t>RE</w:t>
            </w:r>
            <w:r>
              <w:rPr>
                <w:rFonts w:ascii="Calibri" w:eastAsia="Times New Roman" w:hAnsi="Calibri" w:cs="Calibri"/>
                <w:b/>
                <w:color w:val="000000"/>
              </w:rPr>
              <w:t>)</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b/>
                <w:color w:val="000000"/>
              </w:rPr>
            </w:pPr>
            <w:r w:rsidRPr="00E27C90">
              <w:rPr>
                <w:rFonts w:ascii="Calibri" w:eastAsia="Times New Roman" w:hAnsi="Calibri" w:cs="Calibri"/>
                <w:b/>
                <w:color w:val="000000"/>
              </w:rPr>
              <w:t>2017-18</w:t>
            </w:r>
            <w:r>
              <w:rPr>
                <w:rFonts w:ascii="Calibri" w:eastAsia="Times New Roman" w:hAnsi="Calibri" w:cs="Calibri"/>
                <w:b/>
                <w:color w:val="000000"/>
              </w:rPr>
              <w:t xml:space="preserve"> (</w:t>
            </w:r>
            <w:r w:rsidRPr="00E27C90">
              <w:rPr>
                <w:rFonts w:ascii="Calibri" w:eastAsia="Times New Roman" w:hAnsi="Calibri" w:cs="Calibri"/>
                <w:b/>
                <w:color w:val="000000"/>
              </w:rPr>
              <w:t>BE</w:t>
            </w:r>
            <w:r>
              <w:rPr>
                <w:rFonts w:ascii="Calibri" w:eastAsia="Times New Roman" w:hAnsi="Calibri" w:cs="Calibri"/>
                <w:b/>
                <w:color w:val="000000"/>
              </w:rPr>
              <w:t>)</w:t>
            </w:r>
          </w:p>
        </w:tc>
      </w:tr>
      <w:tr w:rsidR="00C945FC" w:rsidRPr="00E27C90" w:rsidTr="00C945FC">
        <w:trPr>
          <w:trHeight w:val="300"/>
        </w:trPr>
        <w:tc>
          <w:tcPr>
            <w:tcW w:w="960" w:type="dxa"/>
            <w:shd w:val="clear" w:color="auto" w:fill="auto"/>
            <w:noWrap/>
            <w:vAlign w:val="bottom"/>
            <w:hideMark/>
          </w:tcPr>
          <w:p w:rsidR="00C945FC" w:rsidRPr="00E27C90" w:rsidRDefault="00C945FC" w:rsidP="00C945FC">
            <w:pPr>
              <w:spacing w:after="0" w:line="240" w:lineRule="auto"/>
              <w:jc w:val="right"/>
              <w:rPr>
                <w:rFonts w:ascii="Calibri" w:eastAsia="Times New Roman" w:hAnsi="Calibri" w:cs="Calibri"/>
                <w:color w:val="000000"/>
              </w:rPr>
            </w:pPr>
            <w:r w:rsidRPr="00E27C90">
              <w:rPr>
                <w:rFonts w:ascii="Calibri" w:eastAsia="Times New Roman" w:hAnsi="Calibri" w:cs="Calibri"/>
                <w:color w:val="000000"/>
              </w:rPr>
              <w:t>1</w:t>
            </w:r>
          </w:p>
        </w:tc>
        <w:tc>
          <w:tcPr>
            <w:tcW w:w="1920" w:type="dxa"/>
            <w:shd w:val="clear" w:color="auto" w:fill="auto"/>
            <w:noWrap/>
            <w:vAlign w:val="bottom"/>
            <w:hideMark/>
          </w:tcPr>
          <w:p w:rsidR="00C945FC" w:rsidRPr="00E27C90" w:rsidRDefault="00C945FC" w:rsidP="00C945FC">
            <w:pPr>
              <w:spacing w:after="0" w:line="240" w:lineRule="auto"/>
              <w:rPr>
                <w:rFonts w:ascii="Calibri" w:eastAsia="Times New Roman" w:hAnsi="Calibri" w:cs="Calibri"/>
                <w:color w:val="000000"/>
              </w:rPr>
            </w:pPr>
            <w:r w:rsidRPr="00E27C90">
              <w:rPr>
                <w:rFonts w:ascii="Calibri" w:eastAsia="Times New Roman" w:hAnsi="Calibri" w:cs="Calibri"/>
                <w:color w:val="000000"/>
              </w:rPr>
              <w:t>Interest Payments</w:t>
            </w:r>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483069</w:t>
            </w:r>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523078</w:t>
            </w:r>
          </w:p>
        </w:tc>
        <w:tc>
          <w:tcPr>
            <w:tcW w:w="112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(+)40009</w:t>
            </w:r>
          </w:p>
        </w:tc>
        <w:tc>
          <w:tcPr>
            <w:tcW w:w="98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8.3</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3.2</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3.1</w:t>
            </w:r>
          </w:p>
        </w:tc>
      </w:tr>
      <w:tr w:rsidR="00C945FC" w:rsidRPr="00E27C90" w:rsidTr="00C945FC">
        <w:trPr>
          <w:trHeight w:val="630"/>
        </w:trPr>
        <w:tc>
          <w:tcPr>
            <w:tcW w:w="960" w:type="dxa"/>
            <w:shd w:val="clear" w:color="auto" w:fill="auto"/>
            <w:noWrap/>
            <w:vAlign w:val="bottom"/>
            <w:hideMark/>
          </w:tcPr>
          <w:p w:rsidR="00C945FC" w:rsidRPr="00E27C90" w:rsidRDefault="00C945FC" w:rsidP="00C945FC">
            <w:pPr>
              <w:spacing w:after="0" w:line="240" w:lineRule="auto"/>
              <w:jc w:val="right"/>
              <w:rPr>
                <w:rFonts w:ascii="Calibri" w:eastAsia="Times New Roman" w:hAnsi="Calibri" w:cs="Calibri"/>
                <w:color w:val="000000"/>
              </w:rPr>
            </w:pPr>
            <w:r w:rsidRPr="00E27C90">
              <w:rPr>
                <w:rFonts w:ascii="Calibri" w:eastAsia="Times New Roman" w:hAnsi="Calibri" w:cs="Calibri"/>
                <w:color w:val="000000"/>
              </w:rPr>
              <w:t>2</w:t>
            </w:r>
          </w:p>
        </w:tc>
        <w:tc>
          <w:tcPr>
            <w:tcW w:w="1920" w:type="dxa"/>
            <w:shd w:val="clear" w:color="auto" w:fill="auto"/>
            <w:vAlign w:val="bottom"/>
            <w:hideMark/>
          </w:tcPr>
          <w:p w:rsidR="00C945FC" w:rsidRPr="00E27C90" w:rsidRDefault="00C945FC" w:rsidP="00C945FC">
            <w:pPr>
              <w:spacing w:after="0" w:line="240" w:lineRule="auto"/>
              <w:rPr>
                <w:rFonts w:ascii="Calibri" w:eastAsia="Times New Roman" w:hAnsi="Calibri" w:cs="Calibri"/>
                <w:color w:val="000000"/>
              </w:rPr>
            </w:pPr>
            <w:r w:rsidRPr="00E27C90">
              <w:rPr>
                <w:rFonts w:ascii="Calibri" w:eastAsia="Times New Roman" w:hAnsi="Calibri" w:cs="Calibri"/>
                <w:color w:val="000000"/>
              </w:rPr>
              <w:t xml:space="preserve">Capital Outlay excluding </w:t>
            </w:r>
            <w:proofErr w:type="spellStart"/>
            <w:r w:rsidRPr="00E27C90">
              <w:rPr>
                <w:rFonts w:ascii="Calibri" w:eastAsia="Times New Roman" w:hAnsi="Calibri" w:cs="Calibri"/>
                <w:color w:val="000000"/>
              </w:rPr>
              <w:t>defence</w:t>
            </w:r>
            <w:proofErr w:type="spellEnd"/>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162570</w:t>
            </w:r>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183280</w:t>
            </w:r>
          </w:p>
        </w:tc>
        <w:tc>
          <w:tcPr>
            <w:tcW w:w="112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(+)20710</w:t>
            </w:r>
          </w:p>
        </w:tc>
        <w:tc>
          <w:tcPr>
            <w:tcW w:w="98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12.7</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1.1</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1.1</w:t>
            </w:r>
          </w:p>
        </w:tc>
      </w:tr>
      <w:tr w:rsidR="00C945FC" w:rsidRPr="00E27C90" w:rsidTr="00C945FC">
        <w:trPr>
          <w:trHeight w:val="300"/>
        </w:trPr>
        <w:tc>
          <w:tcPr>
            <w:tcW w:w="960" w:type="dxa"/>
            <w:shd w:val="clear" w:color="auto" w:fill="auto"/>
            <w:noWrap/>
            <w:vAlign w:val="bottom"/>
            <w:hideMark/>
          </w:tcPr>
          <w:p w:rsidR="00C945FC" w:rsidRPr="00E27C90" w:rsidRDefault="00C945FC" w:rsidP="00C945FC">
            <w:pPr>
              <w:spacing w:after="0" w:line="240" w:lineRule="auto"/>
              <w:jc w:val="right"/>
              <w:rPr>
                <w:rFonts w:ascii="Calibri" w:eastAsia="Times New Roman" w:hAnsi="Calibri" w:cs="Calibri"/>
                <w:color w:val="000000"/>
              </w:rPr>
            </w:pPr>
            <w:r w:rsidRPr="00E27C90">
              <w:rPr>
                <w:rFonts w:ascii="Calibri" w:eastAsia="Times New Roman" w:hAnsi="Calibri" w:cs="Calibri"/>
                <w:color w:val="000000"/>
              </w:rPr>
              <w:t>3</w:t>
            </w:r>
          </w:p>
        </w:tc>
        <w:tc>
          <w:tcPr>
            <w:tcW w:w="1920" w:type="dxa"/>
            <w:shd w:val="clear" w:color="auto" w:fill="auto"/>
            <w:noWrap/>
            <w:vAlign w:val="bottom"/>
            <w:hideMark/>
          </w:tcPr>
          <w:p w:rsidR="00C945FC" w:rsidRPr="00E27C90" w:rsidRDefault="00C945FC" w:rsidP="00C945FC">
            <w:pPr>
              <w:spacing w:after="0" w:line="240" w:lineRule="auto"/>
              <w:rPr>
                <w:rFonts w:ascii="Calibri" w:eastAsia="Times New Roman" w:hAnsi="Calibri" w:cs="Calibri"/>
                <w:color w:val="000000"/>
              </w:rPr>
            </w:pPr>
            <w:proofErr w:type="spellStart"/>
            <w:r w:rsidRPr="00E27C90">
              <w:rPr>
                <w:rFonts w:ascii="Calibri" w:eastAsia="Times New Roman" w:hAnsi="Calibri" w:cs="Calibri"/>
                <w:color w:val="000000"/>
              </w:rPr>
              <w:t>Defence</w:t>
            </w:r>
            <w:proofErr w:type="spellEnd"/>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248005</w:t>
            </w:r>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262390</w:t>
            </w:r>
          </w:p>
        </w:tc>
        <w:tc>
          <w:tcPr>
            <w:tcW w:w="112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(+)14385</w:t>
            </w:r>
          </w:p>
        </w:tc>
        <w:tc>
          <w:tcPr>
            <w:tcW w:w="98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5.8</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1.6</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1.6</w:t>
            </w:r>
          </w:p>
        </w:tc>
      </w:tr>
      <w:tr w:rsidR="00C945FC" w:rsidRPr="00E27C90" w:rsidTr="00C945FC">
        <w:trPr>
          <w:trHeight w:val="585"/>
        </w:trPr>
        <w:tc>
          <w:tcPr>
            <w:tcW w:w="960" w:type="dxa"/>
            <w:shd w:val="clear" w:color="auto" w:fill="auto"/>
            <w:noWrap/>
            <w:vAlign w:val="bottom"/>
            <w:hideMark/>
          </w:tcPr>
          <w:p w:rsidR="00C945FC" w:rsidRPr="00E27C90" w:rsidRDefault="00C945FC" w:rsidP="00C945FC">
            <w:pPr>
              <w:spacing w:after="0" w:line="240" w:lineRule="auto"/>
              <w:jc w:val="right"/>
              <w:rPr>
                <w:rFonts w:ascii="Calibri" w:eastAsia="Times New Roman" w:hAnsi="Calibri" w:cs="Calibri"/>
                <w:color w:val="000000"/>
              </w:rPr>
            </w:pPr>
            <w:r w:rsidRPr="00E27C90">
              <w:rPr>
                <w:rFonts w:ascii="Calibri" w:eastAsia="Times New Roman" w:hAnsi="Calibri" w:cs="Calibri"/>
                <w:color w:val="000000"/>
              </w:rPr>
              <w:t>4</w:t>
            </w:r>
          </w:p>
        </w:tc>
        <w:tc>
          <w:tcPr>
            <w:tcW w:w="1920" w:type="dxa"/>
            <w:shd w:val="clear" w:color="auto" w:fill="auto"/>
            <w:vAlign w:val="bottom"/>
            <w:hideMark/>
          </w:tcPr>
          <w:p w:rsidR="00C945FC" w:rsidRPr="00E27C90" w:rsidRDefault="00C945FC" w:rsidP="00C945FC">
            <w:pPr>
              <w:spacing w:after="0" w:line="240" w:lineRule="auto"/>
              <w:rPr>
                <w:rFonts w:ascii="Calibri" w:eastAsia="Times New Roman" w:hAnsi="Calibri" w:cs="Calibri"/>
                <w:color w:val="000000"/>
              </w:rPr>
            </w:pPr>
            <w:r w:rsidRPr="00E27C90">
              <w:rPr>
                <w:rFonts w:ascii="Calibri" w:eastAsia="Times New Roman" w:hAnsi="Calibri" w:cs="Calibri"/>
                <w:color w:val="000000"/>
              </w:rPr>
              <w:t>Grants and Loans to States</w:t>
            </w:r>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293172</w:t>
            </w:r>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307553</w:t>
            </w:r>
          </w:p>
        </w:tc>
        <w:tc>
          <w:tcPr>
            <w:tcW w:w="112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(+)14381</w:t>
            </w:r>
          </w:p>
        </w:tc>
        <w:tc>
          <w:tcPr>
            <w:tcW w:w="98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4.9</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1.9</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1.8</w:t>
            </w:r>
          </w:p>
        </w:tc>
      </w:tr>
      <w:tr w:rsidR="00C945FC" w:rsidRPr="00E27C90" w:rsidTr="00C945FC">
        <w:trPr>
          <w:trHeight w:val="300"/>
        </w:trPr>
        <w:tc>
          <w:tcPr>
            <w:tcW w:w="960" w:type="dxa"/>
            <w:shd w:val="clear" w:color="auto" w:fill="auto"/>
            <w:noWrap/>
            <w:vAlign w:val="bottom"/>
            <w:hideMark/>
          </w:tcPr>
          <w:p w:rsidR="00C945FC" w:rsidRPr="00E27C90" w:rsidRDefault="00C945FC" w:rsidP="00C945FC">
            <w:pPr>
              <w:spacing w:after="0" w:line="240" w:lineRule="auto"/>
              <w:jc w:val="right"/>
              <w:rPr>
                <w:rFonts w:ascii="Calibri" w:eastAsia="Times New Roman" w:hAnsi="Calibri" w:cs="Calibri"/>
                <w:color w:val="000000"/>
              </w:rPr>
            </w:pPr>
            <w:r w:rsidRPr="00E27C90">
              <w:rPr>
                <w:rFonts w:ascii="Calibri" w:eastAsia="Times New Roman" w:hAnsi="Calibri" w:cs="Calibri"/>
                <w:color w:val="000000"/>
              </w:rPr>
              <w:t>5</w:t>
            </w:r>
          </w:p>
        </w:tc>
        <w:tc>
          <w:tcPr>
            <w:tcW w:w="1920" w:type="dxa"/>
            <w:shd w:val="clear" w:color="auto" w:fill="auto"/>
            <w:noWrap/>
            <w:vAlign w:val="bottom"/>
            <w:hideMark/>
          </w:tcPr>
          <w:p w:rsidR="00C945FC" w:rsidRPr="00E27C90" w:rsidRDefault="00C945FC" w:rsidP="00C945FC">
            <w:pPr>
              <w:spacing w:after="0" w:line="240" w:lineRule="auto"/>
              <w:rPr>
                <w:rFonts w:ascii="Calibri" w:eastAsia="Times New Roman" w:hAnsi="Calibri" w:cs="Calibri"/>
                <w:color w:val="000000"/>
              </w:rPr>
            </w:pPr>
            <w:r w:rsidRPr="00E27C90">
              <w:rPr>
                <w:rFonts w:ascii="Calibri" w:eastAsia="Times New Roman" w:hAnsi="Calibri" w:cs="Calibri"/>
                <w:color w:val="000000"/>
              </w:rPr>
              <w:t>Food subsidy</w:t>
            </w:r>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135173</w:t>
            </w:r>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145339</w:t>
            </w:r>
          </w:p>
        </w:tc>
        <w:tc>
          <w:tcPr>
            <w:tcW w:w="112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(+)10166</w:t>
            </w:r>
          </w:p>
        </w:tc>
        <w:tc>
          <w:tcPr>
            <w:tcW w:w="98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7.5</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0.9</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0.9</w:t>
            </w:r>
          </w:p>
        </w:tc>
      </w:tr>
      <w:tr w:rsidR="00C945FC" w:rsidRPr="00E27C90" w:rsidTr="00C945FC">
        <w:trPr>
          <w:trHeight w:val="300"/>
        </w:trPr>
        <w:tc>
          <w:tcPr>
            <w:tcW w:w="960" w:type="dxa"/>
            <w:shd w:val="clear" w:color="auto" w:fill="auto"/>
            <w:noWrap/>
            <w:vAlign w:val="bottom"/>
            <w:hideMark/>
          </w:tcPr>
          <w:p w:rsidR="00C945FC" w:rsidRPr="00E27C90" w:rsidRDefault="00C945FC" w:rsidP="00C945FC">
            <w:pPr>
              <w:spacing w:after="0" w:line="240" w:lineRule="auto"/>
              <w:jc w:val="right"/>
              <w:rPr>
                <w:rFonts w:ascii="Calibri" w:eastAsia="Times New Roman" w:hAnsi="Calibri" w:cs="Calibri"/>
                <w:color w:val="000000"/>
              </w:rPr>
            </w:pPr>
            <w:r w:rsidRPr="00E27C90">
              <w:rPr>
                <w:rFonts w:ascii="Calibri" w:eastAsia="Times New Roman" w:hAnsi="Calibri" w:cs="Calibri"/>
                <w:color w:val="000000"/>
              </w:rPr>
              <w:t>6</w:t>
            </w:r>
          </w:p>
        </w:tc>
        <w:tc>
          <w:tcPr>
            <w:tcW w:w="1920" w:type="dxa"/>
            <w:shd w:val="clear" w:color="auto" w:fill="auto"/>
            <w:noWrap/>
            <w:vAlign w:val="bottom"/>
            <w:hideMark/>
          </w:tcPr>
          <w:p w:rsidR="00C945FC" w:rsidRPr="00E27C90" w:rsidRDefault="00C945FC" w:rsidP="00C945FC">
            <w:pPr>
              <w:spacing w:after="0" w:line="240" w:lineRule="auto"/>
              <w:rPr>
                <w:rFonts w:ascii="Calibri" w:eastAsia="Times New Roman" w:hAnsi="Calibri" w:cs="Calibri"/>
                <w:color w:val="000000"/>
              </w:rPr>
            </w:pPr>
            <w:r w:rsidRPr="00E27C90">
              <w:rPr>
                <w:rFonts w:ascii="Calibri" w:eastAsia="Times New Roman" w:hAnsi="Calibri" w:cs="Calibri"/>
                <w:color w:val="000000"/>
              </w:rPr>
              <w:t>Education</w:t>
            </w:r>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32229</w:t>
            </w:r>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36884</w:t>
            </w:r>
          </w:p>
        </w:tc>
        <w:tc>
          <w:tcPr>
            <w:tcW w:w="112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(+)4655</w:t>
            </w:r>
          </w:p>
        </w:tc>
        <w:tc>
          <w:tcPr>
            <w:tcW w:w="98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14.4</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0.2</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0.2</w:t>
            </w:r>
          </w:p>
        </w:tc>
      </w:tr>
      <w:tr w:rsidR="00C945FC" w:rsidRPr="00E27C90" w:rsidTr="00C945FC">
        <w:trPr>
          <w:trHeight w:val="300"/>
        </w:trPr>
        <w:tc>
          <w:tcPr>
            <w:tcW w:w="960" w:type="dxa"/>
            <w:shd w:val="clear" w:color="auto" w:fill="auto"/>
            <w:noWrap/>
            <w:vAlign w:val="bottom"/>
            <w:hideMark/>
          </w:tcPr>
          <w:p w:rsidR="00C945FC" w:rsidRPr="00E27C90" w:rsidRDefault="00C945FC" w:rsidP="00C945FC">
            <w:pPr>
              <w:spacing w:after="0" w:line="240" w:lineRule="auto"/>
              <w:jc w:val="right"/>
              <w:rPr>
                <w:rFonts w:ascii="Calibri" w:eastAsia="Times New Roman" w:hAnsi="Calibri" w:cs="Calibri"/>
                <w:color w:val="000000"/>
              </w:rPr>
            </w:pPr>
            <w:r w:rsidRPr="00E27C90">
              <w:rPr>
                <w:rFonts w:ascii="Calibri" w:eastAsia="Times New Roman" w:hAnsi="Calibri" w:cs="Calibri"/>
                <w:color w:val="000000"/>
              </w:rPr>
              <w:t>7</w:t>
            </w:r>
          </w:p>
        </w:tc>
        <w:tc>
          <w:tcPr>
            <w:tcW w:w="1920" w:type="dxa"/>
            <w:shd w:val="clear" w:color="auto" w:fill="auto"/>
            <w:noWrap/>
            <w:vAlign w:val="bottom"/>
            <w:hideMark/>
          </w:tcPr>
          <w:p w:rsidR="00C945FC" w:rsidRPr="00E27C90" w:rsidRDefault="00C945FC" w:rsidP="00C945FC">
            <w:pPr>
              <w:spacing w:after="0" w:line="240" w:lineRule="auto"/>
              <w:rPr>
                <w:rFonts w:ascii="Calibri" w:eastAsia="Times New Roman" w:hAnsi="Calibri" w:cs="Calibri"/>
                <w:color w:val="000000"/>
              </w:rPr>
            </w:pPr>
            <w:r w:rsidRPr="00E27C90">
              <w:rPr>
                <w:rFonts w:ascii="Calibri" w:eastAsia="Times New Roman" w:hAnsi="Calibri" w:cs="Calibri"/>
                <w:color w:val="000000"/>
              </w:rPr>
              <w:t>Police</w:t>
            </w:r>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62407</w:t>
            </w:r>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65576</w:t>
            </w:r>
          </w:p>
        </w:tc>
        <w:tc>
          <w:tcPr>
            <w:tcW w:w="112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(+)3169</w:t>
            </w:r>
          </w:p>
        </w:tc>
        <w:tc>
          <w:tcPr>
            <w:tcW w:w="98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5.1</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0.4</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0.4</w:t>
            </w:r>
          </w:p>
        </w:tc>
      </w:tr>
      <w:tr w:rsidR="00C945FC" w:rsidRPr="00E27C90" w:rsidTr="00C945FC">
        <w:trPr>
          <w:trHeight w:val="300"/>
        </w:trPr>
        <w:tc>
          <w:tcPr>
            <w:tcW w:w="960" w:type="dxa"/>
            <w:shd w:val="clear" w:color="auto" w:fill="auto"/>
            <w:noWrap/>
            <w:vAlign w:val="bottom"/>
            <w:hideMark/>
          </w:tcPr>
          <w:p w:rsidR="00C945FC" w:rsidRPr="00E27C90" w:rsidRDefault="00C945FC" w:rsidP="00C945FC">
            <w:pPr>
              <w:spacing w:after="0" w:line="240" w:lineRule="auto"/>
              <w:jc w:val="right"/>
              <w:rPr>
                <w:rFonts w:ascii="Calibri" w:eastAsia="Times New Roman" w:hAnsi="Calibri" w:cs="Calibri"/>
                <w:color w:val="000000"/>
              </w:rPr>
            </w:pPr>
            <w:r w:rsidRPr="00E27C90">
              <w:rPr>
                <w:rFonts w:ascii="Calibri" w:eastAsia="Times New Roman" w:hAnsi="Calibri" w:cs="Calibri"/>
                <w:color w:val="000000"/>
              </w:rPr>
              <w:t>8</w:t>
            </w:r>
          </w:p>
        </w:tc>
        <w:tc>
          <w:tcPr>
            <w:tcW w:w="1920" w:type="dxa"/>
            <w:shd w:val="clear" w:color="auto" w:fill="auto"/>
            <w:noWrap/>
            <w:vAlign w:val="bottom"/>
            <w:hideMark/>
          </w:tcPr>
          <w:p w:rsidR="00C945FC" w:rsidRPr="00E27C90" w:rsidRDefault="00C945FC" w:rsidP="00C945FC">
            <w:pPr>
              <w:spacing w:after="0" w:line="240" w:lineRule="auto"/>
              <w:rPr>
                <w:rFonts w:ascii="Calibri" w:eastAsia="Times New Roman" w:hAnsi="Calibri" w:cs="Calibri"/>
                <w:color w:val="000000"/>
              </w:rPr>
            </w:pPr>
            <w:r w:rsidRPr="00E27C90">
              <w:rPr>
                <w:rFonts w:ascii="Calibri" w:eastAsia="Times New Roman" w:hAnsi="Calibri" w:cs="Calibri"/>
                <w:color w:val="000000"/>
              </w:rPr>
              <w:t>Pensions</w:t>
            </w:r>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128166</w:t>
            </w:r>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131201</w:t>
            </w:r>
          </w:p>
        </w:tc>
        <w:tc>
          <w:tcPr>
            <w:tcW w:w="112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(+)3035</w:t>
            </w:r>
          </w:p>
        </w:tc>
        <w:tc>
          <w:tcPr>
            <w:tcW w:w="98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2.4</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0.9</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0.8</w:t>
            </w:r>
          </w:p>
        </w:tc>
      </w:tr>
      <w:tr w:rsidR="00C945FC" w:rsidRPr="00E27C90" w:rsidTr="00C945FC">
        <w:trPr>
          <w:trHeight w:val="615"/>
        </w:trPr>
        <w:tc>
          <w:tcPr>
            <w:tcW w:w="960" w:type="dxa"/>
            <w:shd w:val="clear" w:color="auto" w:fill="auto"/>
            <w:noWrap/>
            <w:vAlign w:val="bottom"/>
            <w:hideMark/>
          </w:tcPr>
          <w:p w:rsidR="00C945FC" w:rsidRPr="00E27C90" w:rsidRDefault="00C945FC" w:rsidP="00C945FC">
            <w:pPr>
              <w:spacing w:after="0" w:line="240" w:lineRule="auto"/>
              <w:jc w:val="right"/>
              <w:rPr>
                <w:rFonts w:ascii="Calibri" w:eastAsia="Times New Roman" w:hAnsi="Calibri" w:cs="Calibri"/>
                <w:color w:val="000000"/>
              </w:rPr>
            </w:pPr>
            <w:r w:rsidRPr="00E27C90">
              <w:rPr>
                <w:rFonts w:ascii="Calibri" w:eastAsia="Times New Roman" w:hAnsi="Calibri" w:cs="Calibri"/>
                <w:color w:val="000000"/>
              </w:rPr>
              <w:t>9</w:t>
            </w:r>
          </w:p>
        </w:tc>
        <w:tc>
          <w:tcPr>
            <w:tcW w:w="1920" w:type="dxa"/>
            <w:shd w:val="clear" w:color="auto" w:fill="auto"/>
            <w:vAlign w:val="bottom"/>
            <w:hideMark/>
          </w:tcPr>
          <w:p w:rsidR="00C945FC" w:rsidRPr="00E27C90" w:rsidRDefault="00C945FC" w:rsidP="00C945FC">
            <w:pPr>
              <w:spacing w:after="0" w:line="240" w:lineRule="auto"/>
              <w:rPr>
                <w:rFonts w:ascii="Calibri" w:eastAsia="Times New Roman" w:hAnsi="Calibri" w:cs="Calibri"/>
                <w:color w:val="000000"/>
              </w:rPr>
            </w:pPr>
            <w:r w:rsidRPr="00E27C90">
              <w:rPr>
                <w:rFonts w:ascii="Calibri" w:eastAsia="Times New Roman" w:hAnsi="Calibri" w:cs="Calibri"/>
                <w:color w:val="000000"/>
              </w:rPr>
              <w:t>Health and Family Welfare</w:t>
            </w:r>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14478</w:t>
            </w:r>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16836</w:t>
            </w:r>
          </w:p>
        </w:tc>
        <w:tc>
          <w:tcPr>
            <w:tcW w:w="112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(+)2358</w:t>
            </w:r>
          </w:p>
        </w:tc>
        <w:tc>
          <w:tcPr>
            <w:tcW w:w="98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16.3</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0.1</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0.1</w:t>
            </w:r>
          </w:p>
        </w:tc>
      </w:tr>
      <w:tr w:rsidR="00C945FC" w:rsidRPr="00E27C90" w:rsidTr="00C945FC">
        <w:trPr>
          <w:trHeight w:val="420"/>
        </w:trPr>
        <w:tc>
          <w:tcPr>
            <w:tcW w:w="960" w:type="dxa"/>
            <w:shd w:val="clear" w:color="auto" w:fill="auto"/>
            <w:noWrap/>
            <w:vAlign w:val="bottom"/>
            <w:hideMark/>
          </w:tcPr>
          <w:p w:rsidR="00C945FC" w:rsidRPr="00E27C90" w:rsidRDefault="00C945FC" w:rsidP="00C945FC">
            <w:pPr>
              <w:spacing w:after="0" w:line="240" w:lineRule="auto"/>
              <w:jc w:val="right"/>
              <w:rPr>
                <w:rFonts w:ascii="Calibri" w:eastAsia="Times New Roman" w:hAnsi="Calibri" w:cs="Calibri"/>
                <w:color w:val="000000"/>
              </w:rPr>
            </w:pPr>
            <w:r w:rsidRPr="00E27C90">
              <w:rPr>
                <w:rFonts w:ascii="Calibri" w:eastAsia="Times New Roman" w:hAnsi="Calibri" w:cs="Calibri"/>
                <w:color w:val="000000"/>
              </w:rPr>
              <w:t>10</w:t>
            </w:r>
          </w:p>
        </w:tc>
        <w:tc>
          <w:tcPr>
            <w:tcW w:w="1920" w:type="dxa"/>
            <w:shd w:val="clear" w:color="auto" w:fill="auto"/>
            <w:vAlign w:val="bottom"/>
            <w:hideMark/>
          </w:tcPr>
          <w:p w:rsidR="00C945FC" w:rsidRPr="00E27C90" w:rsidRDefault="00C945FC" w:rsidP="00C945FC">
            <w:pPr>
              <w:spacing w:after="0" w:line="240" w:lineRule="auto"/>
              <w:rPr>
                <w:rFonts w:ascii="Calibri" w:eastAsia="Times New Roman" w:hAnsi="Calibri" w:cs="Calibri"/>
                <w:color w:val="000000"/>
              </w:rPr>
            </w:pPr>
            <w:r w:rsidRPr="00E27C90">
              <w:rPr>
                <w:rFonts w:ascii="Calibri" w:eastAsia="Times New Roman" w:hAnsi="Calibri" w:cs="Calibri"/>
                <w:color w:val="000000"/>
              </w:rPr>
              <w:t>Other Subsidies</w:t>
            </w:r>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125312</w:t>
            </w:r>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126937</w:t>
            </w:r>
          </w:p>
        </w:tc>
        <w:tc>
          <w:tcPr>
            <w:tcW w:w="112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(+)1625</w:t>
            </w:r>
          </w:p>
        </w:tc>
        <w:tc>
          <w:tcPr>
            <w:tcW w:w="98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1.3</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0.8</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0.8</w:t>
            </w:r>
          </w:p>
        </w:tc>
      </w:tr>
      <w:tr w:rsidR="00C945FC" w:rsidRPr="00E27C90" w:rsidTr="00C945FC">
        <w:trPr>
          <w:trHeight w:val="585"/>
        </w:trPr>
        <w:tc>
          <w:tcPr>
            <w:tcW w:w="960" w:type="dxa"/>
            <w:shd w:val="clear" w:color="auto" w:fill="auto"/>
            <w:noWrap/>
            <w:vAlign w:val="bottom"/>
            <w:hideMark/>
          </w:tcPr>
          <w:p w:rsidR="00C945FC" w:rsidRPr="00E27C90" w:rsidRDefault="00C945FC" w:rsidP="00C945FC">
            <w:pPr>
              <w:spacing w:after="0" w:line="240" w:lineRule="auto"/>
              <w:jc w:val="right"/>
              <w:rPr>
                <w:rFonts w:ascii="Calibri" w:eastAsia="Times New Roman" w:hAnsi="Calibri" w:cs="Calibri"/>
                <w:color w:val="000000"/>
              </w:rPr>
            </w:pPr>
            <w:r w:rsidRPr="00E27C90">
              <w:rPr>
                <w:rFonts w:ascii="Calibri" w:eastAsia="Times New Roman" w:hAnsi="Calibri" w:cs="Calibri"/>
                <w:color w:val="000000"/>
              </w:rPr>
              <w:t>11</w:t>
            </w:r>
          </w:p>
        </w:tc>
        <w:tc>
          <w:tcPr>
            <w:tcW w:w="1920" w:type="dxa"/>
            <w:shd w:val="clear" w:color="auto" w:fill="auto"/>
            <w:vAlign w:val="bottom"/>
            <w:hideMark/>
          </w:tcPr>
          <w:p w:rsidR="00C945FC" w:rsidRPr="00E27C90" w:rsidRDefault="00C945FC" w:rsidP="00C945FC">
            <w:pPr>
              <w:spacing w:after="0" w:line="240" w:lineRule="auto"/>
              <w:rPr>
                <w:rFonts w:ascii="Calibri" w:eastAsia="Times New Roman" w:hAnsi="Calibri" w:cs="Calibri"/>
                <w:color w:val="000000"/>
              </w:rPr>
            </w:pPr>
            <w:r w:rsidRPr="00E27C90">
              <w:rPr>
                <w:rFonts w:ascii="Calibri" w:eastAsia="Times New Roman" w:hAnsi="Calibri" w:cs="Calibri"/>
                <w:color w:val="000000"/>
              </w:rPr>
              <w:t>Grants and Loans to UTs</w:t>
            </w:r>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5547</w:t>
            </w:r>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3996</w:t>
            </w:r>
          </w:p>
        </w:tc>
        <w:tc>
          <w:tcPr>
            <w:tcW w:w="112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(-)1551</w:t>
            </w:r>
          </w:p>
        </w:tc>
        <w:tc>
          <w:tcPr>
            <w:tcW w:w="98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-28.0</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0.0</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0.0</w:t>
            </w:r>
          </w:p>
        </w:tc>
      </w:tr>
      <w:tr w:rsidR="00C945FC" w:rsidRPr="00E27C90" w:rsidTr="00C945FC">
        <w:trPr>
          <w:trHeight w:val="300"/>
        </w:trPr>
        <w:tc>
          <w:tcPr>
            <w:tcW w:w="960" w:type="dxa"/>
            <w:shd w:val="clear" w:color="auto" w:fill="auto"/>
            <w:noWrap/>
            <w:vAlign w:val="bottom"/>
            <w:hideMark/>
          </w:tcPr>
          <w:p w:rsidR="00C945FC" w:rsidRPr="00E27C90" w:rsidRDefault="00C945FC" w:rsidP="00C945FC">
            <w:pPr>
              <w:spacing w:after="0" w:line="240" w:lineRule="auto"/>
              <w:jc w:val="right"/>
              <w:rPr>
                <w:rFonts w:ascii="Calibri" w:eastAsia="Times New Roman" w:hAnsi="Calibri" w:cs="Calibri"/>
                <w:color w:val="000000"/>
              </w:rPr>
            </w:pPr>
            <w:r w:rsidRPr="00E27C90">
              <w:rPr>
                <w:rFonts w:ascii="Calibri" w:eastAsia="Times New Roman" w:hAnsi="Calibri" w:cs="Calibri"/>
                <w:color w:val="000000"/>
              </w:rPr>
              <w:lastRenderedPageBreak/>
              <w:t>12</w:t>
            </w:r>
          </w:p>
        </w:tc>
        <w:tc>
          <w:tcPr>
            <w:tcW w:w="1920" w:type="dxa"/>
            <w:shd w:val="clear" w:color="auto" w:fill="auto"/>
            <w:noWrap/>
            <w:vAlign w:val="bottom"/>
            <w:hideMark/>
          </w:tcPr>
          <w:p w:rsidR="00C945FC" w:rsidRPr="00E27C90" w:rsidRDefault="00C945FC" w:rsidP="00C945FC">
            <w:pPr>
              <w:spacing w:after="0" w:line="240" w:lineRule="auto"/>
              <w:rPr>
                <w:rFonts w:ascii="Calibri" w:eastAsia="Times New Roman" w:hAnsi="Calibri" w:cs="Calibri"/>
                <w:color w:val="000000"/>
              </w:rPr>
            </w:pPr>
            <w:r w:rsidRPr="00E27C90">
              <w:rPr>
                <w:rFonts w:ascii="Calibri" w:eastAsia="Times New Roman" w:hAnsi="Calibri" w:cs="Calibri"/>
                <w:color w:val="000000"/>
              </w:rPr>
              <w:t>Other</w:t>
            </w:r>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324279</w:t>
            </w:r>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343665</w:t>
            </w:r>
          </w:p>
        </w:tc>
        <w:tc>
          <w:tcPr>
            <w:tcW w:w="112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(+)19386</w:t>
            </w:r>
          </w:p>
        </w:tc>
        <w:tc>
          <w:tcPr>
            <w:tcW w:w="98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6.0</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2.2</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2.0</w:t>
            </w:r>
          </w:p>
        </w:tc>
      </w:tr>
      <w:tr w:rsidR="00C945FC" w:rsidRPr="00E27C90" w:rsidTr="00C945FC">
        <w:trPr>
          <w:trHeight w:val="300"/>
        </w:trPr>
        <w:tc>
          <w:tcPr>
            <w:tcW w:w="960" w:type="dxa"/>
            <w:shd w:val="clear" w:color="auto" w:fill="auto"/>
            <w:noWrap/>
            <w:vAlign w:val="bottom"/>
            <w:hideMark/>
          </w:tcPr>
          <w:p w:rsidR="00C945FC" w:rsidRPr="00E27C90" w:rsidRDefault="00C945FC" w:rsidP="00C945FC">
            <w:pPr>
              <w:spacing w:after="0" w:line="240" w:lineRule="auto"/>
              <w:rPr>
                <w:rFonts w:ascii="Calibri" w:eastAsia="Times New Roman" w:hAnsi="Calibri" w:cs="Calibri"/>
                <w:color w:val="000000"/>
              </w:rPr>
            </w:pPr>
            <w:r w:rsidRPr="00E27C90">
              <w:rPr>
                <w:rFonts w:ascii="Calibri" w:eastAsia="Times New Roman" w:hAnsi="Calibri" w:cs="Calibri"/>
                <w:color w:val="000000"/>
              </w:rPr>
              <w:t> </w:t>
            </w:r>
          </w:p>
        </w:tc>
        <w:tc>
          <w:tcPr>
            <w:tcW w:w="1920" w:type="dxa"/>
            <w:shd w:val="clear" w:color="auto" w:fill="auto"/>
            <w:noWrap/>
            <w:vAlign w:val="bottom"/>
            <w:hideMark/>
          </w:tcPr>
          <w:p w:rsidR="00C945FC" w:rsidRPr="00E27C90" w:rsidRDefault="00C945FC" w:rsidP="00C945FC">
            <w:pPr>
              <w:spacing w:after="0" w:line="240" w:lineRule="auto"/>
              <w:rPr>
                <w:rFonts w:ascii="Calibri" w:eastAsia="Times New Roman" w:hAnsi="Calibri" w:cs="Calibri"/>
                <w:color w:val="000000"/>
              </w:rPr>
            </w:pPr>
            <w:r w:rsidRPr="00E27C90">
              <w:rPr>
                <w:rFonts w:ascii="Calibri" w:eastAsia="Times New Roman" w:hAnsi="Calibri" w:cs="Calibri"/>
                <w:color w:val="000000"/>
              </w:rPr>
              <w:t>Total Expenditure</w:t>
            </w:r>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2014407</w:t>
            </w:r>
          </w:p>
        </w:tc>
        <w:tc>
          <w:tcPr>
            <w:tcW w:w="110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2146735</w:t>
            </w:r>
          </w:p>
        </w:tc>
        <w:tc>
          <w:tcPr>
            <w:tcW w:w="112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(+)132328</w:t>
            </w:r>
          </w:p>
        </w:tc>
        <w:tc>
          <w:tcPr>
            <w:tcW w:w="98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6.6</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13.4</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12.7</w:t>
            </w:r>
          </w:p>
        </w:tc>
      </w:tr>
      <w:tr w:rsidR="00C945FC" w:rsidRPr="00E27C90" w:rsidTr="00C945FC">
        <w:trPr>
          <w:trHeight w:val="600"/>
        </w:trPr>
        <w:tc>
          <w:tcPr>
            <w:tcW w:w="960" w:type="dxa"/>
            <w:shd w:val="clear" w:color="auto" w:fill="auto"/>
            <w:noWrap/>
            <w:vAlign w:val="bottom"/>
            <w:hideMark/>
          </w:tcPr>
          <w:p w:rsidR="00C945FC" w:rsidRPr="00E27C90" w:rsidRDefault="00C945FC" w:rsidP="00C945FC">
            <w:pPr>
              <w:spacing w:after="0" w:line="240" w:lineRule="auto"/>
              <w:rPr>
                <w:rFonts w:ascii="Calibri" w:eastAsia="Times New Roman" w:hAnsi="Calibri" w:cs="Calibri"/>
                <w:color w:val="000000"/>
              </w:rPr>
            </w:pPr>
          </w:p>
        </w:tc>
        <w:tc>
          <w:tcPr>
            <w:tcW w:w="1920" w:type="dxa"/>
            <w:shd w:val="clear" w:color="auto" w:fill="auto"/>
            <w:vAlign w:val="bottom"/>
            <w:hideMark/>
          </w:tcPr>
          <w:p w:rsidR="00C945FC" w:rsidRPr="00E27C90" w:rsidRDefault="00C945FC" w:rsidP="00C945FC">
            <w:pPr>
              <w:spacing w:after="0" w:line="240" w:lineRule="auto"/>
              <w:rPr>
                <w:rFonts w:ascii="Calibri" w:eastAsia="Times New Roman" w:hAnsi="Calibri" w:cs="Calibri"/>
                <w:color w:val="000000"/>
              </w:rPr>
            </w:pPr>
            <w:r w:rsidRPr="00E27C90">
              <w:rPr>
                <w:rFonts w:ascii="Calibri" w:eastAsia="Times New Roman" w:hAnsi="Calibri" w:cs="Calibri"/>
                <w:color w:val="000000"/>
              </w:rPr>
              <w:t>GDP at current market price</w:t>
            </w:r>
          </w:p>
        </w:tc>
        <w:tc>
          <w:tcPr>
            <w:tcW w:w="1109" w:type="dxa"/>
            <w:shd w:val="clear" w:color="auto" w:fill="auto"/>
            <w:vAlign w:val="center"/>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15075429</w:t>
            </w:r>
          </w:p>
        </w:tc>
        <w:tc>
          <w:tcPr>
            <w:tcW w:w="1109" w:type="dxa"/>
            <w:shd w:val="clear" w:color="auto" w:fill="auto"/>
            <w:vAlign w:val="center"/>
            <w:hideMark/>
          </w:tcPr>
          <w:p w:rsidR="00C945FC" w:rsidRPr="00E27C90" w:rsidRDefault="00C945FC" w:rsidP="00C945FC">
            <w:pPr>
              <w:spacing w:after="0" w:line="240" w:lineRule="auto"/>
              <w:jc w:val="center"/>
              <w:rPr>
                <w:rFonts w:ascii="Calibri" w:eastAsia="Times New Roman" w:hAnsi="Calibri" w:cs="Calibri"/>
                <w:color w:val="000000"/>
              </w:rPr>
            </w:pPr>
            <w:r w:rsidRPr="00E27C90">
              <w:rPr>
                <w:rFonts w:ascii="Calibri" w:eastAsia="Times New Roman" w:hAnsi="Calibri" w:cs="Calibri"/>
                <w:color w:val="000000"/>
              </w:rPr>
              <w:t>16847455</w:t>
            </w:r>
          </w:p>
        </w:tc>
        <w:tc>
          <w:tcPr>
            <w:tcW w:w="1129"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98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994" w:type="dxa"/>
            <w:shd w:val="clear" w:color="auto" w:fill="auto"/>
            <w:noWrap/>
            <w:vAlign w:val="bottom"/>
            <w:hideMark/>
          </w:tcPr>
          <w:p w:rsidR="00C945FC" w:rsidRPr="00E27C90" w:rsidRDefault="00C945FC" w:rsidP="00C945FC">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bl>
    <w:p w:rsidR="00C945FC" w:rsidRPr="00913DEB" w:rsidRDefault="00C945FC" w:rsidP="00C945FC">
      <w:pPr>
        <w:jc w:val="center"/>
        <w:rPr>
          <w:sz w:val="18"/>
        </w:rPr>
      </w:pPr>
      <w:r w:rsidRPr="00913DEB">
        <w:rPr>
          <w:sz w:val="18"/>
        </w:rPr>
        <w:t xml:space="preserve">Source: Compiled by CBGA from Budget at a glance, Union Budget documents, </w:t>
      </w:r>
      <w:proofErr w:type="gramStart"/>
      <w:r w:rsidRPr="00913DEB">
        <w:rPr>
          <w:sz w:val="18"/>
        </w:rPr>
        <w:t>Various</w:t>
      </w:r>
      <w:proofErr w:type="gramEnd"/>
      <w:r w:rsidRPr="00913DEB">
        <w:rPr>
          <w:sz w:val="18"/>
        </w:rPr>
        <w:t xml:space="preserve"> years</w:t>
      </w:r>
    </w:p>
    <w:p w:rsidR="00C945FC" w:rsidRPr="00913DEB" w:rsidRDefault="00C945FC" w:rsidP="00C945FC">
      <w:pPr>
        <w:jc w:val="both"/>
        <w:rPr>
          <w:sz w:val="18"/>
        </w:rPr>
      </w:pPr>
    </w:p>
    <w:p w:rsidR="0077157C" w:rsidRPr="0077157C" w:rsidRDefault="00BD4244" w:rsidP="0077157C">
      <w:pPr>
        <w:jc w:val="both"/>
        <w:rPr>
          <w:rFonts w:cstheme="minorHAnsi"/>
          <w:b/>
        </w:rPr>
      </w:pPr>
      <w:r w:rsidRPr="0077157C">
        <w:rPr>
          <w:rFonts w:cstheme="minorHAnsi"/>
          <w:b/>
        </w:rPr>
        <w:t xml:space="preserve">Allocations </w:t>
      </w:r>
      <w:r>
        <w:rPr>
          <w:rFonts w:cstheme="minorHAnsi"/>
          <w:b/>
        </w:rPr>
        <w:t>t</w:t>
      </w:r>
      <w:r w:rsidRPr="0077157C">
        <w:rPr>
          <w:rFonts w:cstheme="minorHAnsi"/>
          <w:b/>
        </w:rPr>
        <w:t>o Social Sector Programmes</w:t>
      </w:r>
    </w:p>
    <w:p w:rsidR="0077157C" w:rsidRPr="00D6474E" w:rsidRDefault="0077157C" w:rsidP="0077157C">
      <w:pPr>
        <w:jc w:val="both"/>
        <w:rPr>
          <w:rFonts w:cstheme="minorHAnsi"/>
        </w:rPr>
      </w:pPr>
      <w:r>
        <w:rPr>
          <w:rFonts w:cstheme="minorHAnsi"/>
        </w:rPr>
        <w:t>F</w:t>
      </w:r>
      <w:r w:rsidRPr="00A526D0">
        <w:rPr>
          <w:rFonts w:cstheme="minorHAnsi"/>
        </w:rPr>
        <w:t xml:space="preserve">or a host of social sector programmes, allocations </w:t>
      </w:r>
      <w:r w:rsidR="00216D09">
        <w:rPr>
          <w:rFonts w:cstheme="minorHAnsi"/>
        </w:rPr>
        <w:t xml:space="preserve">have been </w:t>
      </w:r>
      <w:r w:rsidR="00216D09" w:rsidRPr="00A526D0">
        <w:rPr>
          <w:rFonts w:cstheme="minorHAnsi"/>
        </w:rPr>
        <w:t xml:space="preserve">retained </w:t>
      </w:r>
      <w:r w:rsidRPr="00A526D0">
        <w:rPr>
          <w:rFonts w:cstheme="minorHAnsi"/>
        </w:rPr>
        <w:t xml:space="preserve">at almost similar levels as last year; </w:t>
      </w:r>
      <w:proofErr w:type="spellStart"/>
      <w:r w:rsidRPr="00B409C9">
        <w:rPr>
          <w:rFonts w:cstheme="minorHAnsi"/>
          <w:i/>
        </w:rPr>
        <w:t>Sarva</w:t>
      </w:r>
      <w:proofErr w:type="spellEnd"/>
      <w:r w:rsidRPr="00B409C9">
        <w:rPr>
          <w:rFonts w:cstheme="minorHAnsi"/>
          <w:i/>
        </w:rPr>
        <w:t xml:space="preserve"> </w:t>
      </w:r>
      <w:proofErr w:type="spellStart"/>
      <w:r w:rsidRPr="00B409C9">
        <w:rPr>
          <w:rFonts w:cstheme="minorHAnsi"/>
          <w:i/>
        </w:rPr>
        <w:t>Shiksha</w:t>
      </w:r>
      <w:proofErr w:type="spellEnd"/>
      <w:r w:rsidRPr="00B409C9">
        <w:rPr>
          <w:rFonts w:cstheme="minorHAnsi"/>
          <w:i/>
        </w:rPr>
        <w:t xml:space="preserve"> </w:t>
      </w:r>
      <w:proofErr w:type="spellStart"/>
      <w:r w:rsidRPr="00B409C9">
        <w:rPr>
          <w:rFonts w:cstheme="minorHAnsi"/>
          <w:i/>
        </w:rPr>
        <w:t>Abhiyan</w:t>
      </w:r>
      <w:proofErr w:type="spellEnd"/>
      <w:r w:rsidRPr="00A526D0">
        <w:rPr>
          <w:rFonts w:cstheme="minorHAnsi"/>
        </w:rPr>
        <w:t xml:space="preserve"> </w:t>
      </w:r>
      <w:r>
        <w:rPr>
          <w:rFonts w:cstheme="minorHAnsi"/>
        </w:rPr>
        <w:t xml:space="preserve">outlays are projected to </w:t>
      </w:r>
      <w:r w:rsidRPr="00A526D0">
        <w:rPr>
          <w:rFonts w:cstheme="minorHAnsi"/>
        </w:rPr>
        <w:t xml:space="preserve">increase by </w:t>
      </w:r>
      <w:r w:rsidR="005E1033">
        <w:rPr>
          <w:rFonts w:cstheme="minorHAnsi"/>
        </w:rPr>
        <w:t xml:space="preserve">a mere </w:t>
      </w:r>
      <w:proofErr w:type="spellStart"/>
      <w:r w:rsidRPr="00A526D0">
        <w:rPr>
          <w:rFonts w:cstheme="minorHAnsi"/>
        </w:rPr>
        <w:t>Rs</w:t>
      </w:r>
      <w:proofErr w:type="spellEnd"/>
      <w:r w:rsidRPr="00A526D0">
        <w:rPr>
          <w:rFonts w:cstheme="minorHAnsi"/>
        </w:rPr>
        <w:t>. 1</w:t>
      </w:r>
      <w:r w:rsidR="00216D09">
        <w:rPr>
          <w:rFonts w:cstheme="minorHAnsi"/>
        </w:rPr>
        <w:t>,</w:t>
      </w:r>
      <w:r w:rsidRPr="00A526D0">
        <w:rPr>
          <w:rFonts w:cstheme="minorHAnsi"/>
        </w:rPr>
        <w:t>000 crore in 2017-18</w:t>
      </w:r>
      <w:r w:rsidR="00241978">
        <w:rPr>
          <w:rFonts w:cstheme="minorHAnsi"/>
        </w:rPr>
        <w:t xml:space="preserve"> (BE)</w:t>
      </w:r>
      <w:r w:rsidRPr="00A526D0">
        <w:rPr>
          <w:rFonts w:cstheme="minorHAnsi"/>
        </w:rPr>
        <w:t xml:space="preserve">, from </w:t>
      </w:r>
      <w:proofErr w:type="spellStart"/>
      <w:r w:rsidR="00636E37" w:rsidRPr="00A526D0">
        <w:rPr>
          <w:rFonts w:cstheme="minorHAnsi"/>
        </w:rPr>
        <w:t>Rs</w:t>
      </w:r>
      <w:proofErr w:type="spellEnd"/>
      <w:r w:rsidR="00636E37" w:rsidRPr="00A526D0">
        <w:rPr>
          <w:rFonts w:cstheme="minorHAnsi"/>
        </w:rPr>
        <w:t xml:space="preserve">. 22,500 crore </w:t>
      </w:r>
      <w:r w:rsidR="00636E37">
        <w:rPr>
          <w:rFonts w:cstheme="minorHAnsi"/>
        </w:rPr>
        <w:t xml:space="preserve">in </w:t>
      </w:r>
      <w:r w:rsidRPr="00A526D0">
        <w:rPr>
          <w:rFonts w:cstheme="minorHAnsi"/>
        </w:rPr>
        <w:t xml:space="preserve">2016-17 (RE). The allocation for </w:t>
      </w:r>
      <w:proofErr w:type="spellStart"/>
      <w:r w:rsidRPr="00B409C9">
        <w:rPr>
          <w:rFonts w:cstheme="minorHAnsi"/>
          <w:i/>
        </w:rPr>
        <w:t>Rashtriya</w:t>
      </w:r>
      <w:proofErr w:type="spellEnd"/>
      <w:r w:rsidRPr="00B409C9">
        <w:rPr>
          <w:rFonts w:cstheme="minorHAnsi"/>
          <w:i/>
        </w:rPr>
        <w:t xml:space="preserve"> </w:t>
      </w:r>
      <w:proofErr w:type="spellStart"/>
      <w:r w:rsidRPr="00B409C9">
        <w:rPr>
          <w:rFonts w:cstheme="minorHAnsi"/>
          <w:i/>
        </w:rPr>
        <w:t>Madhyamik</w:t>
      </w:r>
      <w:proofErr w:type="spellEnd"/>
      <w:r w:rsidRPr="00B409C9">
        <w:rPr>
          <w:rFonts w:cstheme="minorHAnsi"/>
          <w:i/>
        </w:rPr>
        <w:t xml:space="preserve"> </w:t>
      </w:r>
      <w:proofErr w:type="spellStart"/>
      <w:r w:rsidRPr="00B409C9">
        <w:rPr>
          <w:rFonts w:cstheme="minorHAnsi"/>
          <w:i/>
        </w:rPr>
        <w:t>Shiksha</w:t>
      </w:r>
      <w:proofErr w:type="spellEnd"/>
      <w:r w:rsidRPr="00B409C9">
        <w:rPr>
          <w:rFonts w:cstheme="minorHAnsi"/>
          <w:i/>
        </w:rPr>
        <w:t xml:space="preserve"> </w:t>
      </w:r>
      <w:proofErr w:type="spellStart"/>
      <w:r w:rsidRPr="00B409C9">
        <w:rPr>
          <w:rFonts w:cstheme="minorHAnsi"/>
          <w:i/>
        </w:rPr>
        <w:t>Abhiyan</w:t>
      </w:r>
      <w:proofErr w:type="spellEnd"/>
      <w:r w:rsidRPr="00A526D0">
        <w:rPr>
          <w:rFonts w:cstheme="minorHAnsi"/>
        </w:rPr>
        <w:t xml:space="preserve"> too shows a marginal increase from Rs. 3,700 crore in 2016-17 (RE) to Rs. 3,830 crore in 2017-18 (BE). The allocation for Mid-Day Meal scheme </w:t>
      </w:r>
      <w:r w:rsidR="005E1033">
        <w:rPr>
          <w:rFonts w:cstheme="minorHAnsi"/>
        </w:rPr>
        <w:t xml:space="preserve">has </w:t>
      </w:r>
      <w:r w:rsidR="005E1033" w:rsidRPr="00A526D0">
        <w:rPr>
          <w:rFonts w:cstheme="minorHAnsi"/>
        </w:rPr>
        <w:t>witnesse</w:t>
      </w:r>
      <w:r w:rsidR="005E1033">
        <w:rPr>
          <w:rFonts w:cstheme="minorHAnsi"/>
        </w:rPr>
        <w:t>d</w:t>
      </w:r>
      <w:r w:rsidR="005E1033" w:rsidRPr="00A526D0">
        <w:rPr>
          <w:rFonts w:cstheme="minorHAnsi"/>
        </w:rPr>
        <w:t xml:space="preserve"> </w:t>
      </w:r>
      <w:r w:rsidRPr="00A526D0">
        <w:rPr>
          <w:rFonts w:cstheme="minorHAnsi"/>
        </w:rPr>
        <w:t xml:space="preserve">a very small increase from Rs. 9,700 crore in 2016-17 (RE) to Rs. 10,000 crore in 2017-18 (BE). There is a moderate rise in allocation for National Rural Drinking Water </w:t>
      </w:r>
      <w:proofErr w:type="spellStart"/>
      <w:r w:rsidRPr="00A526D0">
        <w:rPr>
          <w:rFonts w:cstheme="minorHAnsi"/>
        </w:rPr>
        <w:t>Programme</w:t>
      </w:r>
      <w:proofErr w:type="spellEnd"/>
      <w:r w:rsidRPr="00A526D0">
        <w:rPr>
          <w:rFonts w:cstheme="minorHAnsi"/>
        </w:rPr>
        <w:t xml:space="preserve"> from </w:t>
      </w:r>
      <w:proofErr w:type="spellStart"/>
      <w:r w:rsidRPr="00A526D0">
        <w:rPr>
          <w:rFonts w:cstheme="minorHAnsi"/>
        </w:rPr>
        <w:t>Rs</w:t>
      </w:r>
      <w:proofErr w:type="spellEnd"/>
      <w:r w:rsidRPr="00A526D0">
        <w:rPr>
          <w:rFonts w:cstheme="minorHAnsi"/>
        </w:rPr>
        <w:t xml:space="preserve">. 6,000 crore in 2016-17 (RE) to Rs. 6,050 crore in 2017-18 (BE); the outlay for </w:t>
      </w:r>
      <w:proofErr w:type="spellStart"/>
      <w:r w:rsidRPr="00B409C9">
        <w:rPr>
          <w:rFonts w:cstheme="minorHAnsi"/>
          <w:i/>
        </w:rPr>
        <w:t>Pradhan</w:t>
      </w:r>
      <w:proofErr w:type="spellEnd"/>
      <w:r w:rsidRPr="00B409C9">
        <w:rPr>
          <w:rFonts w:cstheme="minorHAnsi"/>
          <w:i/>
        </w:rPr>
        <w:t xml:space="preserve"> </w:t>
      </w:r>
      <w:proofErr w:type="spellStart"/>
      <w:r w:rsidRPr="00B409C9">
        <w:rPr>
          <w:rFonts w:cstheme="minorHAnsi"/>
          <w:i/>
        </w:rPr>
        <w:t>Mantri</w:t>
      </w:r>
      <w:proofErr w:type="spellEnd"/>
      <w:r w:rsidRPr="00B409C9">
        <w:rPr>
          <w:rFonts w:cstheme="minorHAnsi"/>
          <w:i/>
        </w:rPr>
        <w:t xml:space="preserve"> Gram </w:t>
      </w:r>
      <w:proofErr w:type="spellStart"/>
      <w:r w:rsidRPr="00B409C9">
        <w:rPr>
          <w:rFonts w:cstheme="minorHAnsi"/>
          <w:i/>
        </w:rPr>
        <w:t>Sadak</w:t>
      </w:r>
      <w:proofErr w:type="spellEnd"/>
      <w:r w:rsidRPr="00B409C9">
        <w:rPr>
          <w:rFonts w:cstheme="minorHAnsi"/>
          <w:i/>
        </w:rPr>
        <w:t xml:space="preserve"> </w:t>
      </w:r>
      <w:proofErr w:type="spellStart"/>
      <w:r w:rsidRPr="00B409C9">
        <w:rPr>
          <w:rFonts w:cstheme="minorHAnsi"/>
          <w:i/>
        </w:rPr>
        <w:t>Yojana</w:t>
      </w:r>
      <w:proofErr w:type="spellEnd"/>
      <w:r w:rsidRPr="00A526D0">
        <w:rPr>
          <w:rFonts w:cstheme="minorHAnsi"/>
        </w:rPr>
        <w:t xml:space="preserve"> remains stagnant at Rs. 19,000 core, and the budget for MGNREGA in 2017-18 (BE), at Rs. 48,000 crore, is nearly the same as its outlay of Rs. 47,499 crore in 2016-17 (RE). The National Social Assistance Programme (which covers old age pension, widow pension and disability pension schemes) at Rs. 9,500 crore</w:t>
      </w:r>
      <w:r w:rsidR="00241978">
        <w:rPr>
          <w:rFonts w:cstheme="minorHAnsi"/>
        </w:rPr>
        <w:t xml:space="preserve"> </w:t>
      </w:r>
      <w:r w:rsidR="004B6509">
        <w:rPr>
          <w:rFonts w:cstheme="minorHAnsi"/>
        </w:rPr>
        <w:t xml:space="preserve">in 2017-18 (BE) </w:t>
      </w:r>
      <w:r w:rsidR="00241978">
        <w:rPr>
          <w:rFonts w:cstheme="minorHAnsi"/>
        </w:rPr>
        <w:t xml:space="preserve">too has </w:t>
      </w:r>
      <w:r w:rsidR="00241978" w:rsidRPr="00A526D0">
        <w:rPr>
          <w:rFonts w:cstheme="minorHAnsi"/>
        </w:rPr>
        <w:t>remain</w:t>
      </w:r>
      <w:r w:rsidR="00241978">
        <w:rPr>
          <w:rFonts w:cstheme="minorHAnsi"/>
        </w:rPr>
        <w:t>ed</w:t>
      </w:r>
      <w:r w:rsidR="00241978" w:rsidRPr="00A526D0">
        <w:rPr>
          <w:rFonts w:cstheme="minorHAnsi"/>
        </w:rPr>
        <w:t xml:space="preserve"> </w:t>
      </w:r>
      <w:r w:rsidRPr="00A526D0">
        <w:rPr>
          <w:rFonts w:cstheme="minorHAnsi"/>
        </w:rPr>
        <w:t>at the same level as 2016-17 (RE)</w:t>
      </w:r>
      <w:r w:rsidR="004B6509">
        <w:rPr>
          <w:rFonts w:cstheme="minorHAnsi"/>
        </w:rPr>
        <w:t xml:space="preserve">. </w:t>
      </w:r>
      <w:r w:rsidRPr="00A526D0">
        <w:rPr>
          <w:rFonts w:cstheme="minorHAnsi"/>
        </w:rPr>
        <w:t xml:space="preserve">For Atal Mission for Rejuvenation and Urban Transformation (AMRUT), the allocation for 2017-18 </w:t>
      </w:r>
      <w:r w:rsidR="004B6509">
        <w:rPr>
          <w:rFonts w:cstheme="minorHAnsi"/>
        </w:rPr>
        <w:t>(</w:t>
      </w:r>
      <w:r w:rsidRPr="00A526D0">
        <w:rPr>
          <w:rFonts w:cstheme="minorHAnsi"/>
        </w:rPr>
        <w:t>BE</w:t>
      </w:r>
      <w:r w:rsidR="004B6509">
        <w:rPr>
          <w:rFonts w:cstheme="minorHAnsi"/>
        </w:rPr>
        <w:t>)</w:t>
      </w:r>
      <w:r w:rsidRPr="00A526D0">
        <w:rPr>
          <w:rFonts w:cstheme="minorHAnsi"/>
        </w:rPr>
        <w:t xml:space="preserve"> at Rs. 5,000 crore is not much higher from the 2016-17 (RE) outlay of Rs. 4,883.5 crore. </w:t>
      </w:r>
      <w:r>
        <w:rPr>
          <w:rFonts w:cstheme="minorHAnsi"/>
        </w:rPr>
        <w:t>I</w:t>
      </w:r>
      <w:r w:rsidRPr="00D6474E">
        <w:rPr>
          <w:rFonts w:cstheme="minorHAnsi"/>
        </w:rPr>
        <w:t xml:space="preserve">n the wake of </w:t>
      </w:r>
      <w:r>
        <w:rPr>
          <w:rFonts w:cstheme="minorHAnsi"/>
        </w:rPr>
        <w:t>a slowdown</w:t>
      </w:r>
      <w:r w:rsidRPr="00D6474E">
        <w:rPr>
          <w:rFonts w:cstheme="minorHAnsi"/>
        </w:rPr>
        <w:t xml:space="preserve"> in a number of sectors at present, an expansionary fiscal policy is the need of the hour</w:t>
      </w:r>
      <w:r>
        <w:rPr>
          <w:rFonts w:cstheme="minorHAnsi"/>
        </w:rPr>
        <w:t>.</w:t>
      </w:r>
      <w:r w:rsidRPr="00D6474E">
        <w:rPr>
          <w:rFonts w:cstheme="minorHAnsi"/>
        </w:rPr>
        <w:t xml:space="preserve"> </w:t>
      </w:r>
      <w:r>
        <w:rPr>
          <w:rFonts w:cstheme="minorHAnsi"/>
        </w:rPr>
        <w:t xml:space="preserve">Also, </w:t>
      </w:r>
      <w:r w:rsidRPr="00A526D0">
        <w:rPr>
          <w:rFonts w:cstheme="minorHAnsi"/>
        </w:rPr>
        <w:t>given the push being made to expedite fund flow and improve utilisation of resources, the Finance Ministry should have increased the budgetary priority for these important interventions.</w:t>
      </w:r>
      <w:r>
        <w:rPr>
          <w:rFonts w:cstheme="minorHAnsi"/>
        </w:rPr>
        <w:t xml:space="preserve"> </w:t>
      </w:r>
    </w:p>
    <w:p w:rsidR="0077157C" w:rsidRDefault="0077157C" w:rsidP="0077157C">
      <w:pPr>
        <w:spacing w:after="0"/>
        <w:jc w:val="both"/>
        <w:rPr>
          <w:rFonts w:ascii="Calibri" w:eastAsia="Calibri" w:hAnsi="Calibri" w:cs="Calibri"/>
          <w:b/>
          <w:bCs/>
        </w:rPr>
      </w:pPr>
      <w:r>
        <w:rPr>
          <w:rFonts w:cstheme="minorHAnsi"/>
        </w:rPr>
        <w:t>A</w:t>
      </w:r>
      <w:r w:rsidRPr="00D6474E">
        <w:rPr>
          <w:rFonts w:cstheme="minorHAnsi"/>
        </w:rPr>
        <w:t xml:space="preserve"> </w:t>
      </w:r>
      <w:r>
        <w:rPr>
          <w:rFonts w:cstheme="minorHAnsi"/>
        </w:rPr>
        <w:t>handful of</w:t>
      </w:r>
      <w:r w:rsidRPr="00D6474E">
        <w:rPr>
          <w:rFonts w:cstheme="minorHAnsi"/>
        </w:rPr>
        <w:t xml:space="preserve"> programmes have witnessed a visible hike in outlay </w:t>
      </w:r>
      <w:r w:rsidR="00636E37">
        <w:rPr>
          <w:rFonts w:cstheme="minorHAnsi"/>
        </w:rPr>
        <w:t>in</w:t>
      </w:r>
      <w:r w:rsidR="00636E37" w:rsidRPr="00D6474E">
        <w:rPr>
          <w:rFonts w:cstheme="minorHAnsi"/>
        </w:rPr>
        <w:t xml:space="preserve"> </w:t>
      </w:r>
      <w:r w:rsidRPr="00D6474E">
        <w:rPr>
          <w:rFonts w:cstheme="minorHAnsi"/>
        </w:rPr>
        <w:t>2017</w:t>
      </w:r>
      <w:r w:rsidRPr="00A526D0">
        <w:rPr>
          <w:rFonts w:cstheme="minorHAnsi"/>
        </w:rPr>
        <w:t xml:space="preserve">-18 (BE) as compared to 2016-17 (RE). </w:t>
      </w:r>
      <w:r w:rsidR="00636E37">
        <w:rPr>
          <w:rFonts w:cstheme="minorHAnsi"/>
        </w:rPr>
        <w:t xml:space="preserve">The allocation for </w:t>
      </w:r>
      <w:proofErr w:type="spellStart"/>
      <w:r w:rsidRPr="00A526D0">
        <w:rPr>
          <w:rFonts w:cstheme="minorHAnsi"/>
        </w:rPr>
        <w:t>Pradhan</w:t>
      </w:r>
      <w:proofErr w:type="spellEnd"/>
      <w:r w:rsidRPr="00A526D0">
        <w:rPr>
          <w:rFonts w:cstheme="minorHAnsi"/>
        </w:rPr>
        <w:t xml:space="preserve"> </w:t>
      </w:r>
      <w:proofErr w:type="spellStart"/>
      <w:r w:rsidRPr="00A526D0">
        <w:rPr>
          <w:rFonts w:cstheme="minorHAnsi"/>
        </w:rPr>
        <w:t>Mantri</w:t>
      </w:r>
      <w:proofErr w:type="spellEnd"/>
      <w:r w:rsidRPr="00A526D0">
        <w:rPr>
          <w:rFonts w:cstheme="minorHAnsi"/>
        </w:rPr>
        <w:t xml:space="preserve"> </w:t>
      </w:r>
      <w:proofErr w:type="spellStart"/>
      <w:r w:rsidRPr="00A526D0">
        <w:rPr>
          <w:rFonts w:cstheme="minorHAnsi"/>
        </w:rPr>
        <w:t>Awas</w:t>
      </w:r>
      <w:proofErr w:type="spellEnd"/>
      <w:r w:rsidRPr="00A526D0">
        <w:rPr>
          <w:rFonts w:cstheme="minorHAnsi"/>
        </w:rPr>
        <w:t xml:space="preserve"> </w:t>
      </w:r>
      <w:proofErr w:type="spellStart"/>
      <w:r w:rsidRPr="00A526D0">
        <w:rPr>
          <w:rFonts w:cstheme="minorHAnsi"/>
        </w:rPr>
        <w:t>Yojana</w:t>
      </w:r>
      <w:proofErr w:type="spellEnd"/>
      <w:r w:rsidRPr="00A526D0">
        <w:rPr>
          <w:rFonts w:cstheme="minorHAnsi"/>
        </w:rPr>
        <w:t xml:space="preserve"> has gone up from Rs. 20,936 </w:t>
      </w:r>
      <w:proofErr w:type="spellStart"/>
      <w:r w:rsidRPr="00A526D0">
        <w:rPr>
          <w:rFonts w:cstheme="minorHAnsi"/>
        </w:rPr>
        <w:t>crore</w:t>
      </w:r>
      <w:proofErr w:type="spellEnd"/>
      <w:r w:rsidRPr="00A526D0">
        <w:rPr>
          <w:rFonts w:cstheme="minorHAnsi"/>
        </w:rPr>
        <w:t xml:space="preserve"> to </w:t>
      </w:r>
      <w:proofErr w:type="spellStart"/>
      <w:r w:rsidRPr="00A526D0">
        <w:rPr>
          <w:rFonts w:cstheme="minorHAnsi"/>
        </w:rPr>
        <w:t>Rs</w:t>
      </w:r>
      <w:proofErr w:type="spellEnd"/>
      <w:r w:rsidRPr="00A526D0">
        <w:rPr>
          <w:rFonts w:cstheme="minorHAnsi"/>
        </w:rPr>
        <w:t xml:space="preserve">. 29,043 </w:t>
      </w:r>
      <w:proofErr w:type="spellStart"/>
      <w:r w:rsidRPr="00A526D0">
        <w:rPr>
          <w:rFonts w:cstheme="minorHAnsi"/>
        </w:rPr>
        <w:t>crore</w:t>
      </w:r>
      <w:proofErr w:type="spellEnd"/>
      <w:r w:rsidRPr="00A526D0">
        <w:rPr>
          <w:rFonts w:cstheme="minorHAnsi"/>
        </w:rPr>
        <w:t xml:space="preserve">; </w:t>
      </w:r>
      <w:proofErr w:type="spellStart"/>
      <w:r w:rsidRPr="0077157C">
        <w:rPr>
          <w:rFonts w:cstheme="minorHAnsi"/>
          <w:i/>
        </w:rPr>
        <w:t>Pradhan</w:t>
      </w:r>
      <w:proofErr w:type="spellEnd"/>
      <w:r w:rsidRPr="00A526D0">
        <w:rPr>
          <w:rFonts w:cstheme="minorHAnsi"/>
        </w:rPr>
        <w:t xml:space="preserve"> </w:t>
      </w:r>
      <w:proofErr w:type="spellStart"/>
      <w:r w:rsidRPr="0077157C">
        <w:rPr>
          <w:rFonts w:cstheme="minorHAnsi"/>
          <w:i/>
        </w:rPr>
        <w:t>Mantri</w:t>
      </w:r>
      <w:proofErr w:type="spellEnd"/>
      <w:r w:rsidRPr="0077157C">
        <w:rPr>
          <w:rFonts w:cstheme="minorHAnsi"/>
          <w:i/>
        </w:rPr>
        <w:t xml:space="preserve"> </w:t>
      </w:r>
      <w:proofErr w:type="spellStart"/>
      <w:r w:rsidRPr="0077157C">
        <w:rPr>
          <w:rFonts w:cstheme="minorHAnsi"/>
          <w:i/>
        </w:rPr>
        <w:t>Krishi</w:t>
      </w:r>
      <w:proofErr w:type="spellEnd"/>
      <w:r w:rsidRPr="0077157C">
        <w:rPr>
          <w:rFonts w:cstheme="minorHAnsi"/>
          <w:i/>
        </w:rPr>
        <w:t xml:space="preserve"> </w:t>
      </w:r>
      <w:proofErr w:type="spellStart"/>
      <w:r w:rsidRPr="0077157C">
        <w:rPr>
          <w:rFonts w:cstheme="minorHAnsi"/>
          <w:i/>
        </w:rPr>
        <w:t>Sinchai</w:t>
      </w:r>
      <w:proofErr w:type="spellEnd"/>
      <w:r w:rsidRPr="0077157C">
        <w:rPr>
          <w:rFonts w:cstheme="minorHAnsi"/>
          <w:i/>
        </w:rPr>
        <w:t xml:space="preserve"> </w:t>
      </w:r>
      <w:proofErr w:type="spellStart"/>
      <w:r w:rsidRPr="0077157C">
        <w:rPr>
          <w:rFonts w:cstheme="minorHAnsi"/>
          <w:i/>
        </w:rPr>
        <w:t>Yojana</w:t>
      </w:r>
      <w:proofErr w:type="spellEnd"/>
      <w:r w:rsidRPr="00A526D0">
        <w:rPr>
          <w:rFonts w:cstheme="minorHAnsi"/>
        </w:rPr>
        <w:t xml:space="preserve"> has </w:t>
      </w:r>
      <w:r>
        <w:rPr>
          <w:rFonts w:cstheme="minorHAnsi"/>
        </w:rPr>
        <w:t>been stepped up</w:t>
      </w:r>
      <w:r w:rsidRPr="00A526D0">
        <w:rPr>
          <w:rFonts w:cstheme="minorHAnsi"/>
        </w:rPr>
        <w:t xml:space="preserve"> to Rs. 7,377 </w:t>
      </w:r>
      <w:proofErr w:type="spellStart"/>
      <w:r w:rsidRPr="00A526D0">
        <w:rPr>
          <w:rFonts w:cstheme="minorHAnsi"/>
        </w:rPr>
        <w:t>crore</w:t>
      </w:r>
      <w:proofErr w:type="spellEnd"/>
      <w:r w:rsidRPr="00A526D0">
        <w:rPr>
          <w:rFonts w:cstheme="minorHAnsi"/>
        </w:rPr>
        <w:t xml:space="preserve"> from </w:t>
      </w:r>
      <w:proofErr w:type="spellStart"/>
      <w:r w:rsidRPr="00A526D0">
        <w:rPr>
          <w:rFonts w:cstheme="minorHAnsi"/>
        </w:rPr>
        <w:t>Rs</w:t>
      </w:r>
      <w:proofErr w:type="spellEnd"/>
      <w:r w:rsidRPr="00A526D0">
        <w:rPr>
          <w:rFonts w:cstheme="minorHAnsi"/>
        </w:rPr>
        <w:t xml:space="preserve">. 5,189 </w:t>
      </w:r>
      <w:proofErr w:type="spellStart"/>
      <w:r w:rsidRPr="00A526D0">
        <w:rPr>
          <w:rFonts w:cstheme="minorHAnsi"/>
        </w:rPr>
        <w:t>crore</w:t>
      </w:r>
      <w:proofErr w:type="spellEnd"/>
      <w:r w:rsidRPr="00A526D0">
        <w:rPr>
          <w:rFonts w:cstheme="minorHAnsi"/>
        </w:rPr>
        <w:t xml:space="preserve">, </w:t>
      </w:r>
      <w:proofErr w:type="spellStart"/>
      <w:r w:rsidRPr="0077157C">
        <w:rPr>
          <w:rFonts w:cstheme="minorHAnsi"/>
          <w:i/>
        </w:rPr>
        <w:t>Swachh</w:t>
      </w:r>
      <w:proofErr w:type="spellEnd"/>
      <w:r w:rsidRPr="0077157C">
        <w:rPr>
          <w:rFonts w:cstheme="minorHAnsi"/>
          <w:i/>
        </w:rPr>
        <w:t xml:space="preserve"> Bharat</w:t>
      </w:r>
      <w:r w:rsidRPr="00A526D0">
        <w:rPr>
          <w:rFonts w:cstheme="minorHAnsi"/>
        </w:rPr>
        <w:t xml:space="preserve"> Mission </w:t>
      </w:r>
      <w:r>
        <w:rPr>
          <w:rFonts w:cstheme="minorHAnsi"/>
        </w:rPr>
        <w:t xml:space="preserve">saw a rise </w:t>
      </w:r>
      <w:r w:rsidRPr="00A526D0">
        <w:rPr>
          <w:rFonts w:cstheme="minorHAnsi"/>
        </w:rPr>
        <w:t xml:space="preserve">to Rs. 16,248 </w:t>
      </w:r>
      <w:proofErr w:type="spellStart"/>
      <w:r w:rsidRPr="00A526D0">
        <w:rPr>
          <w:rFonts w:cstheme="minorHAnsi"/>
        </w:rPr>
        <w:t>crore</w:t>
      </w:r>
      <w:proofErr w:type="spellEnd"/>
      <w:r w:rsidRPr="00A526D0">
        <w:rPr>
          <w:rFonts w:cstheme="minorHAnsi"/>
        </w:rPr>
        <w:t xml:space="preserve"> from </w:t>
      </w:r>
      <w:proofErr w:type="spellStart"/>
      <w:r w:rsidRPr="00A526D0">
        <w:rPr>
          <w:rFonts w:cstheme="minorHAnsi"/>
        </w:rPr>
        <w:t>Rs</w:t>
      </w:r>
      <w:proofErr w:type="spellEnd"/>
      <w:r w:rsidRPr="00A526D0">
        <w:rPr>
          <w:rFonts w:cstheme="minorHAnsi"/>
        </w:rPr>
        <w:t>. 12,800 crore</w:t>
      </w:r>
      <w:r>
        <w:rPr>
          <w:rFonts w:cstheme="minorHAnsi"/>
        </w:rPr>
        <w:t>,</w:t>
      </w:r>
      <w:r w:rsidRPr="00A526D0">
        <w:rPr>
          <w:rFonts w:cstheme="minorHAnsi"/>
        </w:rPr>
        <w:t xml:space="preserve"> National Health Mission has been allocated Rs. 27,131 </w:t>
      </w:r>
      <w:proofErr w:type="spellStart"/>
      <w:r w:rsidRPr="00A526D0">
        <w:rPr>
          <w:rFonts w:cstheme="minorHAnsi"/>
        </w:rPr>
        <w:t>crore</w:t>
      </w:r>
      <w:proofErr w:type="spellEnd"/>
      <w:r w:rsidRPr="00A526D0">
        <w:rPr>
          <w:rFonts w:cstheme="minorHAnsi"/>
        </w:rPr>
        <w:t xml:space="preserve"> </w:t>
      </w:r>
      <w:r>
        <w:rPr>
          <w:rFonts w:cstheme="minorHAnsi"/>
        </w:rPr>
        <w:t xml:space="preserve">as </w:t>
      </w:r>
      <w:r w:rsidRPr="00A526D0">
        <w:rPr>
          <w:rFonts w:cstheme="minorHAnsi"/>
        </w:rPr>
        <w:t xml:space="preserve">against </w:t>
      </w:r>
      <w:proofErr w:type="spellStart"/>
      <w:r w:rsidRPr="00A526D0">
        <w:rPr>
          <w:rFonts w:cstheme="minorHAnsi"/>
        </w:rPr>
        <w:t>Rs</w:t>
      </w:r>
      <w:proofErr w:type="spellEnd"/>
      <w:r w:rsidRPr="00A526D0">
        <w:rPr>
          <w:rFonts w:cstheme="minorHAnsi"/>
        </w:rPr>
        <w:t xml:space="preserve">. 22,598 crore in </w:t>
      </w:r>
      <w:r>
        <w:rPr>
          <w:rFonts w:cstheme="minorHAnsi"/>
        </w:rPr>
        <w:t xml:space="preserve">the </w:t>
      </w:r>
      <w:r w:rsidRPr="00A526D0">
        <w:rPr>
          <w:rFonts w:cstheme="minorHAnsi"/>
        </w:rPr>
        <w:t xml:space="preserve">revised estimates, </w:t>
      </w:r>
      <w:proofErr w:type="spellStart"/>
      <w:r w:rsidRPr="0077157C">
        <w:rPr>
          <w:rFonts w:cstheme="minorHAnsi"/>
          <w:i/>
        </w:rPr>
        <w:t>Pradhan</w:t>
      </w:r>
      <w:proofErr w:type="spellEnd"/>
      <w:r w:rsidRPr="0077157C">
        <w:rPr>
          <w:rFonts w:cstheme="minorHAnsi"/>
          <w:i/>
        </w:rPr>
        <w:t xml:space="preserve"> </w:t>
      </w:r>
      <w:proofErr w:type="spellStart"/>
      <w:r w:rsidRPr="0077157C">
        <w:rPr>
          <w:rFonts w:cstheme="minorHAnsi"/>
          <w:i/>
        </w:rPr>
        <w:t>Mantri</w:t>
      </w:r>
      <w:proofErr w:type="spellEnd"/>
      <w:r w:rsidRPr="0077157C">
        <w:rPr>
          <w:rFonts w:cstheme="minorHAnsi"/>
          <w:i/>
        </w:rPr>
        <w:t xml:space="preserve"> </w:t>
      </w:r>
      <w:proofErr w:type="spellStart"/>
      <w:r w:rsidRPr="0077157C">
        <w:rPr>
          <w:rFonts w:cstheme="minorHAnsi"/>
          <w:i/>
        </w:rPr>
        <w:t>Swasthya</w:t>
      </w:r>
      <w:proofErr w:type="spellEnd"/>
      <w:r w:rsidRPr="0077157C">
        <w:rPr>
          <w:rFonts w:cstheme="minorHAnsi"/>
          <w:i/>
        </w:rPr>
        <w:t xml:space="preserve"> </w:t>
      </w:r>
      <w:proofErr w:type="spellStart"/>
      <w:r w:rsidRPr="0077157C">
        <w:rPr>
          <w:rFonts w:cstheme="minorHAnsi"/>
          <w:i/>
        </w:rPr>
        <w:t>Suraksha</w:t>
      </w:r>
      <w:proofErr w:type="spellEnd"/>
      <w:r w:rsidRPr="00A526D0">
        <w:rPr>
          <w:rFonts w:cstheme="minorHAnsi"/>
        </w:rPr>
        <w:t xml:space="preserve"> </w:t>
      </w:r>
      <w:proofErr w:type="spellStart"/>
      <w:r w:rsidRPr="0077157C">
        <w:rPr>
          <w:rFonts w:cstheme="minorHAnsi"/>
          <w:i/>
        </w:rPr>
        <w:t>Yojana</w:t>
      </w:r>
      <w:proofErr w:type="spellEnd"/>
      <w:r w:rsidRPr="00A526D0">
        <w:rPr>
          <w:rFonts w:cstheme="minorHAnsi"/>
        </w:rPr>
        <w:t xml:space="preserve"> jumped to </w:t>
      </w:r>
      <w:proofErr w:type="spellStart"/>
      <w:r w:rsidRPr="00A526D0">
        <w:rPr>
          <w:rFonts w:cstheme="minorHAnsi"/>
        </w:rPr>
        <w:t>Rs</w:t>
      </w:r>
      <w:proofErr w:type="spellEnd"/>
      <w:r w:rsidRPr="00A526D0">
        <w:rPr>
          <w:rFonts w:cstheme="minorHAnsi"/>
        </w:rPr>
        <w:t xml:space="preserve">. 3,975 </w:t>
      </w:r>
      <w:proofErr w:type="spellStart"/>
      <w:r w:rsidRPr="00A526D0">
        <w:rPr>
          <w:rFonts w:cstheme="minorHAnsi"/>
        </w:rPr>
        <w:t>crore</w:t>
      </w:r>
      <w:proofErr w:type="spellEnd"/>
      <w:r w:rsidRPr="00A526D0">
        <w:rPr>
          <w:rFonts w:cstheme="minorHAnsi"/>
        </w:rPr>
        <w:t xml:space="preserve">  from </w:t>
      </w:r>
      <w:proofErr w:type="spellStart"/>
      <w:r w:rsidRPr="00A526D0">
        <w:rPr>
          <w:rFonts w:cstheme="minorHAnsi"/>
        </w:rPr>
        <w:t>Rs</w:t>
      </w:r>
      <w:proofErr w:type="spellEnd"/>
      <w:r w:rsidRPr="00A526D0">
        <w:rPr>
          <w:rFonts w:cstheme="minorHAnsi"/>
        </w:rPr>
        <w:t xml:space="preserve">. 1,953 crore, National Nutrition Mission </w:t>
      </w:r>
      <w:r>
        <w:rPr>
          <w:rFonts w:cstheme="minorHAnsi"/>
        </w:rPr>
        <w:t xml:space="preserve">got a boost </w:t>
      </w:r>
      <w:r w:rsidRPr="00A526D0">
        <w:rPr>
          <w:rFonts w:cstheme="minorHAnsi"/>
        </w:rPr>
        <w:t xml:space="preserve">from Rs. 175 </w:t>
      </w:r>
      <w:proofErr w:type="spellStart"/>
      <w:r w:rsidRPr="00A526D0">
        <w:rPr>
          <w:rFonts w:cstheme="minorHAnsi"/>
        </w:rPr>
        <w:t>crore</w:t>
      </w:r>
      <w:proofErr w:type="spellEnd"/>
      <w:r w:rsidRPr="00A526D0">
        <w:rPr>
          <w:rFonts w:cstheme="minorHAnsi"/>
        </w:rPr>
        <w:t xml:space="preserve"> to </w:t>
      </w:r>
      <w:proofErr w:type="spellStart"/>
      <w:r w:rsidRPr="00A526D0">
        <w:rPr>
          <w:rFonts w:cstheme="minorHAnsi"/>
        </w:rPr>
        <w:t>Rs</w:t>
      </w:r>
      <w:proofErr w:type="spellEnd"/>
      <w:r w:rsidRPr="00A526D0">
        <w:rPr>
          <w:rFonts w:cstheme="minorHAnsi"/>
        </w:rPr>
        <w:t xml:space="preserve">. 1500 crore and Maternity Benefit </w:t>
      </w:r>
      <w:proofErr w:type="spellStart"/>
      <w:r w:rsidRPr="00A526D0">
        <w:rPr>
          <w:rFonts w:cstheme="minorHAnsi"/>
        </w:rPr>
        <w:t>Programme</w:t>
      </w:r>
      <w:proofErr w:type="spellEnd"/>
      <w:r w:rsidRPr="00A526D0">
        <w:rPr>
          <w:rFonts w:cstheme="minorHAnsi"/>
        </w:rPr>
        <w:t xml:space="preserve"> increased from </w:t>
      </w:r>
      <w:proofErr w:type="spellStart"/>
      <w:r w:rsidRPr="00A526D0">
        <w:rPr>
          <w:rFonts w:cstheme="minorHAnsi"/>
        </w:rPr>
        <w:t>Rs</w:t>
      </w:r>
      <w:proofErr w:type="spellEnd"/>
      <w:r w:rsidRPr="00A526D0">
        <w:rPr>
          <w:rFonts w:cstheme="minorHAnsi"/>
        </w:rPr>
        <w:t xml:space="preserve">. 634 </w:t>
      </w:r>
      <w:proofErr w:type="spellStart"/>
      <w:r w:rsidRPr="00A526D0">
        <w:rPr>
          <w:rFonts w:cstheme="minorHAnsi"/>
        </w:rPr>
        <w:t>crore</w:t>
      </w:r>
      <w:proofErr w:type="spellEnd"/>
      <w:r w:rsidRPr="00A526D0">
        <w:rPr>
          <w:rFonts w:cstheme="minorHAnsi"/>
        </w:rPr>
        <w:t xml:space="preserve"> to </w:t>
      </w:r>
      <w:proofErr w:type="spellStart"/>
      <w:r w:rsidRPr="00A526D0">
        <w:rPr>
          <w:rFonts w:cstheme="minorHAnsi"/>
        </w:rPr>
        <w:t>Rs</w:t>
      </w:r>
      <w:proofErr w:type="spellEnd"/>
      <w:r w:rsidRPr="00A526D0">
        <w:rPr>
          <w:rFonts w:cstheme="minorHAnsi"/>
        </w:rPr>
        <w:t xml:space="preserve">. 2,700 crore. </w:t>
      </w:r>
      <w:r>
        <w:rPr>
          <w:rFonts w:cstheme="minorHAnsi"/>
        </w:rPr>
        <w:t>But these</w:t>
      </w:r>
      <w:r w:rsidRPr="00A526D0">
        <w:rPr>
          <w:rFonts w:cstheme="minorHAnsi"/>
        </w:rPr>
        <w:t xml:space="preserve"> increase</w:t>
      </w:r>
      <w:r>
        <w:rPr>
          <w:rFonts w:cstheme="minorHAnsi"/>
        </w:rPr>
        <w:t>s</w:t>
      </w:r>
      <w:r w:rsidRPr="00A526D0">
        <w:rPr>
          <w:rFonts w:cstheme="minorHAnsi"/>
        </w:rPr>
        <w:t xml:space="preserve"> fall short of the resource </w:t>
      </w:r>
      <w:r w:rsidR="00881F1F" w:rsidRPr="00A526D0">
        <w:rPr>
          <w:rFonts w:cstheme="minorHAnsi"/>
        </w:rPr>
        <w:t>require</w:t>
      </w:r>
      <w:r w:rsidR="00881F1F">
        <w:rPr>
          <w:rFonts w:cstheme="minorHAnsi"/>
        </w:rPr>
        <w:t>d</w:t>
      </w:r>
      <w:r w:rsidRPr="00A526D0">
        <w:rPr>
          <w:rFonts w:cstheme="minorHAnsi"/>
        </w:rPr>
        <w:t xml:space="preserve">. For instance, the allocation proposed for </w:t>
      </w:r>
      <w:r>
        <w:rPr>
          <w:rFonts w:cstheme="minorHAnsi"/>
        </w:rPr>
        <w:t xml:space="preserve">the key </w:t>
      </w:r>
      <w:r w:rsidRPr="00A526D0">
        <w:rPr>
          <w:rFonts w:cstheme="minorHAnsi"/>
        </w:rPr>
        <w:t>Maternity Benefit Scheme seems to be based on an underestimation of the number of beneficiaries</w:t>
      </w:r>
      <w:r>
        <w:rPr>
          <w:rFonts w:cstheme="minorHAnsi"/>
        </w:rPr>
        <w:t>. T</w:t>
      </w:r>
      <w:r w:rsidRPr="00A526D0">
        <w:rPr>
          <w:rFonts w:cstheme="minorHAnsi"/>
        </w:rPr>
        <w:t>his budget</w:t>
      </w:r>
      <w:r w:rsidR="00881F1F">
        <w:rPr>
          <w:rFonts w:cstheme="minorHAnsi"/>
        </w:rPr>
        <w:t>,</w:t>
      </w:r>
      <w:r w:rsidRPr="00A526D0">
        <w:rPr>
          <w:rFonts w:cstheme="minorHAnsi"/>
        </w:rPr>
        <w:t xml:space="preserve"> </w:t>
      </w:r>
      <w:r>
        <w:rPr>
          <w:rFonts w:cstheme="minorHAnsi"/>
        </w:rPr>
        <w:t>like the previous year</w:t>
      </w:r>
      <w:r w:rsidRPr="00A526D0">
        <w:rPr>
          <w:rFonts w:cstheme="minorHAnsi"/>
        </w:rPr>
        <w:t xml:space="preserve"> has </w:t>
      </w:r>
      <w:proofErr w:type="spellStart"/>
      <w:r w:rsidR="00881F1F" w:rsidRPr="00A526D0">
        <w:rPr>
          <w:rFonts w:cstheme="minorHAnsi"/>
        </w:rPr>
        <w:t>prioriti</w:t>
      </w:r>
      <w:r w:rsidR="00881F1F">
        <w:rPr>
          <w:rFonts w:cstheme="minorHAnsi"/>
        </w:rPr>
        <w:t>s</w:t>
      </w:r>
      <w:r w:rsidR="00881F1F" w:rsidRPr="00A526D0">
        <w:rPr>
          <w:rFonts w:cstheme="minorHAnsi"/>
        </w:rPr>
        <w:t>ed</w:t>
      </w:r>
      <w:proofErr w:type="spellEnd"/>
      <w:r w:rsidR="00881F1F" w:rsidRPr="00A526D0">
        <w:rPr>
          <w:rFonts w:cstheme="minorHAnsi"/>
        </w:rPr>
        <w:t xml:space="preserve"> </w:t>
      </w:r>
      <w:r w:rsidRPr="00A526D0">
        <w:rPr>
          <w:rFonts w:cstheme="minorHAnsi"/>
        </w:rPr>
        <w:t xml:space="preserve">rural sanitation, </w:t>
      </w:r>
      <w:r w:rsidR="00881F1F">
        <w:rPr>
          <w:rFonts w:cstheme="minorHAnsi"/>
        </w:rPr>
        <w:t xml:space="preserve">while </w:t>
      </w:r>
      <w:r w:rsidRPr="00A526D0">
        <w:rPr>
          <w:rFonts w:cstheme="minorHAnsi"/>
        </w:rPr>
        <w:t>allocations for urban sanitation have remained stagnant.</w:t>
      </w:r>
    </w:p>
    <w:p w:rsidR="00D95B0A" w:rsidRDefault="00D95B0A" w:rsidP="0077157C">
      <w:pPr>
        <w:spacing w:before="240" w:after="0"/>
        <w:ind w:right="1584"/>
        <w:jc w:val="both"/>
        <w:rPr>
          <w:rFonts w:ascii="Calibri" w:eastAsia="Calibri" w:hAnsi="Calibri" w:cs="Calibri"/>
          <w:b/>
          <w:bCs/>
        </w:rPr>
      </w:pPr>
    </w:p>
    <w:p w:rsidR="007F6C04" w:rsidRPr="00C520CC" w:rsidRDefault="008D3247" w:rsidP="007F6C04">
      <w:pPr>
        <w:spacing w:after="120"/>
        <w:jc w:val="both"/>
        <w:rPr>
          <w:rFonts w:cstheme="minorHAnsi"/>
          <w:b/>
        </w:rPr>
      </w:pPr>
      <w:r>
        <w:rPr>
          <w:rFonts w:cstheme="minorHAnsi"/>
          <w:b/>
        </w:rPr>
        <w:t xml:space="preserve">Major Shifts in Budgetary </w:t>
      </w:r>
      <w:r w:rsidR="00922F9B">
        <w:rPr>
          <w:rFonts w:cstheme="minorHAnsi"/>
          <w:b/>
        </w:rPr>
        <w:t>Processes</w:t>
      </w:r>
    </w:p>
    <w:p w:rsidR="007F6C04" w:rsidRDefault="007F6C04" w:rsidP="007F6C04">
      <w:pPr>
        <w:spacing w:after="120"/>
        <w:jc w:val="both"/>
        <w:rPr>
          <w:rFonts w:cstheme="minorHAnsi"/>
        </w:rPr>
      </w:pPr>
      <w:r>
        <w:rPr>
          <w:rFonts w:cstheme="minorHAnsi"/>
        </w:rPr>
        <w:t xml:space="preserve">The </w:t>
      </w:r>
      <w:r w:rsidR="00E85C26">
        <w:rPr>
          <w:rFonts w:cstheme="minorHAnsi"/>
        </w:rPr>
        <w:t xml:space="preserve">Budget has </w:t>
      </w:r>
      <w:r w:rsidR="00E85C26" w:rsidRPr="00992C41">
        <w:rPr>
          <w:rFonts w:cstheme="minorHAnsi"/>
        </w:rPr>
        <w:t xml:space="preserve">laid greater emphasis </w:t>
      </w:r>
      <w:r w:rsidR="00922F9B">
        <w:rPr>
          <w:rFonts w:cstheme="minorHAnsi"/>
        </w:rPr>
        <w:t>on</w:t>
      </w:r>
      <w:r w:rsidR="00E85C26">
        <w:rPr>
          <w:rFonts w:cstheme="minorHAnsi"/>
        </w:rPr>
        <w:t xml:space="preserve"> improving</w:t>
      </w:r>
      <w:r w:rsidR="00E85C26" w:rsidRPr="00D6474E">
        <w:rPr>
          <w:rFonts w:cstheme="minorHAnsi"/>
        </w:rPr>
        <w:t xml:space="preserve"> the fundamental weaknesses in public </w:t>
      </w:r>
      <w:r w:rsidR="00E85C26">
        <w:rPr>
          <w:rFonts w:cstheme="minorHAnsi"/>
        </w:rPr>
        <w:t xml:space="preserve">expenditure </w:t>
      </w:r>
      <w:r w:rsidR="00E85C26" w:rsidRPr="00D6474E">
        <w:rPr>
          <w:rFonts w:cstheme="minorHAnsi"/>
        </w:rPr>
        <w:t xml:space="preserve">management </w:t>
      </w:r>
      <w:r w:rsidR="00E85C26">
        <w:rPr>
          <w:rFonts w:cstheme="minorHAnsi"/>
        </w:rPr>
        <w:t>in India</w:t>
      </w:r>
      <w:r>
        <w:rPr>
          <w:rFonts w:cstheme="minorHAnsi"/>
        </w:rPr>
        <w:t xml:space="preserve">, and better implementation of programmes. It contains three major process </w:t>
      </w:r>
      <w:r>
        <w:rPr>
          <w:rFonts w:cstheme="minorHAnsi"/>
        </w:rPr>
        <w:lastRenderedPageBreak/>
        <w:t xml:space="preserve">related reforms. The presentation of </w:t>
      </w:r>
      <w:r w:rsidR="00922F9B">
        <w:rPr>
          <w:rFonts w:cstheme="minorHAnsi"/>
        </w:rPr>
        <w:t xml:space="preserve">the </w:t>
      </w:r>
      <w:r>
        <w:rPr>
          <w:rFonts w:cstheme="minorHAnsi"/>
        </w:rPr>
        <w:t xml:space="preserve">budget has been </w:t>
      </w:r>
      <w:r w:rsidRPr="007E5DD9">
        <w:rPr>
          <w:rFonts w:cstheme="minorHAnsi"/>
        </w:rPr>
        <w:t>advanc</w:t>
      </w:r>
      <w:r>
        <w:rPr>
          <w:rFonts w:cstheme="minorHAnsi"/>
        </w:rPr>
        <w:t xml:space="preserve">ed to February 1; </w:t>
      </w:r>
      <w:r w:rsidR="00840915">
        <w:rPr>
          <w:rFonts w:cstheme="minorHAnsi"/>
        </w:rPr>
        <w:t xml:space="preserve">the logic behind the move is that </w:t>
      </w:r>
      <w:r>
        <w:rPr>
          <w:rFonts w:cstheme="minorHAnsi"/>
        </w:rPr>
        <w:t xml:space="preserve">this </w:t>
      </w:r>
      <w:r w:rsidR="00840915">
        <w:rPr>
          <w:rFonts w:cstheme="minorHAnsi"/>
        </w:rPr>
        <w:t>would</w:t>
      </w:r>
      <w:r>
        <w:rPr>
          <w:rFonts w:cstheme="minorHAnsi"/>
        </w:rPr>
        <w:t xml:space="preserve"> </w:t>
      </w:r>
      <w:r w:rsidRPr="007E5DD9">
        <w:rPr>
          <w:rFonts w:cstheme="minorHAnsi"/>
        </w:rPr>
        <w:t xml:space="preserve">allow Parliament to debate and vote on the budget proposals before the commencement of the next financial year. </w:t>
      </w:r>
      <w:r>
        <w:rPr>
          <w:rFonts w:cstheme="minorHAnsi"/>
        </w:rPr>
        <w:t xml:space="preserve">This </w:t>
      </w:r>
      <w:r w:rsidR="00840915">
        <w:rPr>
          <w:rFonts w:cstheme="minorHAnsi"/>
        </w:rPr>
        <w:t>would</w:t>
      </w:r>
      <w:r>
        <w:rPr>
          <w:rFonts w:cstheme="minorHAnsi"/>
        </w:rPr>
        <w:t xml:space="preserve"> help</w:t>
      </w:r>
      <w:r w:rsidRPr="007E5DD9">
        <w:rPr>
          <w:rFonts w:cstheme="minorHAnsi"/>
        </w:rPr>
        <w:t xml:space="preserve"> push the spending ministries to start releasing funds to States and other authorities in the central schemes much before the onset of the monsoon, which </w:t>
      </w:r>
      <w:r>
        <w:rPr>
          <w:rFonts w:cstheme="minorHAnsi"/>
        </w:rPr>
        <w:t xml:space="preserve">usually </w:t>
      </w:r>
      <w:r w:rsidRPr="007E5DD9">
        <w:rPr>
          <w:rFonts w:cstheme="minorHAnsi"/>
        </w:rPr>
        <w:t>stalls construction activities for some time</w:t>
      </w:r>
      <w:r>
        <w:rPr>
          <w:rFonts w:cstheme="minorHAnsi"/>
        </w:rPr>
        <w:t>,</w:t>
      </w:r>
      <w:r w:rsidRPr="007E5DD9">
        <w:rPr>
          <w:rFonts w:cstheme="minorHAnsi"/>
        </w:rPr>
        <w:t xml:space="preserve"> </w:t>
      </w:r>
      <w:r>
        <w:rPr>
          <w:rFonts w:cstheme="minorHAnsi"/>
        </w:rPr>
        <w:t>thereby</w:t>
      </w:r>
      <w:r w:rsidRPr="007E5DD9">
        <w:rPr>
          <w:rFonts w:cstheme="minorHAnsi"/>
        </w:rPr>
        <w:t xml:space="preserve"> aggravat</w:t>
      </w:r>
      <w:r>
        <w:rPr>
          <w:rFonts w:cstheme="minorHAnsi"/>
        </w:rPr>
        <w:t>ing</w:t>
      </w:r>
      <w:r w:rsidRPr="007E5DD9">
        <w:rPr>
          <w:rFonts w:cstheme="minorHAnsi"/>
        </w:rPr>
        <w:t xml:space="preserve"> the problem of </w:t>
      </w:r>
      <w:r>
        <w:rPr>
          <w:rFonts w:cstheme="minorHAnsi"/>
        </w:rPr>
        <w:t>delay in</w:t>
      </w:r>
      <w:r w:rsidRPr="007E5DD9">
        <w:rPr>
          <w:rFonts w:cstheme="minorHAnsi"/>
        </w:rPr>
        <w:t xml:space="preserve"> fund flow and utilisation in many sectors.</w:t>
      </w:r>
      <w:r>
        <w:rPr>
          <w:rFonts w:cstheme="minorHAnsi"/>
        </w:rPr>
        <w:t xml:space="preserve"> </w:t>
      </w:r>
      <w:r w:rsidR="00651B14">
        <w:rPr>
          <w:rFonts w:cstheme="minorHAnsi"/>
        </w:rPr>
        <w:t>But t</w:t>
      </w:r>
      <w:r w:rsidR="00651B14" w:rsidRPr="00651B14">
        <w:rPr>
          <w:rFonts w:cstheme="minorHAnsi"/>
        </w:rPr>
        <w:t xml:space="preserve">his measure alone </w:t>
      </w:r>
      <w:r w:rsidR="00651B14">
        <w:rPr>
          <w:rFonts w:cstheme="minorHAnsi"/>
        </w:rPr>
        <w:t>is not sufficient and t</w:t>
      </w:r>
      <w:r w:rsidR="00651B14" w:rsidRPr="00651B14">
        <w:rPr>
          <w:rFonts w:cstheme="minorHAnsi"/>
        </w:rPr>
        <w:t>here</w:t>
      </w:r>
      <w:r w:rsidR="00922F9B">
        <w:rPr>
          <w:rFonts w:cstheme="minorHAnsi"/>
        </w:rPr>
        <w:t xml:space="preserve"> is a need for a host of other </w:t>
      </w:r>
      <w:r w:rsidR="00651B14" w:rsidRPr="00651B14">
        <w:rPr>
          <w:rFonts w:cstheme="minorHAnsi"/>
        </w:rPr>
        <w:t xml:space="preserve">fundamental reforms in this sphere. </w:t>
      </w:r>
      <w:r w:rsidR="00651B14">
        <w:rPr>
          <w:rFonts w:cstheme="minorHAnsi"/>
        </w:rPr>
        <w:t>An</w:t>
      </w:r>
      <w:r w:rsidR="00651B14" w:rsidRPr="00651B14">
        <w:rPr>
          <w:rFonts w:cstheme="minorHAnsi"/>
        </w:rPr>
        <w:t xml:space="preserve"> important measure for improving results from public expenditure </w:t>
      </w:r>
      <w:r w:rsidR="00651B14">
        <w:rPr>
          <w:rFonts w:cstheme="minorHAnsi"/>
        </w:rPr>
        <w:t>would be to strengthen</w:t>
      </w:r>
      <w:r w:rsidR="00651B14" w:rsidRPr="00651B14">
        <w:rPr>
          <w:rFonts w:cstheme="minorHAnsi"/>
        </w:rPr>
        <w:t xml:space="preserve"> </w:t>
      </w:r>
      <w:proofErr w:type="spellStart"/>
      <w:r w:rsidR="00651B14" w:rsidRPr="00651B14">
        <w:rPr>
          <w:rFonts w:cstheme="minorHAnsi"/>
        </w:rPr>
        <w:t>decentralised</w:t>
      </w:r>
      <w:proofErr w:type="spellEnd"/>
      <w:r w:rsidR="00651B14" w:rsidRPr="00651B14">
        <w:rPr>
          <w:rFonts w:cstheme="minorHAnsi"/>
        </w:rPr>
        <w:t xml:space="preserve"> planning in the country. The State Finance Departments need to ensure timely flow of funds to the spending departments and local governments, especially because all central funds </w:t>
      </w:r>
      <w:r w:rsidR="00651B14">
        <w:rPr>
          <w:rFonts w:cstheme="minorHAnsi"/>
        </w:rPr>
        <w:t xml:space="preserve">are </w:t>
      </w:r>
      <w:r w:rsidR="00651B14" w:rsidRPr="00651B14">
        <w:rPr>
          <w:rFonts w:cstheme="minorHAnsi"/>
        </w:rPr>
        <w:t xml:space="preserve">now routed through them and the State Treasuries. There is also </w:t>
      </w:r>
      <w:r w:rsidR="00651B14">
        <w:rPr>
          <w:rFonts w:cstheme="minorHAnsi"/>
        </w:rPr>
        <w:t>a</w:t>
      </w:r>
      <w:r w:rsidR="00651B14" w:rsidRPr="00651B14">
        <w:rPr>
          <w:rFonts w:cstheme="minorHAnsi"/>
        </w:rPr>
        <w:t xml:space="preserve"> need for enhancing transparency </w:t>
      </w:r>
      <w:r w:rsidR="00922F9B">
        <w:rPr>
          <w:rFonts w:cstheme="minorHAnsi"/>
        </w:rPr>
        <w:t>in</w:t>
      </w:r>
      <w:r w:rsidR="00651B14" w:rsidRPr="00651B14">
        <w:rPr>
          <w:rFonts w:cstheme="minorHAnsi"/>
        </w:rPr>
        <w:t xml:space="preserve"> </w:t>
      </w:r>
      <w:r w:rsidR="00922F9B">
        <w:rPr>
          <w:rFonts w:cstheme="minorHAnsi"/>
        </w:rPr>
        <w:t>fund</w:t>
      </w:r>
      <w:r w:rsidR="00651B14" w:rsidRPr="00651B14">
        <w:rPr>
          <w:rFonts w:cstheme="minorHAnsi"/>
        </w:rPr>
        <w:t xml:space="preserve"> flows and expenditures at the district level, which requires proactive disclosure of such information without </w:t>
      </w:r>
      <w:r w:rsidR="00CC2F71">
        <w:rPr>
          <w:rFonts w:cstheme="minorHAnsi"/>
        </w:rPr>
        <w:t xml:space="preserve">much </w:t>
      </w:r>
      <w:r w:rsidR="00651B14" w:rsidRPr="00651B14">
        <w:rPr>
          <w:rFonts w:cstheme="minorHAnsi"/>
        </w:rPr>
        <w:t xml:space="preserve">time-lag. </w:t>
      </w:r>
    </w:p>
    <w:p w:rsidR="007F6C04" w:rsidRPr="00AD1AB9" w:rsidRDefault="007F6C04" w:rsidP="007F6C04">
      <w:pPr>
        <w:jc w:val="both"/>
        <w:rPr>
          <w:rFonts w:cstheme="minorHAnsi"/>
        </w:rPr>
      </w:pPr>
      <w:r>
        <w:rPr>
          <w:rFonts w:cstheme="minorHAnsi"/>
        </w:rPr>
        <w:t>The other major shift introduced</w:t>
      </w:r>
      <w:r w:rsidR="00EF630D">
        <w:rPr>
          <w:rFonts w:cstheme="minorHAnsi"/>
        </w:rPr>
        <w:t xml:space="preserve"> in the Budget</w:t>
      </w:r>
      <w:r>
        <w:rPr>
          <w:rFonts w:cstheme="minorHAnsi"/>
        </w:rPr>
        <w:t xml:space="preserve"> is </w:t>
      </w:r>
      <w:r w:rsidR="00EF630D">
        <w:rPr>
          <w:rFonts w:cstheme="minorHAnsi"/>
        </w:rPr>
        <w:t>that th</w:t>
      </w:r>
      <w:r w:rsidRPr="003A410F">
        <w:rPr>
          <w:rFonts w:cstheme="minorHAnsi"/>
        </w:rPr>
        <w:t xml:space="preserve">e </w:t>
      </w:r>
      <w:r w:rsidR="00CC2F71">
        <w:rPr>
          <w:rFonts w:cstheme="minorHAnsi"/>
        </w:rPr>
        <w:t>P</w:t>
      </w:r>
      <w:r w:rsidRPr="003A410F">
        <w:rPr>
          <w:rFonts w:cstheme="minorHAnsi"/>
        </w:rPr>
        <w:t xml:space="preserve">lan and </w:t>
      </w:r>
      <w:r w:rsidR="00CC2F71">
        <w:rPr>
          <w:rFonts w:cstheme="minorHAnsi"/>
        </w:rPr>
        <w:t>N</w:t>
      </w:r>
      <w:r w:rsidRPr="003A410F">
        <w:rPr>
          <w:rFonts w:cstheme="minorHAnsi"/>
        </w:rPr>
        <w:t>on-</w:t>
      </w:r>
      <w:r w:rsidR="00CC2F71">
        <w:rPr>
          <w:rFonts w:cstheme="minorHAnsi"/>
        </w:rPr>
        <w:t>P</w:t>
      </w:r>
      <w:r w:rsidRPr="003A410F">
        <w:rPr>
          <w:rFonts w:cstheme="minorHAnsi"/>
        </w:rPr>
        <w:t>lan classification of expenditure</w:t>
      </w:r>
      <w:r w:rsidR="00EF630D">
        <w:rPr>
          <w:rFonts w:cstheme="minorHAnsi"/>
        </w:rPr>
        <w:t xml:space="preserve"> has been done away with</w:t>
      </w:r>
      <w:r w:rsidRPr="003A410F">
        <w:rPr>
          <w:rFonts w:cstheme="minorHAnsi"/>
        </w:rPr>
        <w:t>. There were issues related to accounting of expenditure classified as Plan and Non Plan</w:t>
      </w:r>
      <w:r>
        <w:rPr>
          <w:rFonts w:cstheme="minorHAnsi"/>
        </w:rPr>
        <w:t>, and t</w:t>
      </w:r>
      <w:r w:rsidRPr="003A410F">
        <w:rPr>
          <w:rFonts w:cstheme="minorHAnsi"/>
        </w:rPr>
        <w:t xml:space="preserve">his classification had </w:t>
      </w:r>
      <w:r>
        <w:rPr>
          <w:rFonts w:cstheme="minorHAnsi"/>
        </w:rPr>
        <w:t>led</w:t>
      </w:r>
      <w:r w:rsidRPr="003A410F">
        <w:rPr>
          <w:rFonts w:cstheme="minorHAnsi"/>
        </w:rPr>
        <w:t xml:space="preserve"> to a </w:t>
      </w:r>
      <w:r w:rsidR="00CC2F71">
        <w:rPr>
          <w:rFonts w:cstheme="minorHAnsi"/>
        </w:rPr>
        <w:t>misleading</w:t>
      </w:r>
      <w:r w:rsidRPr="003A410F">
        <w:rPr>
          <w:rFonts w:cstheme="minorHAnsi"/>
        </w:rPr>
        <w:t xml:space="preserve"> notion that Plan expenditure was developmental and Non Plan was non-developmental. This notion </w:t>
      </w:r>
      <w:r>
        <w:rPr>
          <w:rFonts w:cstheme="minorHAnsi"/>
        </w:rPr>
        <w:t xml:space="preserve">had resulted into a tendency </w:t>
      </w:r>
      <w:r w:rsidR="00CC2F71">
        <w:rPr>
          <w:rFonts w:cstheme="minorHAnsi"/>
        </w:rPr>
        <w:t>to</w:t>
      </w:r>
      <w:r>
        <w:rPr>
          <w:rFonts w:cstheme="minorHAnsi"/>
        </w:rPr>
        <w:t xml:space="preserve"> giv</w:t>
      </w:r>
      <w:r w:rsidR="00CC2F71">
        <w:rPr>
          <w:rFonts w:cstheme="minorHAnsi"/>
        </w:rPr>
        <w:t>e</w:t>
      </w:r>
      <w:r>
        <w:rPr>
          <w:rFonts w:cstheme="minorHAnsi"/>
        </w:rPr>
        <w:t xml:space="preserve"> </w:t>
      </w:r>
      <w:r w:rsidR="00CC2F71">
        <w:rPr>
          <w:rFonts w:cstheme="minorHAnsi"/>
        </w:rPr>
        <w:t>greater attention</w:t>
      </w:r>
      <w:r w:rsidRPr="003A410F">
        <w:rPr>
          <w:rFonts w:cstheme="minorHAnsi"/>
        </w:rPr>
        <w:t xml:space="preserve"> </w:t>
      </w:r>
      <w:r>
        <w:rPr>
          <w:rFonts w:cstheme="minorHAnsi"/>
        </w:rPr>
        <w:t>to</w:t>
      </w:r>
      <w:r w:rsidRPr="003A410F">
        <w:rPr>
          <w:rFonts w:cstheme="minorHAnsi"/>
        </w:rPr>
        <w:t xml:space="preserve"> Plan expenditures, with a neglect of items such as maintenance tha</w:t>
      </w:r>
      <w:r w:rsidR="00CC2F71">
        <w:rPr>
          <w:rFonts w:cstheme="minorHAnsi"/>
        </w:rPr>
        <w:t xml:space="preserve">t was classified as Non-Plan. An even graver </w:t>
      </w:r>
      <w:r w:rsidRPr="003A410F">
        <w:rPr>
          <w:rFonts w:cstheme="minorHAnsi"/>
        </w:rPr>
        <w:t xml:space="preserve">consequence of </w:t>
      </w:r>
      <w:r>
        <w:rPr>
          <w:rFonts w:cstheme="minorHAnsi"/>
        </w:rPr>
        <w:t xml:space="preserve">this </w:t>
      </w:r>
      <w:r w:rsidRPr="003A410F">
        <w:rPr>
          <w:rFonts w:cstheme="minorHAnsi"/>
        </w:rPr>
        <w:t>neglect was acute shortage of regular cadre staff across sectors in most states. </w:t>
      </w:r>
      <w:r w:rsidRPr="00992C41">
        <w:rPr>
          <w:rFonts w:cstheme="minorHAnsi"/>
        </w:rPr>
        <w:t xml:space="preserve"> The merger is expected to facilitate optimal allocation of resources with a holistic view of budget outlays for sectors and ministries. With the five year plan model coming to an end from</w:t>
      </w:r>
      <w:r>
        <w:t xml:space="preserve"> th</w:t>
      </w:r>
      <w:r w:rsidR="00FF123E">
        <w:t>e next</w:t>
      </w:r>
      <w:r>
        <w:t xml:space="preserve"> financial year,</w:t>
      </w:r>
      <w:r w:rsidRPr="00E37B50">
        <w:rPr>
          <w:rFonts w:cstheme="minorHAnsi"/>
          <w:bCs/>
        </w:rPr>
        <w:t xml:space="preserve"> </w:t>
      </w:r>
      <w:r>
        <w:rPr>
          <w:rFonts w:cstheme="minorHAnsi"/>
          <w:bCs/>
        </w:rPr>
        <w:t xml:space="preserve">it is hoped that the Vision </w:t>
      </w:r>
      <w:r w:rsidR="00FF123E">
        <w:rPr>
          <w:rFonts w:cstheme="minorHAnsi"/>
          <w:bCs/>
        </w:rPr>
        <w:t>D</w:t>
      </w:r>
      <w:r>
        <w:rPr>
          <w:rFonts w:cstheme="minorHAnsi"/>
          <w:bCs/>
        </w:rPr>
        <w:t>ocument will factor in social sector priorities</w:t>
      </w:r>
      <w:r>
        <w:rPr>
          <w:color w:val="000000"/>
        </w:rPr>
        <w:t xml:space="preserve"> and make visible increases for it. </w:t>
      </w:r>
      <w:r w:rsidR="00FF123E">
        <w:rPr>
          <w:color w:val="000000"/>
        </w:rPr>
        <w:t xml:space="preserve"> </w:t>
      </w:r>
    </w:p>
    <w:p w:rsidR="007F6C04" w:rsidRPr="00E51330" w:rsidRDefault="007F6C04" w:rsidP="007F6C04">
      <w:pPr>
        <w:jc w:val="both"/>
        <w:rPr>
          <w:rFonts w:cstheme="minorHAnsi"/>
        </w:rPr>
      </w:pPr>
      <w:r>
        <w:rPr>
          <w:rFonts w:cstheme="minorHAnsi"/>
        </w:rPr>
        <w:t xml:space="preserve">The </w:t>
      </w:r>
      <w:r w:rsidRPr="00992C41">
        <w:rPr>
          <w:rFonts w:cstheme="minorHAnsi"/>
        </w:rPr>
        <w:t>practice of classifying government spending in</w:t>
      </w:r>
      <w:r w:rsidR="00FF123E">
        <w:rPr>
          <w:rFonts w:cstheme="minorHAnsi"/>
        </w:rPr>
        <w:t>to</w:t>
      </w:r>
      <w:r w:rsidRPr="00992C41">
        <w:rPr>
          <w:rFonts w:cstheme="minorHAnsi"/>
        </w:rPr>
        <w:t xml:space="preserve"> plan and non-plan categories </w:t>
      </w:r>
      <w:r>
        <w:rPr>
          <w:rFonts w:cstheme="minorHAnsi"/>
        </w:rPr>
        <w:t xml:space="preserve">has </w:t>
      </w:r>
      <w:r w:rsidRPr="00992C41">
        <w:rPr>
          <w:rFonts w:cstheme="minorHAnsi"/>
        </w:rPr>
        <w:t>ma</w:t>
      </w:r>
      <w:r>
        <w:rPr>
          <w:rFonts w:cstheme="minorHAnsi"/>
        </w:rPr>
        <w:t>d</w:t>
      </w:r>
      <w:r w:rsidRPr="00992C41">
        <w:rPr>
          <w:rFonts w:cstheme="minorHAnsi"/>
        </w:rPr>
        <w:t xml:space="preserve">e way for a </w:t>
      </w:r>
      <w:r>
        <w:rPr>
          <w:rFonts w:cstheme="minorHAnsi"/>
        </w:rPr>
        <w:t>bifurcation</w:t>
      </w:r>
      <w:r w:rsidRPr="00992C41">
        <w:rPr>
          <w:rFonts w:cstheme="minorHAnsi"/>
        </w:rPr>
        <w:t xml:space="preserve"> on the basis of revenue and capital expenditure. </w:t>
      </w:r>
      <w:r>
        <w:rPr>
          <w:rFonts w:cstheme="minorHAnsi"/>
        </w:rPr>
        <w:t xml:space="preserve">This revenue capital distinction is based on accounting definition, so an </w:t>
      </w:r>
      <w:r w:rsidRPr="00992C41">
        <w:rPr>
          <w:rFonts w:cstheme="minorHAnsi"/>
        </w:rPr>
        <w:t xml:space="preserve">excessive focus on ‘capital’ and ‘revenue’ classification and their definition has its own risks. </w:t>
      </w:r>
      <w:r w:rsidR="00C41CAB">
        <w:rPr>
          <w:rFonts w:cstheme="minorHAnsi"/>
        </w:rPr>
        <w:t>As mentioned earlier, t</w:t>
      </w:r>
      <w:r w:rsidRPr="00992C41">
        <w:rPr>
          <w:rFonts w:cstheme="minorHAnsi"/>
        </w:rPr>
        <w:t xml:space="preserve">he tendency to promote capital expenditure and check revenue expenditure </w:t>
      </w:r>
      <w:r>
        <w:rPr>
          <w:rFonts w:cstheme="minorHAnsi"/>
        </w:rPr>
        <w:t>can be</w:t>
      </w:r>
      <w:r w:rsidR="00C41CAB">
        <w:rPr>
          <w:rFonts w:cstheme="minorHAnsi"/>
        </w:rPr>
        <w:t xml:space="preserve"> problematic for social</w:t>
      </w:r>
      <w:r w:rsidRPr="00992C41">
        <w:rPr>
          <w:rFonts w:cstheme="minorHAnsi"/>
        </w:rPr>
        <w:t xml:space="preserve"> sectors. </w:t>
      </w:r>
      <w:r>
        <w:rPr>
          <w:rFonts w:cstheme="minorHAnsi"/>
        </w:rPr>
        <w:t xml:space="preserve">In Bhutan, the spending on training of human resources is treated as Capital expenditure as they believe that any investments on </w:t>
      </w:r>
      <w:r>
        <w:t xml:space="preserve">developing human resources help improve their efficiency, the benefit of which continues to accrue beyond one financial year. Such a classification is </w:t>
      </w:r>
      <w:r w:rsidR="00C41CAB">
        <w:t xml:space="preserve">better than the </w:t>
      </w:r>
      <w:r w:rsidR="00C41CAB">
        <w:rPr>
          <w:rFonts w:cstheme="minorHAnsi"/>
        </w:rPr>
        <w:t xml:space="preserve">classification followed </w:t>
      </w:r>
      <w:r w:rsidR="00C41CAB">
        <w:t>in India</w:t>
      </w:r>
      <w:r>
        <w:t xml:space="preserve"> where any </w:t>
      </w:r>
      <w:r w:rsidR="00C41CAB">
        <w:t>expenditure that leads to</w:t>
      </w:r>
      <w:r>
        <w:t xml:space="preserve"> an increase in the assets or a decrease in liability position is </w:t>
      </w:r>
      <w:r w:rsidR="00C41CAB">
        <w:t>recorded</w:t>
      </w:r>
      <w:r>
        <w:t xml:space="preserve"> as Capital expenditure, and the rest </w:t>
      </w:r>
      <w:r w:rsidR="00C41CAB">
        <w:t>a</w:t>
      </w:r>
      <w:r>
        <w:t>s Revenue expenditure.</w:t>
      </w:r>
      <w:r w:rsidR="008377D3">
        <w:t xml:space="preserve"> </w:t>
      </w:r>
    </w:p>
    <w:p w:rsidR="007F6C04" w:rsidRDefault="00A77106" w:rsidP="007F6C04">
      <w:pPr>
        <w:jc w:val="both"/>
      </w:pPr>
      <w:r>
        <w:t>Lastly, t</w:t>
      </w:r>
      <w:r w:rsidR="007F6C04" w:rsidRPr="00177E29">
        <w:t xml:space="preserve">he Budget Speech announced </w:t>
      </w:r>
      <w:r w:rsidR="007F6C04">
        <w:t>a consolidated Outcome Budget</w:t>
      </w:r>
      <w:r w:rsidR="007F6C04" w:rsidRPr="00177E29">
        <w:t xml:space="preserve"> covering all Ministries and Departments </w:t>
      </w:r>
      <w:r w:rsidR="007F6C04">
        <w:t>as another first. This is a good idea, but it has not been</w:t>
      </w:r>
      <w:r w:rsidR="007F6C04" w:rsidRPr="00177E29">
        <w:t xml:space="preserve"> laid along with the other Budget documents.</w:t>
      </w:r>
      <w:r w:rsidR="007F6C04">
        <w:t xml:space="preserve"> </w:t>
      </w:r>
      <w:r w:rsidR="008377D3">
        <w:t>We</w:t>
      </w:r>
      <w:r w:rsidR="007F6C04">
        <w:t xml:space="preserve"> can only wait for the document to be out for knowing more about this proposal.   </w:t>
      </w:r>
      <w:r w:rsidR="008377D3">
        <w:t xml:space="preserve"> </w:t>
      </w:r>
    </w:p>
    <w:p w:rsidR="0077157C" w:rsidRPr="001E06A0" w:rsidRDefault="005F3E34" w:rsidP="0077157C">
      <w:pPr>
        <w:autoSpaceDE w:val="0"/>
        <w:autoSpaceDN w:val="0"/>
        <w:adjustRightInd w:val="0"/>
        <w:spacing w:after="120" w:line="240" w:lineRule="auto"/>
        <w:jc w:val="both"/>
        <w:rPr>
          <w:b/>
        </w:rPr>
      </w:pPr>
      <w:r>
        <w:rPr>
          <w:b/>
        </w:rPr>
        <w:t>C</w:t>
      </w:r>
      <w:r w:rsidR="00E47983" w:rsidRPr="001E06A0">
        <w:rPr>
          <w:b/>
        </w:rPr>
        <w:t xml:space="preserve">onsistency </w:t>
      </w:r>
      <w:r w:rsidR="00E47983">
        <w:rPr>
          <w:b/>
        </w:rPr>
        <w:t>w</w:t>
      </w:r>
      <w:r w:rsidR="00E47983" w:rsidRPr="001E06A0">
        <w:rPr>
          <w:b/>
        </w:rPr>
        <w:t>ith Previous Budget</w:t>
      </w:r>
    </w:p>
    <w:p w:rsidR="0077157C" w:rsidRDefault="00A77106" w:rsidP="0077157C">
      <w:pPr>
        <w:autoSpaceDE w:val="0"/>
        <w:autoSpaceDN w:val="0"/>
        <w:adjustRightInd w:val="0"/>
        <w:spacing w:after="120"/>
        <w:jc w:val="both"/>
      </w:pPr>
      <w:r>
        <w:t>It is natural to search for consistency in the approach</w:t>
      </w:r>
      <w:r w:rsidR="00D50C9A">
        <w:t xml:space="preserve"> and focal points of the budget at least for some years.</w:t>
      </w:r>
      <w:r>
        <w:t xml:space="preserve"> </w:t>
      </w:r>
      <w:r w:rsidR="00D50C9A">
        <w:t>However, t</w:t>
      </w:r>
      <w:r w:rsidR="0077157C">
        <w:t>he</w:t>
      </w:r>
      <w:r w:rsidR="00D50C9A">
        <w:t>re remains much to be desired at the consistency front.</w:t>
      </w:r>
      <w:r w:rsidR="0077157C" w:rsidRPr="00D225F2">
        <w:t xml:space="preserve"> </w:t>
      </w:r>
      <w:r w:rsidR="00871E8B">
        <w:t xml:space="preserve">The </w:t>
      </w:r>
      <w:r w:rsidR="0077157C">
        <w:t xml:space="preserve">Budget 2017-18 </w:t>
      </w:r>
      <w:r w:rsidR="008D3247">
        <w:t>has been</w:t>
      </w:r>
      <w:r w:rsidR="0077157C" w:rsidRPr="00D225F2">
        <w:t xml:space="preserve"> presented </w:t>
      </w:r>
      <w:proofErr w:type="gramStart"/>
      <w:r w:rsidR="0077157C" w:rsidRPr="00D225F2">
        <w:t>under</w:t>
      </w:r>
      <w:proofErr w:type="gramEnd"/>
      <w:r w:rsidR="0077157C" w:rsidRPr="00D225F2">
        <w:t xml:space="preserve"> ten themes </w:t>
      </w:r>
      <w:r w:rsidR="008D3247">
        <w:t>around which p</w:t>
      </w:r>
      <w:r w:rsidR="008D3247" w:rsidRPr="008D3247">
        <w:t>olicy measures are outlined.</w:t>
      </w:r>
      <w:r w:rsidR="008D3247">
        <w:t xml:space="preserve"> These themes</w:t>
      </w:r>
      <w:r w:rsidR="008D3247" w:rsidRPr="00D225F2">
        <w:t xml:space="preserve"> </w:t>
      </w:r>
      <w:r w:rsidR="0077157C" w:rsidRPr="00AA7033">
        <w:t>(viz</w:t>
      </w:r>
      <w:r w:rsidR="00871E8B" w:rsidRPr="00AA7033">
        <w:t>.</w:t>
      </w:r>
      <w:r w:rsidR="0077157C" w:rsidRPr="00AA7033">
        <w:t xml:space="preserve"> </w:t>
      </w:r>
      <w:r w:rsidR="0077157C" w:rsidRPr="00AA7033">
        <w:lastRenderedPageBreak/>
        <w:t xml:space="preserve">farmers, rural population, youth, poor &amp; underprivileged, Infrastructure, Financial sector, Digital Economy, Public Service, Prudent Fiscal Management, </w:t>
      </w:r>
      <w:proofErr w:type="gramStart"/>
      <w:r w:rsidR="0077157C" w:rsidRPr="00AA7033">
        <w:t>Tax</w:t>
      </w:r>
      <w:proofErr w:type="gramEnd"/>
      <w:r w:rsidR="0077157C" w:rsidRPr="00AA7033">
        <w:t xml:space="preserve"> Administration</w:t>
      </w:r>
      <w:r w:rsidR="0077157C" w:rsidRPr="00D225F2">
        <w:t>)</w:t>
      </w:r>
      <w:r w:rsidR="0077157C">
        <w:t xml:space="preserve"> represent some sections of population as well as a few sectors. </w:t>
      </w:r>
      <w:r w:rsidR="0077157C" w:rsidRPr="00D225F2">
        <w:t>The previous budget (2016-17) was built upon 9 distinct pillars (viz</w:t>
      </w:r>
      <w:r w:rsidR="00871E8B">
        <w:t>.</w:t>
      </w:r>
      <w:r w:rsidR="0077157C" w:rsidRPr="00D225F2">
        <w:t xml:space="preserve"> Agriculture &amp; Farmer’s Welfare, Rural sector, Social sector, Education, Skills and Job Creation, Infrastructure and Investment, Financial sector reforms). </w:t>
      </w:r>
      <w:r w:rsidR="004E394E">
        <w:t>Such a set of themes makes a</w:t>
      </w:r>
      <w:r w:rsidR="008D3247">
        <w:t xml:space="preserve"> comparison </w:t>
      </w:r>
      <w:r w:rsidR="004E394E">
        <w:t>between two budgets difficult</w:t>
      </w:r>
      <w:r w:rsidR="008D3247">
        <w:t>,</w:t>
      </w:r>
      <w:r w:rsidR="004E394E">
        <w:t xml:space="preserve"> as</w:t>
      </w:r>
      <w:r w:rsidR="008D3247">
        <w:t xml:space="preserve"> they </w:t>
      </w:r>
      <w:r w:rsidR="0077157C" w:rsidRPr="00D225F2">
        <w:t>cannot be read together</w:t>
      </w:r>
      <w:r w:rsidR="0077157C">
        <w:t xml:space="preserve">, </w:t>
      </w:r>
      <w:r w:rsidR="00D50C9A">
        <w:t xml:space="preserve">underlining the need for </w:t>
      </w:r>
      <w:r w:rsidR="004A4DF9">
        <w:t>consistency in</w:t>
      </w:r>
      <w:r w:rsidR="0077157C">
        <w:t xml:space="preserve"> priorities over </w:t>
      </w:r>
      <w:r w:rsidR="004A4DF9">
        <w:t xml:space="preserve">a period of </w:t>
      </w:r>
      <w:r w:rsidR="0077157C">
        <w:t>two</w:t>
      </w:r>
      <w:r w:rsidR="008B4C89">
        <w:t>/</w:t>
      </w:r>
      <w:r w:rsidR="004A4DF9">
        <w:t>three years at</w:t>
      </w:r>
      <w:r w:rsidR="00C665EA">
        <w:t xml:space="preserve"> the</w:t>
      </w:r>
      <w:r w:rsidR="004A4DF9">
        <w:t xml:space="preserve"> least</w:t>
      </w:r>
      <w:r w:rsidR="0077157C">
        <w:t>.</w:t>
      </w:r>
    </w:p>
    <w:sectPr w:rsidR="00771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E40A1"/>
    <w:multiLevelType w:val="hybridMultilevel"/>
    <w:tmpl w:val="C82025CC"/>
    <w:lvl w:ilvl="0" w:tplc="8C4E1F6A">
      <w:start w:val="1"/>
      <w:numFmt w:val="lowerRoman"/>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5471FD"/>
    <w:multiLevelType w:val="hybridMultilevel"/>
    <w:tmpl w:val="4CE8E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45C"/>
    <w:rsid w:val="00091888"/>
    <w:rsid w:val="000973C1"/>
    <w:rsid w:val="000E7F48"/>
    <w:rsid w:val="000F2AAA"/>
    <w:rsid w:val="000F2B16"/>
    <w:rsid w:val="000F3845"/>
    <w:rsid w:val="00132AAE"/>
    <w:rsid w:val="00151343"/>
    <w:rsid w:val="001769CE"/>
    <w:rsid w:val="00190C8B"/>
    <w:rsid w:val="00190F09"/>
    <w:rsid w:val="001B7A26"/>
    <w:rsid w:val="001C1A0E"/>
    <w:rsid w:val="001D5F25"/>
    <w:rsid w:val="00210A25"/>
    <w:rsid w:val="00216D09"/>
    <w:rsid w:val="00234B8D"/>
    <w:rsid w:val="00241978"/>
    <w:rsid w:val="00287C58"/>
    <w:rsid w:val="002D37A4"/>
    <w:rsid w:val="002F5BFC"/>
    <w:rsid w:val="00323231"/>
    <w:rsid w:val="00331272"/>
    <w:rsid w:val="00383B43"/>
    <w:rsid w:val="003862EB"/>
    <w:rsid w:val="003C7BB0"/>
    <w:rsid w:val="003D227B"/>
    <w:rsid w:val="003E2BFF"/>
    <w:rsid w:val="003F36B1"/>
    <w:rsid w:val="003F5C87"/>
    <w:rsid w:val="00420B6A"/>
    <w:rsid w:val="0049540E"/>
    <w:rsid w:val="004A4DF9"/>
    <w:rsid w:val="004A4F55"/>
    <w:rsid w:val="004B6509"/>
    <w:rsid w:val="004E394E"/>
    <w:rsid w:val="00510062"/>
    <w:rsid w:val="00526021"/>
    <w:rsid w:val="00541232"/>
    <w:rsid w:val="005439B0"/>
    <w:rsid w:val="005C3309"/>
    <w:rsid w:val="005E1033"/>
    <w:rsid w:val="005E3353"/>
    <w:rsid w:val="005F3E34"/>
    <w:rsid w:val="0063345C"/>
    <w:rsid w:val="00636E37"/>
    <w:rsid w:val="00651B14"/>
    <w:rsid w:val="006E6D88"/>
    <w:rsid w:val="00765807"/>
    <w:rsid w:val="0077157C"/>
    <w:rsid w:val="007D154C"/>
    <w:rsid w:val="007E15DA"/>
    <w:rsid w:val="007F6C04"/>
    <w:rsid w:val="0081514C"/>
    <w:rsid w:val="008377D3"/>
    <w:rsid w:val="00840915"/>
    <w:rsid w:val="00871E8B"/>
    <w:rsid w:val="00881F1F"/>
    <w:rsid w:val="008B3AA9"/>
    <w:rsid w:val="008B4C89"/>
    <w:rsid w:val="008C64A1"/>
    <w:rsid w:val="008D3247"/>
    <w:rsid w:val="008E5F15"/>
    <w:rsid w:val="008E6FBD"/>
    <w:rsid w:val="00913DEB"/>
    <w:rsid w:val="00922F9B"/>
    <w:rsid w:val="00937CE3"/>
    <w:rsid w:val="00950606"/>
    <w:rsid w:val="00990C15"/>
    <w:rsid w:val="009B36D9"/>
    <w:rsid w:val="009D246B"/>
    <w:rsid w:val="00A071F4"/>
    <w:rsid w:val="00A1265F"/>
    <w:rsid w:val="00A13BD9"/>
    <w:rsid w:val="00A14860"/>
    <w:rsid w:val="00A607BB"/>
    <w:rsid w:val="00A751E1"/>
    <w:rsid w:val="00A77106"/>
    <w:rsid w:val="00AA29C3"/>
    <w:rsid w:val="00AA7033"/>
    <w:rsid w:val="00AB7C9A"/>
    <w:rsid w:val="00AC5001"/>
    <w:rsid w:val="00AF7A0C"/>
    <w:rsid w:val="00B24240"/>
    <w:rsid w:val="00B5606F"/>
    <w:rsid w:val="00B75387"/>
    <w:rsid w:val="00BA4182"/>
    <w:rsid w:val="00BA43C2"/>
    <w:rsid w:val="00BB17CB"/>
    <w:rsid w:val="00BD4244"/>
    <w:rsid w:val="00C163CA"/>
    <w:rsid w:val="00C41CAB"/>
    <w:rsid w:val="00C41FE7"/>
    <w:rsid w:val="00C5196E"/>
    <w:rsid w:val="00C6180E"/>
    <w:rsid w:val="00C665EA"/>
    <w:rsid w:val="00C945FC"/>
    <w:rsid w:val="00CC0FE8"/>
    <w:rsid w:val="00CC2F71"/>
    <w:rsid w:val="00CE458D"/>
    <w:rsid w:val="00CE52D2"/>
    <w:rsid w:val="00D079BC"/>
    <w:rsid w:val="00D50C9A"/>
    <w:rsid w:val="00D75774"/>
    <w:rsid w:val="00D95B0A"/>
    <w:rsid w:val="00E27C90"/>
    <w:rsid w:val="00E3399D"/>
    <w:rsid w:val="00E37F10"/>
    <w:rsid w:val="00E47983"/>
    <w:rsid w:val="00E85C26"/>
    <w:rsid w:val="00EC4888"/>
    <w:rsid w:val="00ED3D63"/>
    <w:rsid w:val="00EF630D"/>
    <w:rsid w:val="00F072E1"/>
    <w:rsid w:val="00F356F4"/>
    <w:rsid w:val="00F61297"/>
    <w:rsid w:val="00F92E3E"/>
    <w:rsid w:val="00FF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45C"/>
    <w:rPr>
      <w:rFonts w:ascii="Tahoma" w:hAnsi="Tahoma" w:cs="Tahoma"/>
      <w:sz w:val="16"/>
      <w:szCs w:val="16"/>
    </w:rPr>
  </w:style>
  <w:style w:type="paragraph" w:styleId="ListParagraph">
    <w:name w:val="List Paragraph"/>
    <w:basedOn w:val="Normal"/>
    <w:uiPriority w:val="34"/>
    <w:qFormat/>
    <w:rsid w:val="00F92E3E"/>
    <w:pPr>
      <w:ind w:left="720"/>
      <w:contextualSpacing/>
    </w:pPr>
  </w:style>
  <w:style w:type="character" w:styleId="CommentReference">
    <w:name w:val="annotation reference"/>
    <w:basedOn w:val="DefaultParagraphFont"/>
    <w:uiPriority w:val="99"/>
    <w:semiHidden/>
    <w:unhideWhenUsed/>
    <w:rsid w:val="006E6D88"/>
    <w:rPr>
      <w:sz w:val="16"/>
      <w:szCs w:val="16"/>
    </w:rPr>
  </w:style>
  <w:style w:type="paragraph" w:styleId="CommentText">
    <w:name w:val="annotation text"/>
    <w:basedOn w:val="Normal"/>
    <w:link w:val="CommentTextChar"/>
    <w:uiPriority w:val="99"/>
    <w:semiHidden/>
    <w:unhideWhenUsed/>
    <w:rsid w:val="006E6D88"/>
    <w:pPr>
      <w:spacing w:line="240" w:lineRule="auto"/>
    </w:pPr>
    <w:rPr>
      <w:sz w:val="20"/>
      <w:szCs w:val="20"/>
    </w:rPr>
  </w:style>
  <w:style w:type="character" w:customStyle="1" w:styleId="CommentTextChar">
    <w:name w:val="Comment Text Char"/>
    <w:basedOn w:val="DefaultParagraphFont"/>
    <w:link w:val="CommentText"/>
    <w:uiPriority w:val="99"/>
    <w:semiHidden/>
    <w:rsid w:val="006E6D88"/>
    <w:rPr>
      <w:sz w:val="20"/>
      <w:szCs w:val="20"/>
    </w:rPr>
  </w:style>
  <w:style w:type="paragraph" w:styleId="CommentSubject">
    <w:name w:val="annotation subject"/>
    <w:basedOn w:val="CommentText"/>
    <w:next w:val="CommentText"/>
    <w:link w:val="CommentSubjectChar"/>
    <w:uiPriority w:val="99"/>
    <w:semiHidden/>
    <w:unhideWhenUsed/>
    <w:rsid w:val="006E6D88"/>
    <w:rPr>
      <w:b/>
      <w:bCs/>
    </w:rPr>
  </w:style>
  <w:style w:type="character" w:customStyle="1" w:styleId="CommentSubjectChar">
    <w:name w:val="Comment Subject Char"/>
    <w:basedOn w:val="CommentTextChar"/>
    <w:link w:val="CommentSubject"/>
    <w:uiPriority w:val="99"/>
    <w:semiHidden/>
    <w:rsid w:val="006E6D8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45C"/>
    <w:rPr>
      <w:rFonts w:ascii="Tahoma" w:hAnsi="Tahoma" w:cs="Tahoma"/>
      <w:sz w:val="16"/>
      <w:szCs w:val="16"/>
    </w:rPr>
  </w:style>
  <w:style w:type="paragraph" w:styleId="ListParagraph">
    <w:name w:val="List Paragraph"/>
    <w:basedOn w:val="Normal"/>
    <w:uiPriority w:val="34"/>
    <w:qFormat/>
    <w:rsid w:val="00F92E3E"/>
    <w:pPr>
      <w:ind w:left="720"/>
      <w:contextualSpacing/>
    </w:pPr>
  </w:style>
  <w:style w:type="character" w:styleId="CommentReference">
    <w:name w:val="annotation reference"/>
    <w:basedOn w:val="DefaultParagraphFont"/>
    <w:uiPriority w:val="99"/>
    <w:semiHidden/>
    <w:unhideWhenUsed/>
    <w:rsid w:val="006E6D88"/>
    <w:rPr>
      <w:sz w:val="16"/>
      <w:szCs w:val="16"/>
    </w:rPr>
  </w:style>
  <w:style w:type="paragraph" w:styleId="CommentText">
    <w:name w:val="annotation text"/>
    <w:basedOn w:val="Normal"/>
    <w:link w:val="CommentTextChar"/>
    <w:uiPriority w:val="99"/>
    <w:semiHidden/>
    <w:unhideWhenUsed/>
    <w:rsid w:val="006E6D88"/>
    <w:pPr>
      <w:spacing w:line="240" w:lineRule="auto"/>
    </w:pPr>
    <w:rPr>
      <w:sz w:val="20"/>
      <w:szCs w:val="20"/>
    </w:rPr>
  </w:style>
  <w:style w:type="character" w:customStyle="1" w:styleId="CommentTextChar">
    <w:name w:val="Comment Text Char"/>
    <w:basedOn w:val="DefaultParagraphFont"/>
    <w:link w:val="CommentText"/>
    <w:uiPriority w:val="99"/>
    <w:semiHidden/>
    <w:rsid w:val="006E6D88"/>
    <w:rPr>
      <w:sz w:val="20"/>
      <w:szCs w:val="20"/>
    </w:rPr>
  </w:style>
  <w:style w:type="paragraph" w:styleId="CommentSubject">
    <w:name w:val="annotation subject"/>
    <w:basedOn w:val="CommentText"/>
    <w:next w:val="CommentText"/>
    <w:link w:val="CommentSubjectChar"/>
    <w:uiPriority w:val="99"/>
    <w:semiHidden/>
    <w:unhideWhenUsed/>
    <w:rsid w:val="006E6D88"/>
    <w:rPr>
      <w:b/>
      <w:bCs/>
    </w:rPr>
  </w:style>
  <w:style w:type="character" w:customStyle="1" w:styleId="CommentSubjectChar">
    <w:name w:val="Comment Subject Char"/>
    <w:basedOn w:val="CommentTextChar"/>
    <w:link w:val="CommentSubject"/>
    <w:uiPriority w:val="99"/>
    <w:semiHidden/>
    <w:rsid w:val="006E6D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29927">
      <w:bodyDiv w:val="1"/>
      <w:marLeft w:val="0"/>
      <w:marRight w:val="0"/>
      <w:marTop w:val="0"/>
      <w:marBottom w:val="0"/>
      <w:divBdr>
        <w:top w:val="none" w:sz="0" w:space="0" w:color="auto"/>
        <w:left w:val="none" w:sz="0" w:space="0" w:color="auto"/>
        <w:bottom w:val="none" w:sz="0" w:space="0" w:color="auto"/>
        <w:right w:val="none" w:sz="0" w:space="0" w:color="auto"/>
      </w:divBdr>
    </w:div>
    <w:div w:id="413359150">
      <w:bodyDiv w:val="1"/>
      <w:marLeft w:val="0"/>
      <w:marRight w:val="0"/>
      <w:marTop w:val="0"/>
      <w:marBottom w:val="0"/>
      <w:divBdr>
        <w:top w:val="none" w:sz="0" w:space="0" w:color="auto"/>
        <w:left w:val="none" w:sz="0" w:space="0" w:color="auto"/>
        <w:bottom w:val="none" w:sz="0" w:space="0" w:color="auto"/>
        <w:right w:val="none" w:sz="0" w:space="0" w:color="auto"/>
      </w:divBdr>
    </w:div>
    <w:div w:id="627591955">
      <w:bodyDiv w:val="1"/>
      <w:marLeft w:val="0"/>
      <w:marRight w:val="0"/>
      <w:marTop w:val="0"/>
      <w:marBottom w:val="0"/>
      <w:divBdr>
        <w:top w:val="none" w:sz="0" w:space="0" w:color="auto"/>
        <w:left w:val="none" w:sz="0" w:space="0" w:color="auto"/>
        <w:bottom w:val="none" w:sz="0" w:space="0" w:color="auto"/>
        <w:right w:val="none" w:sz="0" w:space="0" w:color="auto"/>
      </w:divBdr>
    </w:div>
    <w:div w:id="632952277">
      <w:bodyDiv w:val="1"/>
      <w:marLeft w:val="0"/>
      <w:marRight w:val="0"/>
      <w:marTop w:val="0"/>
      <w:marBottom w:val="0"/>
      <w:divBdr>
        <w:top w:val="none" w:sz="0" w:space="0" w:color="auto"/>
        <w:left w:val="none" w:sz="0" w:space="0" w:color="auto"/>
        <w:bottom w:val="none" w:sz="0" w:space="0" w:color="auto"/>
        <w:right w:val="none" w:sz="0" w:space="0" w:color="auto"/>
      </w:divBdr>
    </w:div>
    <w:div w:id="1244729506">
      <w:bodyDiv w:val="1"/>
      <w:marLeft w:val="0"/>
      <w:marRight w:val="0"/>
      <w:marTop w:val="0"/>
      <w:marBottom w:val="0"/>
      <w:divBdr>
        <w:top w:val="none" w:sz="0" w:space="0" w:color="auto"/>
        <w:left w:val="none" w:sz="0" w:space="0" w:color="auto"/>
        <w:bottom w:val="none" w:sz="0" w:space="0" w:color="auto"/>
        <w:right w:val="none" w:sz="0" w:space="0" w:color="auto"/>
      </w:divBdr>
      <w:divsChild>
        <w:div w:id="187564823">
          <w:marLeft w:val="0"/>
          <w:marRight w:val="0"/>
          <w:marTop w:val="0"/>
          <w:marBottom w:val="0"/>
          <w:divBdr>
            <w:top w:val="none" w:sz="0" w:space="0" w:color="auto"/>
            <w:left w:val="none" w:sz="0" w:space="0" w:color="auto"/>
            <w:bottom w:val="none" w:sz="0" w:space="0" w:color="auto"/>
            <w:right w:val="none" w:sz="0" w:space="0" w:color="auto"/>
          </w:divBdr>
        </w:div>
        <w:div w:id="24061248">
          <w:marLeft w:val="0"/>
          <w:marRight w:val="0"/>
          <w:marTop w:val="0"/>
          <w:marBottom w:val="0"/>
          <w:divBdr>
            <w:top w:val="none" w:sz="0" w:space="0" w:color="auto"/>
            <w:left w:val="none" w:sz="0" w:space="0" w:color="auto"/>
            <w:bottom w:val="none" w:sz="0" w:space="0" w:color="auto"/>
            <w:right w:val="none" w:sz="0" w:space="0" w:color="auto"/>
          </w:divBdr>
        </w:div>
        <w:div w:id="646741067">
          <w:marLeft w:val="0"/>
          <w:marRight w:val="0"/>
          <w:marTop w:val="0"/>
          <w:marBottom w:val="0"/>
          <w:divBdr>
            <w:top w:val="none" w:sz="0" w:space="0" w:color="auto"/>
            <w:left w:val="none" w:sz="0" w:space="0" w:color="auto"/>
            <w:bottom w:val="none" w:sz="0" w:space="0" w:color="auto"/>
            <w:right w:val="none" w:sz="0" w:space="0" w:color="auto"/>
          </w:divBdr>
        </w:div>
        <w:div w:id="1997488108">
          <w:marLeft w:val="0"/>
          <w:marRight w:val="0"/>
          <w:marTop w:val="0"/>
          <w:marBottom w:val="0"/>
          <w:divBdr>
            <w:top w:val="none" w:sz="0" w:space="0" w:color="auto"/>
            <w:left w:val="none" w:sz="0" w:space="0" w:color="auto"/>
            <w:bottom w:val="none" w:sz="0" w:space="0" w:color="auto"/>
            <w:right w:val="none" w:sz="0" w:space="0" w:color="auto"/>
          </w:divBdr>
        </w:div>
        <w:div w:id="1780371969">
          <w:marLeft w:val="0"/>
          <w:marRight w:val="0"/>
          <w:marTop w:val="0"/>
          <w:marBottom w:val="0"/>
          <w:divBdr>
            <w:top w:val="none" w:sz="0" w:space="0" w:color="auto"/>
            <w:left w:val="none" w:sz="0" w:space="0" w:color="auto"/>
            <w:bottom w:val="none" w:sz="0" w:space="0" w:color="auto"/>
            <w:right w:val="none" w:sz="0" w:space="0" w:color="auto"/>
          </w:divBdr>
        </w:div>
        <w:div w:id="33237973">
          <w:marLeft w:val="0"/>
          <w:marRight w:val="0"/>
          <w:marTop w:val="0"/>
          <w:marBottom w:val="0"/>
          <w:divBdr>
            <w:top w:val="none" w:sz="0" w:space="0" w:color="auto"/>
            <w:left w:val="none" w:sz="0" w:space="0" w:color="auto"/>
            <w:bottom w:val="none" w:sz="0" w:space="0" w:color="auto"/>
            <w:right w:val="none" w:sz="0" w:space="0" w:color="auto"/>
          </w:divBdr>
        </w:div>
        <w:div w:id="547451248">
          <w:marLeft w:val="0"/>
          <w:marRight w:val="0"/>
          <w:marTop w:val="0"/>
          <w:marBottom w:val="0"/>
          <w:divBdr>
            <w:top w:val="none" w:sz="0" w:space="0" w:color="auto"/>
            <w:left w:val="none" w:sz="0" w:space="0" w:color="auto"/>
            <w:bottom w:val="none" w:sz="0" w:space="0" w:color="auto"/>
            <w:right w:val="none" w:sz="0" w:space="0" w:color="auto"/>
          </w:divBdr>
        </w:div>
        <w:div w:id="204562441">
          <w:marLeft w:val="0"/>
          <w:marRight w:val="0"/>
          <w:marTop w:val="0"/>
          <w:marBottom w:val="0"/>
          <w:divBdr>
            <w:top w:val="none" w:sz="0" w:space="0" w:color="auto"/>
            <w:left w:val="none" w:sz="0" w:space="0" w:color="auto"/>
            <w:bottom w:val="none" w:sz="0" w:space="0" w:color="auto"/>
            <w:right w:val="none" w:sz="0" w:space="0" w:color="auto"/>
          </w:divBdr>
        </w:div>
        <w:div w:id="1523786253">
          <w:marLeft w:val="0"/>
          <w:marRight w:val="0"/>
          <w:marTop w:val="0"/>
          <w:marBottom w:val="0"/>
          <w:divBdr>
            <w:top w:val="none" w:sz="0" w:space="0" w:color="auto"/>
            <w:left w:val="none" w:sz="0" w:space="0" w:color="auto"/>
            <w:bottom w:val="none" w:sz="0" w:space="0" w:color="auto"/>
            <w:right w:val="none" w:sz="0" w:space="0" w:color="auto"/>
          </w:divBdr>
        </w:div>
        <w:div w:id="1586911345">
          <w:marLeft w:val="0"/>
          <w:marRight w:val="0"/>
          <w:marTop w:val="0"/>
          <w:marBottom w:val="0"/>
          <w:divBdr>
            <w:top w:val="none" w:sz="0" w:space="0" w:color="auto"/>
            <w:left w:val="none" w:sz="0" w:space="0" w:color="auto"/>
            <w:bottom w:val="none" w:sz="0" w:space="0" w:color="auto"/>
            <w:right w:val="none" w:sz="0" w:space="0" w:color="auto"/>
          </w:divBdr>
        </w:div>
        <w:div w:id="21522443">
          <w:marLeft w:val="0"/>
          <w:marRight w:val="0"/>
          <w:marTop w:val="0"/>
          <w:marBottom w:val="0"/>
          <w:divBdr>
            <w:top w:val="none" w:sz="0" w:space="0" w:color="auto"/>
            <w:left w:val="none" w:sz="0" w:space="0" w:color="auto"/>
            <w:bottom w:val="none" w:sz="0" w:space="0" w:color="auto"/>
            <w:right w:val="none" w:sz="0" w:space="0" w:color="auto"/>
          </w:divBdr>
        </w:div>
        <w:div w:id="309209264">
          <w:marLeft w:val="0"/>
          <w:marRight w:val="0"/>
          <w:marTop w:val="0"/>
          <w:marBottom w:val="0"/>
          <w:divBdr>
            <w:top w:val="none" w:sz="0" w:space="0" w:color="auto"/>
            <w:left w:val="none" w:sz="0" w:space="0" w:color="auto"/>
            <w:bottom w:val="none" w:sz="0" w:space="0" w:color="auto"/>
            <w:right w:val="none" w:sz="0" w:space="0" w:color="auto"/>
          </w:divBdr>
        </w:div>
        <w:div w:id="112288298">
          <w:marLeft w:val="0"/>
          <w:marRight w:val="0"/>
          <w:marTop w:val="0"/>
          <w:marBottom w:val="0"/>
          <w:divBdr>
            <w:top w:val="none" w:sz="0" w:space="0" w:color="auto"/>
            <w:left w:val="none" w:sz="0" w:space="0" w:color="auto"/>
            <w:bottom w:val="none" w:sz="0" w:space="0" w:color="auto"/>
            <w:right w:val="none" w:sz="0" w:space="0" w:color="auto"/>
          </w:divBdr>
        </w:div>
        <w:div w:id="180818965">
          <w:marLeft w:val="0"/>
          <w:marRight w:val="0"/>
          <w:marTop w:val="0"/>
          <w:marBottom w:val="0"/>
          <w:divBdr>
            <w:top w:val="none" w:sz="0" w:space="0" w:color="auto"/>
            <w:left w:val="none" w:sz="0" w:space="0" w:color="auto"/>
            <w:bottom w:val="none" w:sz="0" w:space="0" w:color="auto"/>
            <w:right w:val="none" w:sz="0" w:space="0" w:color="auto"/>
          </w:divBdr>
        </w:div>
        <w:div w:id="1731882495">
          <w:marLeft w:val="0"/>
          <w:marRight w:val="0"/>
          <w:marTop w:val="0"/>
          <w:marBottom w:val="0"/>
          <w:divBdr>
            <w:top w:val="none" w:sz="0" w:space="0" w:color="auto"/>
            <w:left w:val="none" w:sz="0" w:space="0" w:color="auto"/>
            <w:bottom w:val="none" w:sz="0" w:space="0" w:color="auto"/>
            <w:right w:val="none" w:sz="0" w:space="0" w:color="auto"/>
          </w:divBdr>
        </w:div>
        <w:div w:id="2046438889">
          <w:marLeft w:val="0"/>
          <w:marRight w:val="0"/>
          <w:marTop w:val="0"/>
          <w:marBottom w:val="0"/>
          <w:divBdr>
            <w:top w:val="none" w:sz="0" w:space="0" w:color="auto"/>
            <w:left w:val="none" w:sz="0" w:space="0" w:color="auto"/>
            <w:bottom w:val="none" w:sz="0" w:space="0" w:color="auto"/>
            <w:right w:val="none" w:sz="0" w:space="0" w:color="auto"/>
          </w:divBdr>
        </w:div>
        <w:div w:id="1788886205">
          <w:marLeft w:val="0"/>
          <w:marRight w:val="0"/>
          <w:marTop w:val="0"/>
          <w:marBottom w:val="0"/>
          <w:divBdr>
            <w:top w:val="none" w:sz="0" w:space="0" w:color="auto"/>
            <w:left w:val="none" w:sz="0" w:space="0" w:color="auto"/>
            <w:bottom w:val="none" w:sz="0" w:space="0" w:color="auto"/>
            <w:right w:val="none" w:sz="0" w:space="0" w:color="auto"/>
          </w:divBdr>
        </w:div>
        <w:div w:id="796527258">
          <w:marLeft w:val="0"/>
          <w:marRight w:val="0"/>
          <w:marTop w:val="0"/>
          <w:marBottom w:val="0"/>
          <w:divBdr>
            <w:top w:val="none" w:sz="0" w:space="0" w:color="auto"/>
            <w:left w:val="none" w:sz="0" w:space="0" w:color="auto"/>
            <w:bottom w:val="none" w:sz="0" w:space="0" w:color="auto"/>
            <w:right w:val="none" w:sz="0" w:space="0" w:color="auto"/>
          </w:divBdr>
        </w:div>
        <w:div w:id="1075974844">
          <w:marLeft w:val="0"/>
          <w:marRight w:val="0"/>
          <w:marTop w:val="0"/>
          <w:marBottom w:val="0"/>
          <w:divBdr>
            <w:top w:val="none" w:sz="0" w:space="0" w:color="auto"/>
            <w:left w:val="none" w:sz="0" w:space="0" w:color="auto"/>
            <w:bottom w:val="none" w:sz="0" w:space="0" w:color="auto"/>
            <w:right w:val="none" w:sz="0" w:space="0" w:color="auto"/>
          </w:divBdr>
        </w:div>
        <w:div w:id="1252156364">
          <w:marLeft w:val="0"/>
          <w:marRight w:val="0"/>
          <w:marTop w:val="0"/>
          <w:marBottom w:val="0"/>
          <w:divBdr>
            <w:top w:val="none" w:sz="0" w:space="0" w:color="auto"/>
            <w:left w:val="none" w:sz="0" w:space="0" w:color="auto"/>
            <w:bottom w:val="none" w:sz="0" w:space="0" w:color="auto"/>
            <w:right w:val="none" w:sz="0" w:space="0" w:color="auto"/>
          </w:divBdr>
        </w:div>
        <w:div w:id="872962345">
          <w:marLeft w:val="0"/>
          <w:marRight w:val="0"/>
          <w:marTop w:val="0"/>
          <w:marBottom w:val="0"/>
          <w:divBdr>
            <w:top w:val="none" w:sz="0" w:space="0" w:color="auto"/>
            <w:left w:val="none" w:sz="0" w:space="0" w:color="auto"/>
            <w:bottom w:val="none" w:sz="0" w:space="0" w:color="auto"/>
            <w:right w:val="none" w:sz="0" w:space="0" w:color="auto"/>
          </w:divBdr>
        </w:div>
        <w:div w:id="435102806">
          <w:marLeft w:val="0"/>
          <w:marRight w:val="0"/>
          <w:marTop w:val="0"/>
          <w:marBottom w:val="0"/>
          <w:divBdr>
            <w:top w:val="none" w:sz="0" w:space="0" w:color="auto"/>
            <w:left w:val="none" w:sz="0" w:space="0" w:color="auto"/>
            <w:bottom w:val="none" w:sz="0" w:space="0" w:color="auto"/>
            <w:right w:val="none" w:sz="0" w:space="0" w:color="auto"/>
          </w:divBdr>
        </w:div>
        <w:div w:id="95449389">
          <w:marLeft w:val="0"/>
          <w:marRight w:val="0"/>
          <w:marTop w:val="0"/>
          <w:marBottom w:val="0"/>
          <w:divBdr>
            <w:top w:val="none" w:sz="0" w:space="0" w:color="auto"/>
            <w:left w:val="none" w:sz="0" w:space="0" w:color="auto"/>
            <w:bottom w:val="none" w:sz="0" w:space="0" w:color="auto"/>
            <w:right w:val="none" w:sz="0" w:space="0" w:color="auto"/>
          </w:divBdr>
        </w:div>
        <w:div w:id="1863778774">
          <w:marLeft w:val="0"/>
          <w:marRight w:val="0"/>
          <w:marTop w:val="0"/>
          <w:marBottom w:val="0"/>
          <w:divBdr>
            <w:top w:val="none" w:sz="0" w:space="0" w:color="auto"/>
            <w:left w:val="none" w:sz="0" w:space="0" w:color="auto"/>
            <w:bottom w:val="none" w:sz="0" w:space="0" w:color="auto"/>
            <w:right w:val="none" w:sz="0" w:space="0" w:color="auto"/>
          </w:divBdr>
        </w:div>
        <w:div w:id="1680809983">
          <w:marLeft w:val="0"/>
          <w:marRight w:val="0"/>
          <w:marTop w:val="0"/>
          <w:marBottom w:val="0"/>
          <w:divBdr>
            <w:top w:val="none" w:sz="0" w:space="0" w:color="auto"/>
            <w:left w:val="none" w:sz="0" w:space="0" w:color="auto"/>
            <w:bottom w:val="none" w:sz="0" w:space="0" w:color="auto"/>
            <w:right w:val="none" w:sz="0" w:space="0" w:color="auto"/>
          </w:divBdr>
        </w:div>
        <w:div w:id="374045676">
          <w:marLeft w:val="0"/>
          <w:marRight w:val="0"/>
          <w:marTop w:val="0"/>
          <w:marBottom w:val="0"/>
          <w:divBdr>
            <w:top w:val="none" w:sz="0" w:space="0" w:color="auto"/>
            <w:left w:val="none" w:sz="0" w:space="0" w:color="auto"/>
            <w:bottom w:val="none" w:sz="0" w:space="0" w:color="auto"/>
            <w:right w:val="none" w:sz="0" w:space="0" w:color="auto"/>
          </w:divBdr>
        </w:div>
        <w:div w:id="771054810">
          <w:marLeft w:val="0"/>
          <w:marRight w:val="0"/>
          <w:marTop w:val="0"/>
          <w:marBottom w:val="0"/>
          <w:divBdr>
            <w:top w:val="none" w:sz="0" w:space="0" w:color="auto"/>
            <w:left w:val="none" w:sz="0" w:space="0" w:color="auto"/>
            <w:bottom w:val="none" w:sz="0" w:space="0" w:color="auto"/>
            <w:right w:val="none" w:sz="0" w:space="0" w:color="auto"/>
          </w:divBdr>
        </w:div>
        <w:div w:id="1277251038">
          <w:marLeft w:val="0"/>
          <w:marRight w:val="0"/>
          <w:marTop w:val="0"/>
          <w:marBottom w:val="0"/>
          <w:divBdr>
            <w:top w:val="none" w:sz="0" w:space="0" w:color="auto"/>
            <w:left w:val="none" w:sz="0" w:space="0" w:color="auto"/>
            <w:bottom w:val="none" w:sz="0" w:space="0" w:color="auto"/>
            <w:right w:val="none" w:sz="0" w:space="0" w:color="auto"/>
          </w:divBdr>
        </w:div>
        <w:div w:id="1253853264">
          <w:marLeft w:val="0"/>
          <w:marRight w:val="0"/>
          <w:marTop w:val="0"/>
          <w:marBottom w:val="0"/>
          <w:divBdr>
            <w:top w:val="none" w:sz="0" w:space="0" w:color="auto"/>
            <w:left w:val="none" w:sz="0" w:space="0" w:color="auto"/>
            <w:bottom w:val="none" w:sz="0" w:space="0" w:color="auto"/>
            <w:right w:val="none" w:sz="0" w:space="0" w:color="auto"/>
          </w:divBdr>
        </w:div>
        <w:div w:id="1415392027">
          <w:marLeft w:val="0"/>
          <w:marRight w:val="0"/>
          <w:marTop w:val="0"/>
          <w:marBottom w:val="0"/>
          <w:divBdr>
            <w:top w:val="none" w:sz="0" w:space="0" w:color="auto"/>
            <w:left w:val="none" w:sz="0" w:space="0" w:color="auto"/>
            <w:bottom w:val="none" w:sz="0" w:space="0" w:color="auto"/>
            <w:right w:val="none" w:sz="0" w:space="0" w:color="auto"/>
          </w:divBdr>
        </w:div>
        <w:div w:id="789907412">
          <w:marLeft w:val="0"/>
          <w:marRight w:val="0"/>
          <w:marTop w:val="0"/>
          <w:marBottom w:val="0"/>
          <w:divBdr>
            <w:top w:val="none" w:sz="0" w:space="0" w:color="auto"/>
            <w:left w:val="none" w:sz="0" w:space="0" w:color="auto"/>
            <w:bottom w:val="none" w:sz="0" w:space="0" w:color="auto"/>
            <w:right w:val="none" w:sz="0" w:space="0" w:color="auto"/>
          </w:divBdr>
        </w:div>
        <w:div w:id="1744985678">
          <w:marLeft w:val="0"/>
          <w:marRight w:val="0"/>
          <w:marTop w:val="0"/>
          <w:marBottom w:val="0"/>
          <w:divBdr>
            <w:top w:val="none" w:sz="0" w:space="0" w:color="auto"/>
            <w:left w:val="none" w:sz="0" w:space="0" w:color="auto"/>
            <w:bottom w:val="none" w:sz="0" w:space="0" w:color="auto"/>
            <w:right w:val="none" w:sz="0" w:space="0" w:color="auto"/>
          </w:divBdr>
        </w:div>
        <w:div w:id="1965887142">
          <w:marLeft w:val="0"/>
          <w:marRight w:val="0"/>
          <w:marTop w:val="0"/>
          <w:marBottom w:val="0"/>
          <w:divBdr>
            <w:top w:val="none" w:sz="0" w:space="0" w:color="auto"/>
            <w:left w:val="none" w:sz="0" w:space="0" w:color="auto"/>
            <w:bottom w:val="none" w:sz="0" w:space="0" w:color="auto"/>
            <w:right w:val="none" w:sz="0" w:space="0" w:color="auto"/>
          </w:divBdr>
        </w:div>
        <w:div w:id="240723819">
          <w:marLeft w:val="0"/>
          <w:marRight w:val="0"/>
          <w:marTop w:val="0"/>
          <w:marBottom w:val="0"/>
          <w:divBdr>
            <w:top w:val="none" w:sz="0" w:space="0" w:color="auto"/>
            <w:left w:val="none" w:sz="0" w:space="0" w:color="auto"/>
            <w:bottom w:val="none" w:sz="0" w:space="0" w:color="auto"/>
            <w:right w:val="none" w:sz="0" w:space="0" w:color="auto"/>
          </w:divBdr>
        </w:div>
        <w:div w:id="1123234971">
          <w:marLeft w:val="0"/>
          <w:marRight w:val="0"/>
          <w:marTop w:val="0"/>
          <w:marBottom w:val="0"/>
          <w:divBdr>
            <w:top w:val="none" w:sz="0" w:space="0" w:color="auto"/>
            <w:left w:val="none" w:sz="0" w:space="0" w:color="auto"/>
            <w:bottom w:val="none" w:sz="0" w:space="0" w:color="auto"/>
            <w:right w:val="none" w:sz="0" w:space="0" w:color="auto"/>
          </w:divBdr>
        </w:div>
        <w:div w:id="731587727">
          <w:marLeft w:val="0"/>
          <w:marRight w:val="0"/>
          <w:marTop w:val="0"/>
          <w:marBottom w:val="0"/>
          <w:divBdr>
            <w:top w:val="none" w:sz="0" w:space="0" w:color="auto"/>
            <w:left w:val="none" w:sz="0" w:space="0" w:color="auto"/>
            <w:bottom w:val="none" w:sz="0" w:space="0" w:color="auto"/>
            <w:right w:val="none" w:sz="0" w:space="0" w:color="auto"/>
          </w:divBdr>
        </w:div>
        <w:div w:id="276644613">
          <w:marLeft w:val="0"/>
          <w:marRight w:val="0"/>
          <w:marTop w:val="0"/>
          <w:marBottom w:val="0"/>
          <w:divBdr>
            <w:top w:val="none" w:sz="0" w:space="0" w:color="auto"/>
            <w:left w:val="none" w:sz="0" w:space="0" w:color="auto"/>
            <w:bottom w:val="none" w:sz="0" w:space="0" w:color="auto"/>
            <w:right w:val="none" w:sz="0" w:space="0" w:color="auto"/>
          </w:divBdr>
        </w:div>
        <w:div w:id="1120346095">
          <w:marLeft w:val="0"/>
          <w:marRight w:val="0"/>
          <w:marTop w:val="0"/>
          <w:marBottom w:val="0"/>
          <w:divBdr>
            <w:top w:val="none" w:sz="0" w:space="0" w:color="auto"/>
            <w:left w:val="none" w:sz="0" w:space="0" w:color="auto"/>
            <w:bottom w:val="none" w:sz="0" w:space="0" w:color="auto"/>
            <w:right w:val="none" w:sz="0" w:space="0" w:color="auto"/>
          </w:divBdr>
        </w:div>
        <w:div w:id="614676297">
          <w:marLeft w:val="0"/>
          <w:marRight w:val="0"/>
          <w:marTop w:val="0"/>
          <w:marBottom w:val="0"/>
          <w:divBdr>
            <w:top w:val="none" w:sz="0" w:space="0" w:color="auto"/>
            <w:left w:val="none" w:sz="0" w:space="0" w:color="auto"/>
            <w:bottom w:val="none" w:sz="0" w:space="0" w:color="auto"/>
            <w:right w:val="none" w:sz="0" w:space="0" w:color="auto"/>
          </w:divBdr>
        </w:div>
        <w:div w:id="1923641932">
          <w:marLeft w:val="0"/>
          <w:marRight w:val="0"/>
          <w:marTop w:val="0"/>
          <w:marBottom w:val="0"/>
          <w:divBdr>
            <w:top w:val="none" w:sz="0" w:space="0" w:color="auto"/>
            <w:left w:val="none" w:sz="0" w:space="0" w:color="auto"/>
            <w:bottom w:val="none" w:sz="0" w:space="0" w:color="auto"/>
            <w:right w:val="none" w:sz="0" w:space="0" w:color="auto"/>
          </w:divBdr>
        </w:div>
        <w:div w:id="154103911">
          <w:marLeft w:val="0"/>
          <w:marRight w:val="0"/>
          <w:marTop w:val="0"/>
          <w:marBottom w:val="0"/>
          <w:divBdr>
            <w:top w:val="none" w:sz="0" w:space="0" w:color="auto"/>
            <w:left w:val="none" w:sz="0" w:space="0" w:color="auto"/>
            <w:bottom w:val="none" w:sz="0" w:space="0" w:color="auto"/>
            <w:right w:val="none" w:sz="0" w:space="0" w:color="auto"/>
          </w:divBdr>
        </w:div>
        <w:div w:id="1295407538">
          <w:marLeft w:val="0"/>
          <w:marRight w:val="0"/>
          <w:marTop w:val="0"/>
          <w:marBottom w:val="0"/>
          <w:divBdr>
            <w:top w:val="none" w:sz="0" w:space="0" w:color="auto"/>
            <w:left w:val="none" w:sz="0" w:space="0" w:color="auto"/>
            <w:bottom w:val="none" w:sz="0" w:space="0" w:color="auto"/>
            <w:right w:val="none" w:sz="0" w:space="0" w:color="auto"/>
          </w:divBdr>
        </w:div>
        <w:div w:id="540634654">
          <w:marLeft w:val="0"/>
          <w:marRight w:val="0"/>
          <w:marTop w:val="0"/>
          <w:marBottom w:val="0"/>
          <w:divBdr>
            <w:top w:val="none" w:sz="0" w:space="0" w:color="auto"/>
            <w:left w:val="none" w:sz="0" w:space="0" w:color="auto"/>
            <w:bottom w:val="none" w:sz="0" w:space="0" w:color="auto"/>
            <w:right w:val="none" w:sz="0" w:space="0" w:color="auto"/>
          </w:divBdr>
        </w:div>
        <w:div w:id="575358860">
          <w:marLeft w:val="0"/>
          <w:marRight w:val="0"/>
          <w:marTop w:val="0"/>
          <w:marBottom w:val="0"/>
          <w:divBdr>
            <w:top w:val="none" w:sz="0" w:space="0" w:color="auto"/>
            <w:left w:val="none" w:sz="0" w:space="0" w:color="auto"/>
            <w:bottom w:val="none" w:sz="0" w:space="0" w:color="auto"/>
            <w:right w:val="none" w:sz="0" w:space="0" w:color="auto"/>
          </w:divBdr>
        </w:div>
        <w:div w:id="1469976134">
          <w:marLeft w:val="0"/>
          <w:marRight w:val="0"/>
          <w:marTop w:val="0"/>
          <w:marBottom w:val="0"/>
          <w:divBdr>
            <w:top w:val="none" w:sz="0" w:space="0" w:color="auto"/>
            <w:left w:val="none" w:sz="0" w:space="0" w:color="auto"/>
            <w:bottom w:val="none" w:sz="0" w:space="0" w:color="auto"/>
            <w:right w:val="none" w:sz="0" w:space="0" w:color="auto"/>
          </w:divBdr>
        </w:div>
        <w:div w:id="750199898">
          <w:marLeft w:val="0"/>
          <w:marRight w:val="0"/>
          <w:marTop w:val="0"/>
          <w:marBottom w:val="0"/>
          <w:divBdr>
            <w:top w:val="none" w:sz="0" w:space="0" w:color="auto"/>
            <w:left w:val="none" w:sz="0" w:space="0" w:color="auto"/>
            <w:bottom w:val="none" w:sz="0" w:space="0" w:color="auto"/>
            <w:right w:val="none" w:sz="0" w:space="0" w:color="auto"/>
          </w:divBdr>
        </w:div>
        <w:div w:id="837615662">
          <w:marLeft w:val="0"/>
          <w:marRight w:val="0"/>
          <w:marTop w:val="0"/>
          <w:marBottom w:val="0"/>
          <w:divBdr>
            <w:top w:val="none" w:sz="0" w:space="0" w:color="auto"/>
            <w:left w:val="none" w:sz="0" w:space="0" w:color="auto"/>
            <w:bottom w:val="none" w:sz="0" w:space="0" w:color="auto"/>
            <w:right w:val="none" w:sz="0" w:space="0" w:color="auto"/>
          </w:divBdr>
        </w:div>
        <w:div w:id="2022470225">
          <w:marLeft w:val="0"/>
          <w:marRight w:val="0"/>
          <w:marTop w:val="0"/>
          <w:marBottom w:val="0"/>
          <w:divBdr>
            <w:top w:val="none" w:sz="0" w:space="0" w:color="auto"/>
            <w:left w:val="none" w:sz="0" w:space="0" w:color="auto"/>
            <w:bottom w:val="none" w:sz="0" w:space="0" w:color="auto"/>
            <w:right w:val="none" w:sz="0" w:space="0" w:color="auto"/>
          </w:divBdr>
        </w:div>
        <w:div w:id="1209029564">
          <w:marLeft w:val="0"/>
          <w:marRight w:val="0"/>
          <w:marTop w:val="0"/>
          <w:marBottom w:val="0"/>
          <w:divBdr>
            <w:top w:val="none" w:sz="0" w:space="0" w:color="auto"/>
            <w:left w:val="none" w:sz="0" w:space="0" w:color="auto"/>
            <w:bottom w:val="none" w:sz="0" w:space="0" w:color="auto"/>
            <w:right w:val="none" w:sz="0" w:space="0" w:color="auto"/>
          </w:divBdr>
        </w:div>
        <w:div w:id="48922257">
          <w:marLeft w:val="0"/>
          <w:marRight w:val="0"/>
          <w:marTop w:val="0"/>
          <w:marBottom w:val="0"/>
          <w:divBdr>
            <w:top w:val="none" w:sz="0" w:space="0" w:color="auto"/>
            <w:left w:val="none" w:sz="0" w:space="0" w:color="auto"/>
            <w:bottom w:val="none" w:sz="0" w:space="0" w:color="auto"/>
            <w:right w:val="none" w:sz="0" w:space="0" w:color="auto"/>
          </w:divBdr>
        </w:div>
        <w:div w:id="799693437">
          <w:marLeft w:val="0"/>
          <w:marRight w:val="0"/>
          <w:marTop w:val="0"/>
          <w:marBottom w:val="0"/>
          <w:divBdr>
            <w:top w:val="none" w:sz="0" w:space="0" w:color="auto"/>
            <w:left w:val="none" w:sz="0" w:space="0" w:color="auto"/>
            <w:bottom w:val="none" w:sz="0" w:space="0" w:color="auto"/>
            <w:right w:val="none" w:sz="0" w:space="0" w:color="auto"/>
          </w:divBdr>
        </w:div>
        <w:div w:id="185215570">
          <w:marLeft w:val="0"/>
          <w:marRight w:val="0"/>
          <w:marTop w:val="0"/>
          <w:marBottom w:val="0"/>
          <w:divBdr>
            <w:top w:val="none" w:sz="0" w:space="0" w:color="auto"/>
            <w:left w:val="none" w:sz="0" w:space="0" w:color="auto"/>
            <w:bottom w:val="none" w:sz="0" w:space="0" w:color="auto"/>
            <w:right w:val="none" w:sz="0" w:space="0" w:color="auto"/>
          </w:divBdr>
        </w:div>
        <w:div w:id="222061839">
          <w:marLeft w:val="0"/>
          <w:marRight w:val="0"/>
          <w:marTop w:val="0"/>
          <w:marBottom w:val="0"/>
          <w:divBdr>
            <w:top w:val="none" w:sz="0" w:space="0" w:color="auto"/>
            <w:left w:val="none" w:sz="0" w:space="0" w:color="auto"/>
            <w:bottom w:val="none" w:sz="0" w:space="0" w:color="auto"/>
            <w:right w:val="none" w:sz="0" w:space="0" w:color="auto"/>
          </w:divBdr>
        </w:div>
        <w:div w:id="207647241">
          <w:marLeft w:val="0"/>
          <w:marRight w:val="0"/>
          <w:marTop w:val="0"/>
          <w:marBottom w:val="0"/>
          <w:divBdr>
            <w:top w:val="none" w:sz="0" w:space="0" w:color="auto"/>
            <w:left w:val="none" w:sz="0" w:space="0" w:color="auto"/>
            <w:bottom w:val="none" w:sz="0" w:space="0" w:color="auto"/>
            <w:right w:val="none" w:sz="0" w:space="0" w:color="auto"/>
          </w:divBdr>
        </w:div>
        <w:div w:id="1601833854">
          <w:marLeft w:val="0"/>
          <w:marRight w:val="0"/>
          <w:marTop w:val="0"/>
          <w:marBottom w:val="0"/>
          <w:divBdr>
            <w:top w:val="none" w:sz="0" w:space="0" w:color="auto"/>
            <w:left w:val="none" w:sz="0" w:space="0" w:color="auto"/>
            <w:bottom w:val="none" w:sz="0" w:space="0" w:color="auto"/>
            <w:right w:val="none" w:sz="0" w:space="0" w:color="auto"/>
          </w:divBdr>
        </w:div>
        <w:div w:id="2027903975">
          <w:marLeft w:val="0"/>
          <w:marRight w:val="0"/>
          <w:marTop w:val="0"/>
          <w:marBottom w:val="0"/>
          <w:divBdr>
            <w:top w:val="none" w:sz="0" w:space="0" w:color="auto"/>
            <w:left w:val="none" w:sz="0" w:space="0" w:color="auto"/>
            <w:bottom w:val="none" w:sz="0" w:space="0" w:color="auto"/>
            <w:right w:val="none" w:sz="0" w:space="0" w:color="auto"/>
          </w:divBdr>
        </w:div>
        <w:div w:id="1405646866">
          <w:marLeft w:val="0"/>
          <w:marRight w:val="0"/>
          <w:marTop w:val="0"/>
          <w:marBottom w:val="0"/>
          <w:divBdr>
            <w:top w:val="none" w:sz="0" w:space="0" w:color="auto"/>
            <w:left w:val="none" w:sz="0" w:space="0" w:color="auto"/>
            <w:bottom w:val="none" w:sz="0" w:space="0" w:color="auto"/>
            <w:right w:val="none" w:sz="0" w:space="0" w:color="auto"/>
          </w:divBdr>
        </w:div>
        <w:div w:id="2365544">
          <w:marLeft w:val="0"/>
          <w:marRight w:val="0"/>
          <w:marTop w:val="0"/>
          <w:marBottom w:val="0"/>
          <w:divBdr>
            <w:top w:val="none" w:sz="0" w:space="0" w:color="auto"/>
            <w:left w:val="none" w:sz="0" w:space="0" w:color="auto"/>
            <w:bottom w:val="none" w:sz="0" w:space="0" w:color="auto"/>
            <w:right w:val="none" w:sz="0" w:space="0" w:color="auto"/>
          </w:divBdr>
        </w:div>
        <w:div w:id="1714187770">
          <w:marLeft w:val="0"/>
          <w:marRight w:val="0"/>
          <w:marTop w:val="0"/>
          <w:marBottom w:val="0"/>
          <w:divBdr>
            <w:top w:val="none" w:sz="0" w:space="0" w:color="auto"/>
            <w:left w:val="none" w:sz="0" w:space="0" w:color="auto"/>
            <w:bottom w:val="none" w:sz="0" w:space="0" w:color="auto"/>
            <w:right w:val="none" w:sz="0" w:space="0" w:color="auto"/>
          </w:divBdr>
        </w:div>
        <w:div w:id="831725577">
          <w:marLeft w:val="0"/>
          <w:marRight w:val="0"/>
          <w:marTop w:val="0"/>
          <w:marBottom w:val="0"/>
          <w:divBdr>
            <w:top w:val="none" w:sz="0" w:space="0" w:color="auto"/>
            <w:left w:val="none" w:sz="0" w:space="0" w:color="auto"/>
            <w:bottom w:val="none" w:sz="0" w:space="0" w:color="auto"/>
            <w:right w:val="none" w:sz="0" w:space="0" w:color="auto"/>
          </w:divBdr>
        </w:div>
        <w:div w:id="2082561041">
          <w:marLeft w:val="0"/>
          <w:marRight w:val="0"/>
          <w:marTop w:val="0"/>
          <w:marBottom w:val="0"/>
          <w:divBdr>
            <w:top w:val="none" w:sz="0" w:space="0" w:color="auto"/>
            <w:left w:val="none" w:sz="0" w:space="0" w:color="auto"/>
            <w:bottom w:val="none" w:sz="0" w:space="0" w:color="auto"/>
            <w:right w:val="none" w:sz="0" w:space="0" w:color="auto"/>
          </w:divBdr>
        </w:div>
        <w:div w:id="683678292">
          <w:marLeft w:val="0"/>
          <w:marRight w:val="0"/>
          <w:marTop w:val="0"/>
          <w:marBottom w:val="0"/>
          <w:divBdr>
            <w:top w:val="none" w:sz="0" w:space="0" w:color="auto"/>
            <w:left w:val="none" w:sz="0" w:space="0" w:color="auto"/>
            <w:bottom w:val="none" w:sz="0" w:space="0" w:color="auto"/>
            <w:right w:val="none" w:sz="0" w:space="0" w:color="auto"/>
          </w:divBdr>
        </w:div>
        <w:div w:id="371730615">
          <w:marLeft w:val="0"/>
          <w:marRight w:val="0"/>
          <w:marTop w:val="0"/>
          <w:marBottom w:val="0"/>
          <w:divBdr>
            <w:top w:val="none" w:sz="0" w:space="0" w:color="auto"/>
            <w:left w:val="none" w:sz="0" w:space="0" w:color="auto"/>
            <w:bottom w:val="none" w:sz="0" w:space="0" w:color="auto"/>
            <w:right w:val="none" w:sz="0" w:space="0" w:color="auto"/>
          </w:divBdr>
        </w:div>
        <w:div w:id="2043744743">
          <w:marLeft w:val="0"/>
          <w:marRight w:val="0"/>
          <w:marTop w:val="0"/>
          <w:marBottom w:val="0"/>
          <w:divBdr>
            <w:top w:val="none" w:sz="0" w:space="0" w:color="auto"/>
            <w:left w:val="none" w:sz="0" w:space="0" w:color="auto"/>
            <w:bottom w:val="none" w:sz="0" w:space="0" w:color="auto"/>
            <w:right w:val="none" w:sz="0" w:space="0" w:color="auto"/>
          </w:divBdr>
        </w:div>
        <w:div w:id="1237476163">
          <w:marLeft w:val="0"/>
          <w:marRight w:val="0"/>
          <w:marTop w:val="0"/>
          <w:marBottom w:val="0"/>
          <w:divBdr>
            <w:top w:val="none" w:sz="0" w:space="0" w:color="auto"/>
            <w:left w:val="none" w:sz="0" w:space="0" w:color="auto"/>
            <w:bottom w:val="none" w:sz="0" w:space="0" w:color="auto"/>
            <w:right w:val="none" w:sz="0" w:space="0" w:color="auto"/>
          </w:divBdr>
        </w:div>
        <w:div w:id="674769761">
          <w:marLeft w:val="0"/>
          <w:marRight w:val="0"/>
          <w:marTop w:val="0"/>
          <w:marBottom w:val="0"/>
          <w:divBdr>
            <w:top w:val="none" w:sz="0" w:space="0" w:color="auto"/>
            <w:left w:val="none" w:sz="0" w:space="0" w:color="auto"/>
            <w:bottom w:val="none" w:sz="0" w:space="0" w:color="auto"/>
            <w:right w:val="none" w:sz="0" w:space="0" w:color="auto"/>
          </w:divBdr>
        </w:div>
      </w:divsChild>
    </w:div>
    <w:div w:id="1625847454">
      <w:bodyDiv w:val="1"/>
      <w:marLeft w:val="0"/>
      <w:marRight w:val="0"/>
      <w:marTop w:val="0"/>
      <w:marBottom w:val="0"/>
      <w:divBdr>
        <w:top w:val="none" w:sz="0" w:space="0" w:color="auto"/>
        <w:left w:val="none" w:sz="0" w:space="0" w:color="auto"/>
        <w:bottom w:val="none" w:sz="0" w:space="0" w:color="auto"/>
        <w:right w:val="none" w:sz="0" w:space="0" w:color="auto"/>
      </w:divBdr>
    </w:div>
    <w:div w:id="1777022344">
      <w:bodyDiv w:val="1"/>
      <w:marLeft w:val="0"/>
      <w:marRight w:val="0"/>
      <w:marTop w:val="0"/>
      <w:marBottom w:val="0"/>
      <w:divBdr>
        <w:top w:val="none" w:sz="0" w:space="0" w:color="auto"/>
        <w:left w:val="none" w:sz="0" w:space="0" w:color="auto"/>
        <w:bottom w:val="none" w:sz="0" w:space="0" w:color="auto"/>
        <w:right w:val="none" w:sz="0" w:space="0" w:color="auto"/>
      </w:divBdr>
      <w:divsChild>
        <w:div w:id="969481779">
          <w:marLeft w:val="0"/>
          <w:marRight w:val="0"/>
          <w:marTop w:val="0"/>
          <w:marBottom w:val="0"/>
          <w:divBdr>
            <w:top w:val="none" w:sz="0" w:space="0" w:color="auto"/>
            <w:left w:val="none" w:sz="0" w:space="0" w:color="auto"/>
            <w:bottom w:val="none" w:sz="0" w:space="0" w:color="auto"/>
            <w:right w:val="none" w:sz="0" w:space="0" w:color="auto"/>
          </w:divBdr>
        </w:div>
        <w:div w:id="374090091">
          <w:marLeft w:val="0"/>
          <w:marRight w:val="0"/>
          <w:marTop w:val="0"/>
          <w:marBottom w:val="0"/>
          <w:divBdr>
            <w:top w:val="none" w:sz="0" w:space="0" w:color="auto"/>
            <w:left w:val="none" w:sz="0" w:space="0" w:color="auto"/>
            <w:bottom w:val="none" w:sz="0" w:space="0" w:color="auto"/>
            <w:right w:val="none" w:sz="0" w:space="0" w:color="auto"/>
          </w:divBdr>
        </w:div>
      </w:divsChild>
    </w:div>
    <w:div w:id="203872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esktop\RUB2017-18.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Desktop\RUB2017-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364129483814523"/>
          <c:y val="7.4548702245552642E-2"/>
          <c:w val="0.87635870516185477"/>
          <c:h val="0.8326195683872849"/>
        </c:manualLayout>
      </c:layout>
      <c:lineChart>
        <c:grouping val="standard"/>
        <c:varyColors val="0"/>
        <c:ser>
          <c:idx val="0"/>
          <c:order val="0"/>
          <c:dLbls>
            <c:showLegendKey val="0"/>
            <c:showVal val="1"/>
            <c:showCatName val="0"/>
            <c:showSerName val="0"/>
            <c:showPercent val="0"/>
            <c:showBubbleSize val="0"/>
            <c:showLeaderLines val="0"/>
          </c:dLbls>
          <c:cat>
            <c:strRef>
              <c:f>'[RUB2017-18.xlsx]Sheet1'!$C$2:$I$2</c:f>
              <c:strCache>
                <c:ptCount val="7"/>
                <c:pt idx="0">
                  <c:v>2012-13</c:v>
                </c:pt>
                <c:pt idx="1">
                  <c:v>2013-14</c:v>
                </c:pt>
                <c:pt idx="2">
                  <c:v>2014-15</c:v>
                </c:pt>
                <c:pt idx="3">
                  <c:v>2015-16</c:v>
                </c:pt>
                <c:pt idx="4">
                  <c:v>2016-17 BE</c:v>
                </c:pt>
                <c:pt idx="5">
                  <c:v>2016-17 RE</c:v>
                </c:pt>
                <c:pt idx="6">
                  <c:v>2017-18 BE</c:v>
                </c:pt>
              </c:strCache>
            </c:strRef>
          </c:cat>
          <c:val>
            <c:numRef>
              <c:f>'[RUB2017-18.xlsx]Sheet1'!$C$5:$I$5</c:f>
              <c:numCache>
                <c:formatCode>0.0</c:formatCode>
                <c:ptCount val="7"/>
                <c:pt idx="0">
                  <c:v>14.179386880147218</c:v>
                </c:pt>
                <c:pt idx="1">
                  <c:v>13.878238458399689</c:v>
                </c:pt>
                <c:pt idx="2">
                  <c:v>13.38030066394295</c:v>
                </c:pt>
                <c:pt idx="3">
                  <c:v>13.094988340684404</c:v>
                </c:pt>
                <c:pt idx="4">
                  <c:v>13.121085973739122</c:v>
                </c:pt>
                <c:pt idx="5">
                  <c:v>13.362186906919863</c:v>
                </c:pt>
                <c:pt idx="6">
                  <c:v>12.742191624788433</c:v>
                </c:pt>
              </c:numCache>
            </c:numRef>
          </c:val>
          <c:smooth val="0"/>
        </c:ser>
        <c:dLbls>
          <c:showLegendKey val="0"/>
          <c:showVal val="0"/>
          <c:showCatName val="0"/>
          <c:showSerName val="0"/>
          <c:showPercent val="0"/>
          <c:showBubbleSize val="0"/>
        </c:dLbls>
        <c:marker val="1"/>
        <c:smooth val="0"/>
        <c:axId val="102908288"/>
        <c:axId val="102909824"/>
      </c:lineChart>
      <c:catAx>
        <c:axId val="102908288"/>
        <c:scaling>
          <c:orientation val="minMax"/>
        </c:scaling>
        <c:delete val="0"/>
        <c:axPos val="b"/>
        <c:majorTickMark val="out"/>
        <c:minorTickMark val="none"/>
        <c:tickLblPos val="nextTo"/>
        <c:crossAx val="102909824"/>
        <c:crosses val="autoZero"/>
        <c:auto val="1"/>
        <c:lblAlgn val="ctr"/>
        <c:lblOffset val="100"/>
        <c:noMultiLvlLbl val="0"/>
      </c:catAx>
      <c:valAx>
        <c:axId val="102909824"/>
        <c:scaling>
          <c:orientation val="minMax"/>
        </c:scaling>
        <c:delete val="0"/>
        <c:axPos val="l"/>
        <c:majorGridlines/>
        <c:numFmt formatCode="0.0" sourceLinked="1"/>
        <c:majorTickMark val="out"/>
        <c:minorTickMark val="none"/>
        <c:tickLblPos val="nextTo"/>
        <c:crossAx val="10290828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Lbls>
            <c:showLegendKey val="0"/>
            <c:showVal val="1"/>
            <c:showCatName val="0"/>
            <c:showSerName val="0"/>
            <c:showPercent val="0"/>
            <c:showBubbleSize val="0"/>
            <c:showLeaderLines val="0"/>
          </c:dLbls>
          <c:cat>
            <c:strRef>
              <c:f>Sheet6!$E$4:$E$8</c:f>
              <c:strCache>
                <c:ptCount val="5"/>
                <c:pt idx="0">
                  <c:v>2014-15 A</c:v>
                </c:pt>
                <c:pt idx="1">
                  <c:v>2015-16 A</c:v>
                </c:pt>
                <c:pt idx="2">
                  <c:v>2016-17 BE</c:v>
                </c:pt>
                <c:pt idx="3">
                  <c:v>2016-17 RE</c:v>
                </c:pt>
                <c:pt idx="4">
                  <c:v>2017-18 BE</c:v>
                </c:pt>
              </c:strCache>
            </c:strRef>
          </c:cat>
          <c:val>
            <c:numRef>
              <c:f>Sheet6!$F$4:$F$8</c:f>
              <c:numCache>
                <c:formatCode>General</c:formatCode>
                <c:ptCount val="5"/>
                <c:pt idx="0">
                  <c:v>75533</c:v>
                </c:pt>
                <c:pt idx="1">
                  <c:v>83997</c:v>
                </c:pt>
                <c:pt idx="2">
                  <c:v>148031</c:v>
                </c:pt>
                <c:pt idx="3">
                  <c:v>157412</c:v>
                </c:pt>
                <c:pt idx="4">
                  <c:v>169662</c:v>
                </c:pt>
              </c:numCache>
            </c:numRef>
          </c:val>
        </c:ser>
        <c:dLbls>
          <c:showLegendKey val="0"/>
          <c:showVal val="0"/>
          <c:showCatName val="0"/>
          <c:showSerName val="0"/>
          <c:showPercent val="0"/>
          <c:showBubbleSize val="0"/>
        </c:dLbls>
        <c:gapWidth val="150"/>
        <c:axId val="102934016"/>
        <c:axId val="102935552"/>
      </c:barChart>
      <c:catAx>
        <c:axId val="102934016"/>
        <c:scaling>
          <c:orientation val="minMax"/>
        </c:scaling>
        <c:delete val="0"/>
        <c:axPos val="b"/>
        <c:majorTickMark val="out"/>
        <c:minorTickMark val="none"/>
        <c:tickLblPos val="nextTo"/>
        <c:crossAx val="102935552"/>
        <c:crosses val="autoZero"/>
        <c:auto val="1"/>
        <c:lblAlgn val="ctr"/>
        <c:lblOffset val="100"/>
        <c:noMultiLvlLbl val="0"/>
      </c:catAx>
      <c:valAx>
        <c:axId val="102935552"/>
        <c:scaling>
          <c:orientation val="minMax"/>
        </c:scaling>
        <c:delete val="0"/>
        <c:axPos val="l"/>
        <c:majorGridlines/>
        <c:numFmt formatCode="General" sourceLinked="1"/>
        <c:majorTickMark val="out"/>
        <c:minorTickMark val="none"/>
        <c:tickLblPos val="nextTo"/>
        <c:crossAx val="10293401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3199</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Happy</cp:lastModifiedBy>
  <cp:revision>2</cp:revision>
  <dcterms:created xsi:type="dcterms:W3CDTF">2017-02-02T06:56:00Z</dcterms:created>
  <dcterms:modified xsi:type="dcterms:W3CDTF">2017-02-02T06:56:00Z</dcterms:modified>
</cp:coreProperties>
</file>