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EBD" w:rsidRDefault="00864D54" w:rsidP="00864D54">
      <w:pPr>
        <w:pStyle w:val="NoSpacing"/>
        <w:jc w:val="center"/>
        <w:rPr>
          <w:b/>
        </w:rPr>
      </w:pPr>
      <w:r w:rsidRPr="00864D54">
        <w:rPr>
          <w:b/>
        </w:rPr>
        <w:t>5.</w:t>
      </w:r>
      <w:r w:rsidR="00454F84" w:rsidRPr="00864D54">
        <w:rPr>
          <w:b/>
        </w:rPr>
        <w:t xml:space="preserve"> HEALTH</w:t>
      </w:r>
    </w:p>
    <w:p w:rsidR="00864D54" w:rsidRPr="0077627D" w:rsidRDefault="005B1BB7" w:rsidP="005224F3">
      <w:pPr>
        <w:spacing w:after="0"/>
        <w:jc w:val="both"/>
        <w:rPr>
          <w:bCs/>
        </w:rPr>
      </w:pPr>
      <w:r w:rsidRPr="0077627D">
        <w:rPr>
          <w:bCs/>
          <w:noProof/>
          <w:lang w:val="en-IN" w:eastAsia="en-IN"/>
        </w:rPr>
        <mc:AlternateContent>
          <mc:Choice Requires="wps">
            <w:drawing>
              <wp:anchor distT="0" distB="0" distL="114300" distR="114300" simplePos="0" relativeHeight="251659264" behindDoc="0" locked="0" layoutInCell="1" allowOverlap="1" wp14:anchorId="684704F1" wp14:editId="0795876B">
                <wp:simplePos x="0" y="0"/>
                <wp:positionH relativeFrom="column">
                  <wp:posOffset>-44450</wp:posOffset>
                </wp:positionH>
                <wp:positionV relativeFrom="paragraph">
                  <wp:posOffset>32385</wp:posOffset>
                </wp:positionV>
                <wp:extent cx="5874385" cy="2076450"/>
                <wp:effectExtent l="0" t="0" r="1206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4385" cy="2076450"/>
                        </a:xfrm>
                        <a:prstGeom prst="rect">
                          <a:avLst/>
                        </a:prstGeom>
                        <a:solidFill>
                          <a:srgbClr val="FFFFFF"/>
                        </a:solidFill>
                        <a:ln w="9525">
                          <a:solidFill>
                            <a:srgbClr val="000000"/>
                          </a:solidFill>
                          <a:miter lim="800000"/>
                          <a:headEnd/>
                          <a:tailEnd/>
                        </a:ln>
                      </wps:spPr>
                      <wps:txbx>
                        <w:txbxContent>
                          <w:p w:rsidR="00D020CB" w:rsidRDefault="00D020CB" w:rsidP="00454F84">
                            <w:pPr>
                              <w:spacing w:after="0"/>
                              <w:jc w:val="center"/>
                              <w:rPr>
                                <w:b/>
                                <w:bCs/>
                              </w:rPr>
                            </w:pPr>
                            <w:r w:rsidRPr="00454F84">
                              <w:rPr>
                                <w:b/>
                                <w:bCs/>
                              </w:rPr>
                              <w:t>Highlights</w:t>
                            </w:r>
                          </w:p>
                          <w:p w:rsidR="00454F84" w:rsidRPr="00454F84" w:rsidRDefault="00454F84" w:rsidP="00454F84">
                            <w:pPr>
                              <w:spacing w:after="0"/>
                              <w:jc w:val="center"/>
                              <w:rPr>
                                <w:b/>
                                <w:bCs/>
                              </w:rPr>
                            </w:pPr>
                          </w:p>
                          <w:p w:rsidR="00DD629E" w:rsidRPr="00DD629E" w:rsidRDefault="00DD629E" w:rsidP="005224F3">
                            <w:pPr>
                              <w:pStyle w:val="ListParagraph"/>
                              <w:numPr>
                                <w:ilvl w:val="0"/>
                                <w:numId w:val="3"/>
                              </w:numPr>
                              <w:spacing w:after="0"/>
                              <w:ind w:left="284" w:hanging="284"/>
                            </w:pPr>
                            <w:r w:rsidRPr="00DD629E">
                              <w:t xml:space="preserve">Action plan to eliminate Kala-Azar and </w:t>
                            </w:r>
                            <w:proofErr w:type="spellStart"/>
                            <w:r w:rsidRPr="00DD629E">
                              <w:t>Filariasis</w:t>
                            </w:r>
                            <w:proofErr w:type="spellEnd"/>
                            <w:r w:rsidRPr="00DD629E">
                              <w:t xml:space="preserve"> by 2017, Leprosy by 2018</w:t>
                            </w:r>
                            <w:r w:rsidR="00454F84">
                              <w:t>,</w:t>
                            </w:r>
                            <w:r w:rsidRPr="00DD629E">
                              <w:t xml:space="preserve"> Measles by 2020</w:t>
                            </w:r>
                            <w:r w:rsidR="005224F3">
                              <w:t xml:space="preserve">, </w:t>
                            </w:r>
                            <w:r w:rsidR="00454F84">
                              <w:t xml:space="preserve">and </w:t>
                            </w:r>
                            <w:r w:rsidRPr="00DD629E">
                              <w:t xml:space="preserve">tuberculosis by 2025 </w:t>
                            </w:r>
                          </w:p>
                          <w:p w:rsidR="00DD629E" w:rsidRPr="00DD629E" w:rsidRDefault="005224F3" w:rsidP="004D0910">
                            <w:pPr>
                              <w:pStyle w:val="ListParagraph"/>
                              <w:numPr>
                                <w:ilvl w:val="0"/>
                                <w:numId w:val="3"/>
                              </w:numPr>
                              <w:spacing w:after="0"/>
                              <w:ind w:left="284" w:hanging="284"/>
                            </w:pPr>
                            <w:r>
                              <w:t>A</w:t>
                            </w:r>
                            <w:r w:rsidR="00DD629E" w:rsidRPr="00DD629E">
                              <w:t xml:space="preserve">ction plan has been </w:t>
                            </w:r>
                            <w:r w:rsidR="00DD51CB">
                              <w:t>announced</w:t>
                            </w:r>
                            <w:r w:rsidR="00DD51CB" w:rsidRPr="00DD629E">
                              <w:t xml:space="preserve"> </w:t>
                            </w:r>
                            <w:r w:rsidR="00DD629E" w:rsidRPr="00DD629E">
                              <w:t>to reduce I</w:t>
                            </w:r>
                            <w:r w:rsidR="00DD51CB">
                              <w:t xml:space="preserve">nfant </w:t>
                            </w:r>
                            <w:r w:rsidR="00DD629E" w:rsidRPr="00DD629E">
                              <w:t>M</w:t>
                            </w:r>
                            <w:r w:rsidR="00DD51CB">
                              <w:t xml:space="preserve">ortality </w:t>
                            </w:r>
                            <w:r w:rsidR="00DD629E" w:rsidRPr="00DD629E">
                              <w:t>R</w:t>
                            </w:r>
                            <w:r w:rsidR="00DD51CB">
                              <w:t>ate</w:t>
                            </w:r>
                            <w:r w:rsidR="00DD629E" w:rsidRPr="00DD629E">
                              <w:t xml:space="preserve"> from 39 in 2014 to 28 by 2019 and M</w:t>
                            </w:r>
                            <w:r w:rsidR="00DD51CB">
                              <w:t xml:space="preserve">aternal </w:t>
                            </w:r>
                            <w:r w:rsidR="00DD629E" w:rsidRPr="00DD629E">
                              <w:t>M</w:t>
                            </w:r>
                            <w:r w:rsidR="00DD51CB">
                              <w:t xml:space="preserve">ortality </w:t>
                            </w:r>
                            <w:r w:rsidR="00DD629E" w:rsidRPr="00DD629E">
                              <w:t>R</w:t>
                            </w:r>
                            <w:r w:rsidR="00DD51CB">
                              <w:t>ate</w:t>
                            </w:r>
                            <w:r w:rsidR="00DD629E" w:rsidRPr="00DD629E">
                              <w:t xml:space="preserve"> from 167 in </w:t>
                            </w:r>
                            <w:r w:rsidR="00DD629E" w:rsidRPr="00851C83">
                              <w:t>2011-13</w:t>
                            </w:r>
                            <w:r w:rsidR="00DD629E" w:rsidRPr="00DD629E">
                              <w:t xml:space="preserve"> </w:t>
                            </w:r>
                            <w:r w:rsidR="00F23835">
                              <w:t xml:space="preserve">to </w:t>
                            </w:r>
                            <w:r w:rsidR="00DD629E" w:rsidRPr="00DD629E">
                              <w:t>100 by 2018-2020</w:t>
                            </w:r>
                            <w:r>
                              <w:t xml:space="preserve"> </w:t>
                            </w:r>
                          </w:p>
                          <w:p w:rsidR="00DD629E" w:rsidRPr="00DD629E" w:rsidRDefault="00DD629E" w:rsidP="004D0910">
                            <w:pPr>
                              <w:pStyle w:val="ListParagraph"/>
                              <w:numPr>
                                <w:ilvl w:val="0"/>
                                <w:numId w:val="3"/>
                              </w:numPr>
                              <w:spacing w:after="0"/>
                              <w:ind w:left="284" w:hanging="284"/>
                            </w:pPr>
                            <w:r w:rsidRPr="00DD629E">
                              <w:t xml:space="preserve">1.5 lakh Health Sub </w:t>
                            </w:r>
                            <w:proofErr w:type="spellStart"/>
                            <w:r w:rsidRPr="00DD629E">
                              <w:t>Centres</w:t>
                            </w:r>
                            <w:proofErr w:type="spellEnd"/>
                            <w:r w:rsidRPr="00DD629E">
                              <w:t xml:space="preserve"> will be transformed into Health and Wellness </w:t>
                            </w:r>
                            <w:proofErr w:type="spellStart"/>
                            <w:r w:rsidRPr="00DD629E">
                              <w:t>Centres</w:t>
                            </w:r>
                            <w:proofErr w:type="spellEnd"/>
                          </w:p>
                          <w:p w:rsidR="00DD629E" w:rsidRDefault="00DD629E" w:rsidP="00664541">
                            <w:pPr>
                              <w:pStyle w:val="ListParagraph"/>
                              <w:numPr>
                                <w:ilvl w:val="0"/>
                                <w:numId w:val="3"/>
                              </w:numPr>
                              <w:spacing w:after="0"/>
                              <w:ind w:left="284" w:hanging="284"/>
                            </w:pPr>
                            <w:r w:rsidRPr="00DD629E">
                              <w:t>Two new All India Institutes of Medical Sciences will be set up in Jharkhand and Gujarat</w:t>
                            </w:r>
                          </w:p>
                          <w:p w:rsidR="008B271E" w:rsidRPr="00DD629E" w:rsidRDefault="00D1575F" w:rsidP="00C47B19">
                            <w:pPr>
                              <w:pStyle w:val="ListParagraph"/>
                              <w:numPr>
                                <w:ilvl w:val="0"/>
                                <w:numId w:val="3"/>
                              </w:numPr>
                              <w:spacing w:after="0"/>
                              <w:ind w:left="284" w:hanging="284"/>
                            </w:pPr>
                            <w:r>
                              <w:t xml:space="preserve">Substantial allocation for “Human Resources for Health and Medical Education”, specifically </w:t>
                            </w:r>
                            <w:r w:rsidR="00C47B19">
                              <w:t>for upgrading</w:t>
                            </w:r>
                            <w:r>
                              <w:t xml:space="preserve"> District Hospitals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5pt;margin-top:2.55pt;width:462.55pt;height:1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">
                <v:textbox>
                  <w:txbxContent>
                    <w:p w:rsidR="00D020CB" w:rsidRDefault="00D020CB" w:rsidP="00454F84">
                      <w:pPr>
                        <w:spacing w:after="0"/>
                        <w:jc w:val="center"/>
                        <w:rPr>
                          <w:b/>
                          <w:bCs/>
                        </w:rPr>
                      </w:pPr>
                      <w:r w:rsidRPr="00454F84">
                        <w:rPr>
                          <w:b/>
                          <w:bCs/>
                        </w:rPr>
                        <w:t>Highlights</w:t>
                      </w:r>
                    </w:p>
                    <w:p w:rsidR="00454F84" w:rsidRPr="00454F84" w:rsidRDefault="00454F84" w:rsidP="00454F84">
                      <w:pPr>
                        <w:spacing w:after="0"/>
                        <w:jc w:val="center"/>
                        <w:rPr>
                          <w:b/>
                          <w:bCs/>
                        </w:rPr>
                      </w:pPr>
                    </w:p>
                    <w:p w:rsidR="00DD629E" w:rsidRPr="00DD629E" w:rsidRDefault="00DD629E" w:rsidP="005224F3">
                      <w:pPr>
                        <w:pStyle w:val="ListParagraph"/>
                        <w:numPr>
                          <w:ilvl w:val="0"/>
                          <w:numId w:val="3"/>
                        </w:numPr>
                        <w:spacing w:after="0"/>
                        <w:ind w:left="284" w:hanging="284"/>
                      </w:pPr>
                      <w:r w:rsidRPr="00DD629E">
                        <w:t xml:space="preserve">Action plan to eliminate Kala-Azar and </w:t>
                      </w:r>
                      <w:proofErr w:type="spellStart"/>
                      <w:r w:rsidRPr="00DD629E">
                        <w:t>Filariasis</w:t>
                      </w:r>
                      <w:proofErr w:type="spellEnd"/>
                      <w:r w:rsidRPr="00DD629E">
                        <w:t xml:space="preserve"> by 2017, Leprosy by 2018</w:t>
                      </w:r>
                      <w:r w:rsidR="00454F84">
                        <w:t>,</w:t>
                      </w:r>
                      <w:r w:rsidRPr="00DD629E">
                        <w:t xml:space="preserve"> Measles by 2020</w:t>
                      </w:r>
                      <w:r w:rsidR="005224F3">
                        <w:t xml:space="preserve">, </w:t>
                      </w:r>
                      <w:r w:rsidR="00454F84">
                        <w:t xml:space="preserve">and </w:t>
                      </w:r>
                      <w:r w:rsidRPr="00DD629E">
                        <w:t xml:space="preserve">tuberculosis by 2025 </w:t>
                      </w:r>
                    </w:p>
                    <w:p w:rsidR="00DD629E" w:rsidRPr="00DD629E" w:rsidRDefault="005224F3" w:rsidP="004D0910">
                      <w:pPr>
                        <w:pStyle w:val="ListParagraph"/>
                        <w:numPr>
                          <w:ilvl w:val="0"/>
                          <w:numId w:val="3"/>
                        </w:numPr>
                        <w:spacing w:after="0"/>
                        <w:ind w:left="284" w:hanging="284"/>
                      </w:pPr>
                      <w:r>
                        <w:t>A</w:t>
                      </w:r>
                      <w:r w:rsidR="00DD629E" w:rsidRPr="00DD629E">
                        <w:t xml:space="preserve">ction plan has been </w:t>
                      </w:r>
                      <w:r w:rsidR="00DD51CB">
                        <w:t>announced</w:t>
                      </w:r>
                      <w:r w:rsidR="00DD51CB" w:rsidRPr="00DD629E">
                        <w:t xml:space="preserve"> </w:t>
                      </w:r>
                      <w:r w:rsidR="00DD629E" w:rsidRPr="00DD629E">
                        <w:t>to reduce I</w:t>
                      </w:r>
                      <w:r w:rsidR="00DD51CB">
                        <w:t xml:space="preserve">nfant </w:t>
                      </w:r>
                      <w:r w:rsidR="00DD629E" w:rsidRPr="00DD629E">
                        <w:t>M</w:t>
                      </w:r>
                      <w:r w:rsidR="00DD51CB">
                        <w:t xml:space="preserve">ortality </w:t>
                      </w:r>
                      <w:r w:rsidR="00DD629E" w:rsidRPr="00DD629E">
                        <w:t>R</w:t>
                      </w:r>
                      <w:r w:rsidR="00DD51CB">
                        <w:t>ate</w:t>
                      </w:r>
                      <w:r w:rsidR="00DD629E" w:rsidRPr="00DD629E">
                        <w:t xml:space="preserve"> from 39 in 2014 to 28 by 2019 and M</w:t>
                      </w:r>
                      <w:r w:rsidR="00DD51CB">
                        <w:t xml:space="preserve">aternal </w:t>
                      </w:r>
                      <w:r w:rsidR="00DD629E" w:rsidRPr="00DD629E">
                        <w:t>M</w:t>
                      </w:r>
                      <w:r w:rsidR="00DD51CB">
                        <w:t xml:space="preserve">ortality </w:t>
                      </w:r>
                      <w:r w:rsidR="00DD629E" w:rsidRPr="00DD629E">
                        <w:t>R</w:t>
                      </w:r>
                      <w:r w:rsidR="00DD51CB">
                        <w:t>ate</w:t>
                      </w:r>
                      <w:r w:rsidR="00DD629E" w:rsidRPr="00DD629E">
                        <w:t xml:space="preserve"> from 167 in </w:t>
                      </w:r>
                      <w:r w:rsidR="00DD629E" w:rsidRPr="00851C83">
                        <w:t>2011-13</w:t>
                      </w:r>
                      <w:r w:rsidR="00DD629E" w:rsidRPr="00DD629E">
                        <w:t xml:space="preserve"> </w:t>
                      </w:r>
                      <w:r w:rsidR="00F23835">
                        <w:t xml:space="preserve">to </w:t>
                      </w:r>
                      <w:r w:rsidR="00DD629E" w:rsidRPr="00DD629E">
                        <w:t>100 by 2018-2020</w:t>
                      </w:r>
                      <w:r>
                        <w:t xml:space="preserve"> </w:t>
                      </w:r>
                    </w:p>
                    <w:p w:rsidR="00DD629E" w:rsidRPr="00DD629E" w:rsidRDefault="00DD629E" w:rsidP="004D0910">
                      <w:pPr>
                        <w:pStyle w:val="ListParagraph"/>
                        <w:numPr>
                          <w:ilvl w:val="0"/>
                          <w:numId w:val="3"/>
                        </w:numPr>
                        <w:spacing w:after="0"/>
                        <w:ind w:left="284" w:hanging="284"/>
                      </w:pPr>
                      <w:r w:rsidRPr="00DD629E">
                        <w:t xml:space="preserve">1.5 lakh Health Sub </w:t>
                      </w:r>
                      <w:proofErr w:type="spellStart"/>
                      <w:r w:rsidRPr="00DD629E">
                        <w:t>Centres</w:t>
                      </w:r>
                      <w:proofErr w:type="spellEnd"/>
                      <w:r w:rsidRPr="00DD629E">
                        <w:t xml:space="preserve"> will be transformed into Health and Wellness </w:t>
                      </w:r>
                      <w:proofErr w:type="spellStart"/>
                      <w:r w:rsidRPr="00DD629E">
                        <w:t>Centres</w:t>
                      </w:r>
                      <w:proofErr w:type="spellEnd"/>
                    </w:p>
                    <w:p w:rsidR="00DD629E" w:rsidRDefault="00DD629E" w:rsidP="00664541">
                      <w:pPr>
                        <w:pStyle w:val="ListParagraph"/>
                        <w:numPr>
                          <w:ilvl w:val="0"/>
                          <w:numId w:val="3"/>
                        </w:numPr>
                        <w:spacing w:after="0"/>
                        <w:ind w:left="284" w:hanging="284"/>
                      </w:pPr>
                      <w:r w:rsidRPr="00DD629E">
                        <w:t>Two new All India Institutes of Medical Sciences will be set up in Jharkhand and Gujarat</w:t>
                      </w:r>
                    </w:p>
                    <w:p w:rsidR="008B271E" w:rsidRPr="00DD629E" w:rsidRDefault="00D1575F" w:rsidP="00C47B19">
                      <w:pPr>
                        <w:pStyle w:val="ListParagraph"/>
                        <w:numPr>
                          <w:ilvl w:val="0"/>
                          <w:numId w:val="3"/>
                        </w:numPr>
                        <w:spacing w:after="0"/>
                        <w:ind w:left="284" w:hanging="284"/>
                      </w:pPr>
                      <w:r>
                        <w:t xml:space="preserve">Substantial allocation for “Human Resources for Health and Medical Education”, specifically </w:t>
                      </w:r>
                      <w:r w:rsidR="00C47B19">
                        <w:t>for upgrading</w:t>
                      </w:r>
                      <w:r>
                        <w:t xml:space="preserve"> District Hospitals </w:t>
                      </w:r>
                    </w:p>
                  </w:txbxContent>
                </v:textbox>
              </v:shape>
            </w:pict>
          </mc:Fallback>
        </mc:AlternateContent>
      </w:r>
    </w:p>
    <w:p w:rsidR="00D020CB" w:rsidRPr="0077627D" w:rsidRDefault="00D020CB" w:rsidP="005224F3">
      <w:pPr>
        <w:spacing w:after="0"/>
        <w:jc w:val="both"/>
        <w:rPr>
          <w:bCs/>
        </w:rPr>
      </w:pPr>
    </w:p>
    <w:p w:rsidR="00D020CB" w:rsidRPr="0077627D" w:rsidRDefault="00D020CB" w:rsidP="005224F3">
      <w:pPr>
        <w:spacing w:after="0"/>
        <w:jc w:val="both"/>
        <w:rPr>
          <w:bCs/>
        </w:rPr>
      </w:pPr>
    </w:p>
    <w:p w:rsidR="00D020CB" w:rsidRPr="0077627D" w:rsidRDefault="00D020CB" w:rsidP="005224F3">
      <w:pPr>
        <w:spacing w:after="0"/>
        <w:jc w:val="both"/>
        <w:rPr>
          <w:bCs/>
        </w:rPr>
      </w:pPr>
    </w:p>
    <w:p w:rsidR="00D020CB" w:rsidRPr="0077627D" w:rsidRDefault="00D020CB" w:rsidP="005224F3">
      <w:pPr>
        <w:spacing w:after="0"/>
        <w:jc w:val="both"/>
        <w:rPr>
          <w:bCs/>
        </w:rPr>
      </w:pPr>
    </w:p>
    <w:p w:rsidR="00D020CB" w:rsidRPr="0077627D" w:rsidRDefault="00D020CB" w:rsidP="005224F3">
      <w:pPr>
        <w:spacing w:after="0"/>
        <w:jc w:val="both"/>
        <w:rPr>
          <w:bCs/>
        </w:rPr>
      </w:pPr>
    </w:p>
    <w:p w:rsidR="00D020CB" w:rsidRPr="0077627D" w:rsidRDefault="00D020CB" w:rsidP="005224F3">
      <w:pPr>
        <w:spacing w:after="0"/>
        <w:jc w:val="both"/>
        <w:rPr>
          <w:bCs/>
        </w:rPr>
      </w:pPr>
    </w:p>
    <w:p w:rsidR="00454F84" w:rsidRDefault="00454F84" w:rsidP="00B441CA">
      <w:pPr>
        <w:jc w:val="both"/>
      </w:pPr>
    </w:p>
    <w:p w:rsidR="00454F84" w:rsidRDefault="00454F84" w:rsidP="00B441CA">
      <w:pPr>
        <w:jc w:val="both"/>
      </w:pPr>
    </w:p>
    <w:p w:rsidR="00D1575F" w:rsidRDefault="00D1575F" w:rsidP="00B441CA">
      <w:pPr>
        <w:jc w:val="both"/>
      </w:pPr>
    </w:p>
    <w:p w:rsidR="0071291C" w:rsidRPr="0077627D" w:rsidRDefault="0071291C" w:rsidP="00D1575F">
      <w:pPr>
        <w:jc w:val="both"/>
      </w:pPr>
      <w:r w:rsidRPr="0077627D">
        <w:t xml:space="preserve">The </w:t>
      </w:r>
      <w:r w:rsidR="00DD629E" w:rsidRPr="0077627D">
        <w:t xml:space="preserve">fourth </w:t>
      </w:r>
      <w:r w:rsidRPr="0077627D">
        <w:t xml:space="preserve">budget of the </w:t>
      </w:r>
      <w:r w:rsidR="00DD51CB">
        <w:t>present government</w:t>
      </w:r>
      <w:r w:rsidRPr="0077627D">
        <w:t xml:space="preserve"> is a first in many ways. </w:t>
      </w:r>
      <w:r w:rsidR="00D1575F">
        <w:t>T</w:t>
      </w:r>
      <w:r w:rsidR="000473F2" w:rsidRPr="00664541">
        <w:t>he health sector too</w:t>
      </w:r>
      <w:r w:rsidR="000473F2" w:rsidRPr="0077627D">
        <w:t xml:space="preserve"> witnesses a few changes</w:t>
      </w:r>
      <w:r w:rsidR="000473F2">
        <w:t>.</w:t>
      </w:r>
      <w:r w:rsidR="000473F2" w:rsidRPr="0077627D">
        <w:t xml:space="preserve"> </w:t>
      </w:r>
      <w:r w:rsidRPr="0077627D">
        <w:t xml:space="preserve">In a departure from the previous years, </w:t>
      </w:r>
      <w:r w:rsidR="000473F2">
        <w:t>t</w:t>
      </w:r>
      <w:r w:rsidRPr="0077627D">
        <w:t xml:space="preserve">he overall allocation for the </w:t>
      </w:r>
      <w:r w:rsidR="00A95536" w:rsidRPr="0077627D">
        <w:t>h</w:t>
      </w:r>
      <w:r w:rsidRPr="0077627D">
        <w:t xml:space="preserve">ealth sector </w:t>
      </w:r>
      <w:r w:rsidR="005120D8" w:rsidRPr="0077627D">
        <w:t xml:space="preserve">in 2017-18 budget </w:t>
      </w:r>
      <w:r w:rsidRPr="0077627D">
        <w:t>(including Ministry of Health and Family Welfare</w:t>
      </w:r>
      <w:r w:rsidR="005120D8" w:rsidRPr="0077627D">
        <w:t xml:space="preserve"> and Ministry of AYUSH) has increased by 27 percent over</w:t>
      </w:r>
      <w:r w:rsidR="00A95536" w:rsidRPr="0077627D">
        <w:t xml:space="preserve"> 2016-17 BE. </w:t>
      </w:r>
      <w:r w:rsidR="00804807" w:rsidRPr="0077627D">
        <w:t xml:space="preserve">It </w:t>
      </w:r>
      <w:r w:rsidR="005224F3">
        <w:t xml:space="preserve">is </w:t>
      </w:r>
      <w:r w:rsidR="00804807" w:rsidRPr="0077627D">
        <w:t xml:space="preserve">expected that this </w:t>
      </w:r>
      <w:r w:rsidR="005224F3">
        <w:t xml:space="preserve">upward trend </w:t>
      </w:r>
      <w:r w:rsidR="00804807" w:rsidRPr="0077627D">
        <w:t xml:space="preserve">in the health budget </w:t>
      </w:r>
      <w:r w:rsidR="005224F3">
        <w:t xml:space="preserve">continues </w:t>
      </w:r>
      <w:r w:rsidR="00F246D5" w:rsidRPr="0077627D">
        <w:t xml:space="preserve">in the coming years.  </w:t>
      </w:r>
    </w:p>
    <w:p w:rsidR="00D020CB" w:rsidRPr="0077627D" w:rsidRDefault="00D41EBD" w:rsidP="005224F3">
      <w:pPr>
        <w:spacing w:after="0"/>
        <w:jc w:val="both"/>
        <w:rPr>
          <w:bCs/>
        </w:rPr>
      </w:pPr>
      <w:r w:rsidRPr="0077627D">
        <w:rPr>
          <w:bCs/>
        </w:rPr>
        <w:t xml:space="preserve">Table </w:t>
      </w:r>
      <w:r w:rsidR="00832BC9" w:rsidRPr="0077627D">
        <w:rPr>
          <w:bCs/>
        </w:rPr>
        <w:t>5</w:t>
      </w:r>
      <w:r w:rsidRPr="0077627D">
        <w:rPr>
          <w:bCs/>
        </w:rPr>
        <w:t>.1: Health Sector - Allocations across different Departments/Ministries (</w:t>
      </w:r>
      <w:proofErr w:type="spellStart"/>
      <w:r w:rsidRPr="0077627D">
        <w:rPr>
          <w:bCs/>
        </w:rPr>
        <w:t>Rs</w:t>
      </w:r>
      <w:proofErr w:type="spellEnd"/>
      <w:r w:rsidRPr="0077627D">
        <w:rPr>
          <w:bCs/>
        </w:rPr>
        <w:t>. crore)</w:t>
      </w:r>
    </w:p>
    <w:tbl>
      <w:tblPr>
        <w:tblStyle w:val="TableGrid"/>
        <w:tblW w:w="0" w:type="auto"/>
        <w:tblLook w:val="04A0" w:firstRow="1" w:lastRow="0" w:firstColumn="1" w:lastColumn="0" w:noHBand="0" w:noVBand="1"/>
      </w:tblPr>
      <w:tblGrid>
        <w:gridCol w:w="2626"/>
        <w:gridCol w:w="946"/>
        <w:gridCol w:w="945"/>
        <w:gridCol w:w="945"/>
        <w:gridCol w:w="945"/>
        <w:gridCol w:w="945"/>
        <w:gridCol w:w="945"/>
        <w:gridCol w:w="945"/>
      </w:tblGrid>
      <w:tr w:rsidR="00D020CB" w:rsidRPr="0077627D" w:rsidTr="00D020CB">
        <w:trPr>
          <w:trHeight w:val="600"/>
        </w:trPr>
        <w:tc>
          <w:tcPr>
            <w:tcW w:w="4300" w:type="dxa"/>
            <w:hideMark/>
          </w:tcPr>
          <w:p w:rsidR="00D020CB" w:rsidRPr="0077627D" w:rsidRDefault="00D020CB" w:rsidP="005224F3">
            <w:pPr>
              <w:spacing w:line="276" w:lineRule="auto"/>
              <w:jc w:val="both"/>
              <w:rPr>
                <w:bCs/>
              </w:rPr>
            </w:pPr>
            <w:r w:rsidRPr="0077627D">
              <w:rPr>
                <w:bCs/>
              </w:rPr>
              <w:t>Ministry/Department</w:t>
            </w:r>
          </w:p>
        </w:tc>
        <w:tc>
          <w:tcPr>
            <w:tcW w:w="960" w:type="dxa"/>
            <w:hideMark/>
          </w:tcPr>
          <w:p w:rsidR="00D020CB" w:rsidRPr="0077627D" w:rsidRDefault="00D020CB" w:rsidP="00DD51CB">
            <w:pPr>
              <w:spacing w:line="276" w:lineRule="auto"/>
              <w:jc w:val="both"/>
              <w:rPr>
                <w:bCs/>
              </w:rPr>
            </w:pPr>
            <w:r w:rsidRPr="0077627D">
              <w:rPr>
                <w:bCs/>
              </w:rPr>
              <w:t>2012-13 (A)</w:t>
            </w:r>
          </w:p>
        </w:tc>
        <w:tc>
          <w:tcPr>
            <w:tcW w:w="960" w:type="dxa"/>
            <w:hideMark/>
          </w:tcPr>
          <w:p w:rsidR="00D020CB" w:rsidRPr="0077627D" w:rsidRDefault="00D020CB" w:rsidP="00DD51CB">
            <w:pPr>
              <w:spacing w:line="276" w:lineRule="auto"/>
              <w:jc w:val="both"/>
              <w:rPr>
                <w:bCs/>
              </w:rPr>
            </w:pPr>
            <w:r w:rsidRPr="0077627D">
              <w:rPr>
                <w:bCs/>
              </w:rPr>
              <w:t>2013-14 (A)</w:t>
            </w:r>
          </w:p>
        </w:tc>
        <w:tc>
          <w:tcPr>
            <w:tcW w:w="960" w:type="dxa"/>
            <w:hideMark/>
          </w:tcPr>
          <w:p w:rsidR="00D020CB" w:rsidRPr="0077627D" w:rsidRDefault="00D020CB" w:rsidP="00DD51CB">
            <w:pPr>
              <w:spacing w:line="276" w:lineRule="auto"/>
              <w:jc w:val="both"/>
              <w:rPr>
                <w:bCs/>
              </w:rPr>
            </w:pPr>
            <w:r w:rsidRPr="0077627D">
              <w:rPr>
                <w:bCs/>
              </w:rPr>
              <w:t>2014-15 (A)</w:t>
            </w:r>
          </w:p>
        </w:tc>
        <w:tc>
          <w:tcPr>
            <w:tcW w:w="960" w:type="dxa"/>
            <w:hideMark/>
          </w:tcPr>
          <w:p w:rsidR="00D020CB" w:rsidRPr="0077627D" w:rsidRDefault="00D020CB" w:rsidP="00DD51CB">
            <w:pPr>
              <w:spacing w:line="276" w:lineRule="auto"/>
              <w:jc w:val="both"/>
              <w:rPr>
                <w:bCs/>
              </w:rPr>
            </w:pPr>
            <w:r w:rsidRPr="0077627D">
              <w:rPr>
                <w:bCs/>
              </w:rPr>
              <w:t>2015-16 (A)</w:t>
            </w:r>
          </w:p>
        </w:tc>
        <w:tc>
          <w:tcPr>
            <w:tcW w:w="960" w:type="dxa"/>
            <w:hideMark/>
          </w:tcPr>
          <w:p w:rsidR="00D020CB" w:rsidRPr="0077627D" w:rsidRDefault="00D020CB" w:rsidP="005224F3">
            <w:pPr>
              <w:spacing w:line="276" w:lineRule="auto"/>
              <w:jc w:val="both"/>
              <w:rPr>
                <w:bCs/>
              </w:rPr>
            </w:pPr>
            <w:r w:rsidRPr="0077627D">
              <w:rPr>
                <w:bCs/>
              </w:rPr>
              <w:t>2016-17 (BE)</w:t>
            </w:r>
          </w:p>
        </w:tc>
        <w:tc>
          <w:tcPr>
            <w:tcW w:w="960" w:type="dxa"/>
            <w:hideMark/>
          </w:tcPr>
          <w:p w:rsidR="00D020CB" w:rsidRPr="0077627D" w:rsidRDefault="00D020CB" w:rsidP="005224F3">
            <w:pPr>
              <w:spacing w:line="276" w:lineRule="auto"/>
              <w:jc w:val="both"/>
              <w:rPr>
                <w:bCs/>
              </w:rPr>
            </w:pPr>
            <w:r w:rsidRPr="0077627D">
              <w:rPr>
                <w:bCs/>
              </w:rPr>
              <w:t>2016-17 (RE)</w:t>
            </w:r>
          </w:p>
        </w:tc>
        <w:tc>
          <w:tcPr>
            <w:tcW w:w="960" w:type="dxa"/>
            <w:hideMark/>
          </w:tcPr>
          <w:p w:rsidR="00D020CB" w:rsidRPr="0077627D" w:rsidRDefault="00D020CB" w:rsidP="005224F3">
            <w:pPr>
              <w:spacing w:line="276" w:lineRule="auto"/>
              <w:jc w:val="both"/>
              <w:rPr>
                <w:bCs/>
              </w:rPr>
            </w:pPr>
            <w:r w:rsidRPr="0077627D">
              <w:rPr>
                <w:bCs/>
              </w:rPr>
              <w:t>2017-18 (BE)</w:t>
            </w:r>
          </w:p>
        </w:tc>
      </w:tr>
      <w:tr w:rsidR="00D020CB" w:rsidRPr="0077627D" w:rsidTr="00D020CB">
        <w:trPr>
          <w:trHeight w:val="600"/>
        </w:trPr>
        <w:tc>
          <w:tcPr>
            <w:tcW w:w="4300" w:type="dxa"/>
            <w:hideMark/>
          </w:tcPr>
          <w:p w:rsidR="00D020CB" w:rsidRPr="0003444F" w:rsidRDefault="00D020CB" w:rsidP="005224F3">
            <w:pPr>
              <w:spacing w:line="276" w:lineRule="auto"/>
              <w:jc w:val="both"/>
              <w:rPr>
                <w:bCs/>
                <w:vertAlign w:val="superscript"/>
              </w:rPr>
            </w:pPr>
            <w:r w:rsidRPr="0077627D">
              <w:rPr>
                <w:bCs/>
              </w:rPr>
              <w:t>Department of Health &amp; Family Welfare (including Department of AIDS control)</w:t>
            </w:r>
            <w:r w:rsidR="0003444F">
              <w:rPr>
                <w:bCs/>
                <w:vertAlign w:val="superscript"/>
              </w:rPr>
              <w:t>@</w:t>
            </w:r>
          </w:p>
        </w:tc>
        <w:tc>
          <w:tcPr>
            <w:tcW w:w="960" w:type="dxa"/>
            <w:hideMark/>
          </w:tcPr>
          <w:p w:rsidR="00D020CB" w:rsidRDefault="00D020CB" w:rsidP="005224F3">
            <w:pPr>
              <w:spacing w:line="276" w:lineRule="auto"/>
              <w:jc w:val="both"/>
              <w:rPr>
                <w:bCs/>
              </w:rPr>
            </w:pPr>
            <w:r w:rsidRPr="0077627D">
              <w:rPr>
                <w:bCs/>
              </w:rPr>
              <w:t>26449</w:t>
            </w:r>
            <w:r w:rsidR="00832BC9" w:rsidRPr="0077627D">
              <w:rPr>
                <w:bCs/>
              </w:rPr>
              <w:t>.0</w:t>
            </w:r>
          </w:p>
          <w:p w:rsidR="0003444F" w:rsidRPr="0077627D" w:rsidRDefault="0003444F" w:rsidP="005224F3">
            <w:pPr>
              <w:spacing w:line="276" w:lineRule="auto"/>
              <w:jc w:val="both"/>
              <w:rPr>
                <w:bCs/>
              </w:rPr>
            </w:pPr>
            <w:r>
              <w:rPr>
                <w:bCs/>
              </w:rPr>
              <w:t>(82%)</w:t>
            </w:r>
          </w:p>
        </w:tc>
        <w:tc>
          <w:tcPr>
            <w:tcW w:w="960" w:type="dxa"/>
            <w:hideMark/>
          </w:tcPr>
          <w:p w:rsidR="00D020CB" w:rsidRPr="0077627D" w:rsidRDefault="00D020CB" w:rsidP="005224F3">
            <w:pPr>
              <w:spacing w:line="276" w:lineRule="auto"/>
              <w:jc w:val="both"/>
              <w:rPr>
                <w:bCs/>
              </w:rPr>
            </w:pPr>
            <w:r w:rsidRPr="0077627D">
              <w:rPr>
                <w:bCs/>
              </w:rPr>
              <w:t>28618.4</w:t>
            </w:r>
            <w:r w:rsidR="0003444F">
              <w:rPr>
                <w:bCs/>
              </w:rPr>
              <w:t xml:space="preserve"> (82%)</w:t>
            </w:r>
          </w:p>
        </w:tc>
        <w:tc>
          <w:tcPr>
            <w:tcW w:w="960" w:type="dxa"/>
            <w:hideMark/>
          </w:tcPr>
          <w:p w:rsidR="00D020CB" w:rsidRPr="0077627D" w:rsidRDefault="00D020CB" w:rsidP="005224F3">
            <w:pPr>
              <w:spacing w:line="276" w:lineRule="auto"/>
              <w:jc w:val="both"/>
              <w:rPr>
                <w:bCs/>
              </w:rPr>
            </w:pPr>
            <w:r w:rsidRPr="0077627D">
              <w:rPr>
                <w:bCs/>
              </w:rPr>
              <w:t>30626.4</w:t>
            </w:r>
            <w:r w:rsidR="0003444F">
              <w:rPr>
                <w:bCs/>
              </w:rPr>
              <w:t xml:space="preserve"> (83%)</w:t>
            </w:r>
          </w:p>
        </w:tc>
        <w:tc>
          <w:tcPr>
            <w:tcW w:w="960" w:type="dxa"/>
            <w:hideMark/>
          </w:tcPr>
          <w:p w:rsidR="00D020CB" w:rsidRPr="0077627D" w:rsidRDefault="00D020CB" w:rsidP="005224F3">
            <w:pPr>
              <w:spacing w:line="276" w:lineRule="auto"/>
              <w:jc w:val="both"/>
              <w:rPr>
                <w:bCs/>
              </w:rPr>
            </w:pPr>
            <w:r w:rsidRPr="0077627D">
              <w:rPr>
                <w:bCs/>
              </w:rPr>
              <w:t>33121.4</w:t>
            </w:r>
            <w:r w:rsidR="0003444F">
              <w:rPr>
                <w:bCs/>
              </w:rPr>
              <w:t xml:space="preserve"> (107%)</w:t>
            </w:r>
          </w:p>
        </w:tc>
        <w:tc>
          <w:tcPr>
            <w:tcW w:w="960" w:type="dxa"/>
            <w:hideMark/>
          </w:tcPr>
          <w:p w:rsidR="00D020CB" w:rsidRPr="0077627D" w:rsidRDefault="00D020CB" w:rsidP="00C47B19">
            <w:pPr>
              <w:spacing w:line="276" w:lineRule="auto"/>
              <w:jc w:val="both"/>
              <w:rPr>
                <w:bCs/>
              </w:rPr>
            </w:pPr>
            <w:r w:rsidRPr="0077627D">
              <w:rPr>
                <w:bCs/>
              </w:rPr>
              <w:t>37061.5</w:t>
            </w:r>
            <w:r w:rsidR="0003444F">
              <w:rPr>
                <w:bCs/>
              </w:rPr>
              <w:t xml:space="preserve"> </w:t>
            </w:r>
          </w:p>
        </w:tc>
        <w:tc>
          <w:tcPr>
            <w:tcW w:w="960" w:type="dxa"/>
            <w:hideMark/>
          </w:tcPr>
          <w:p w:rsidR="00D020CB" w:rsidRPr="0077627D" w:rsidRDefault="00D020CB" w:rsidP="005224F3">
            <w:pPr>
              <w:spacing w:line="276" w:lineRule="auto"/>
              <w:jc w:val="both"/>
              <w:rPr>
                <w:bCs/>
              </w:rPr>
            </w:pPr>
            <w:r w:rsidRPr="0077627D">
              <w:rPr>
                <w:bCs/>
              </w:rPr>
              <w:t>38343.3</w:t>
            </w:r>
          </w:p>
        </w:tc>
        <w:tc>
          <w:tcPr>
            <w:tcW w:w="960" w:type="dxa"/>
            <w:hideMark/>
          </w:tcPr>
          <w:p w:rsidR="00D020CB" w:rsidRPr="0077627D" w:rsidRDefault="00D020CB" w:rsidP="005224F3">
            <w:pPr>
              <w:spacing w:line="276" w:lineRule="auto"/>
              <w:jc w:val="both"/>
              <w:rPr>
                <w:bCs/>
              </w:rPr>
            </w:pPr>
            <w:r w:rsidRPr="0077627D">
              <w:rPr>
                <w:bCs/>
              </w:rPr>
              <w:t>47352.5</w:t>
            </w:r>
          </w:p>
        </w:tc>
      </w:tr>
      <w:tr w:rsidR="00D020CB" w:rsidRPr="0077627D" w:rsidTr="00D020CB">
        <w:trPr>
          <w:trHeight w:val="450"/>
        </w:trPr>
        <w:tc>
          <w:tcPr>
            <w:tcW w:w="4300" w:type="dxa"/>
            <w:hideMark/>
          </w:tcPr>
          <w:p w:rsidR="00D020CB" w:rsidRPr="0077627D" w:rsidRDefault="00D020CB" w:rsidP="005224F3">
            <w:pPr>
              <w:spacing w:line="276" w:lineRule="auto"/>
              <w:jc w:val="both"/>
              <w:rPr>
                <w:bCs/>
              </w:rPr>
            </w:pPr>
            <w:r w:rsidRPr="0077627D">
              <w:rPr>
                <w:bCs/>
              </w:rPr>
              <w:t>Department of Health Research</w:t>
            </w:r>
          </w:p>
        </w:tc>
        <w:tc>
          <w:tcPr>
            <w:tcW w:w="960" w:type="dxa"/>
            <w:hideMark/>
          </w:tcPr>
          <w:p w:rsidR="00D020CB" w:rsidRPr="0077627D" w:rsidRDefault="00D020CB" w:rsidP="005224F3">
            <w:pPr>
              <w:spacing w:line="276" w:lineRule="auto"/>
              <w:jc w:val="both"/>
              <w:rPr>
                <w:bCs/>
              </w:rPr>
            </w:pPr>
            <w:r w:rsidRPr="0077627D">
              <w:rPr>
                <w:bCs/>
              </w:rPr>
              <w:t>720</w:t>
            </w:r>
            <w:r w:rsidR="00832BC9" w:rsidRPr="0077627D">
              <w:rPr>
                <w:bCs/>
              </w:rPr>
              <w:t>.0</w:t>
            </w:r>
          </w:p>
        </w:tc>
        <w:tc>
          <w:tcPr>
            <w:tcW w:w="960" w:type="dxa"/>
            <w:hideMark/>
          </w:tcPr>
          <w:p w:rsidR="00D020CB" w:rsidRPr="0077627D" w:rsidRDefault="00D020CB" w:rsidP="005224F3">
            <w:pPr>
              <w:spacing w:line="276" w:lineRule="auto"/>
              <w:jc w:val="both"/>
              <w:rPr>
                <w:bCs/>
              </w:rPr>
            </w:pPr>
            <w:r w:rsidRPr="0077627D">
              <w:rPr>
                <w:bCs/>
              </w:rPr>
              <w:t>874.1</w:t>
            </w:r>
          </w:p>
        </w:tc>
        <w:tc>
          <w:tcPr>
            <w:tcW w:w="960" w:type="dxa"/>
            <w:hideMark/>
          </w:tcPr>
          <w:p w:rsidR="00D020CB" w:rsidRPr="0077627D" w:rsidRDefault="00D020CB" w:rsidP="005224F3">
            <w:pPr>
              <w:spacing w:line="276" w:lineRule="auto"/>
              <w:jc w:val="both"/>
              <w:rPr>
                <w:bCs/>
              </w:rPr>
            </w:pPr>
            <w:r w:rsidRPr="0077627D">
              <w:rPr>
                <w:bCs/>
              </w:rPr>
              <w:t>910.8</w:t>
            </w:r>
          </w:p>
        </w:tc>
        <w:tc>
          <w:tcPr>
            <w:tcW w:w="960" w:type="dxa"/>
            <w:hideMark/>
          </w:tcPr>
          <w:p w:rsidR="00D020CB" w:rsidRPr="0077627D" w:rsidRDefault="00D020CB" w:rsidP="005224F3">
            <w:pPr>
              <w:spacing w:line="276" w:lineRule="auto"/>
              <w:jc w:val="both"/>
              <w:rPr>
                <w:bCs/>
              </w:rPr>
            </w:pPr>
            <w:r w:rsidRPr="0077627D">
              <w:rPr>
                <w:bCs/>
              </w:rPr>
              <w:t>992.8</w:t>
            </w:r>
          </w:p>
        </w:tc>
        <w:tc>
          <w:tcPr>
            <w:tcW w:w="960" w:type="dxa"/>
            <w:hideMark/>
          </w:tcPr>
          <w:p w:rsidR="00D020CB" w:rsidRPr="0077627D" w:rsidRDefault="00D020CB" w:rsidP="005224F3">
            <w:pPr>
              <w:spacing w:line="276" w:lineRule="auto"/>
              <w:jc w:val="both"/>
              <w:rPr>
                <w:bCs/>
              </w:rPr>
            </w:pPr>
            <w:r w:rsidRPr="0077627D">
              <w:rPr>
                <w:bCs/>
              </w:rPr>
              <w:t>1144.8</w:t>
            </w:r>
          </w:p>
        </w:tc>
        <w:tc>
          <w:tcPr>
            <w:tcW w:w="960" w:type="dxa"/>
            <w:hideMark/>
          </w:tcPr>
          <w:p w:rsidR="00D020CB" w:rsidRPr="0077627D" w:rsidRDefault="00D020CB" w:rsidP="005224F3">
            <w:pPr>
              <w:spacing w:line="276" w:lineRule="auto"/>
              <w:jc w:val="both"/>
              <w:rPr>
                <w:bCs/>
              </w:rPr>
            </w:pPr>
            <w:r w:rsidRPr="0077627D">
              <w:rPr>
                <w:bCs/>
              </w:rPr>
              <w:t>1344.8</w:t>
            </w:r>
          </w:p>
        </w:tc>
        <w:tc>
          <w:tcPr>
            <w:tcW w:w="960" w:type="dxa"/>
            <w:hideMark/>
          </w:tcPr>
          <w:p w:rsidR="00D020CB" w:rsidRPr="0077627D" w:rsidRDefault="00D020CB" w:rsidP="005224F3">
            <w:pPr>
              <w:spacing w:line="276" w:lineRule="auto"/>
              <w:jc w:val="both"/>
              <w:rPr>
                <w:bCs/>
              </w:rPr>
            </w:pPr>
            <w:r w:rsidRPr="0077627D">
              <w:rPr>
                <w:bCs/>
              </w:rPr>
              <w:t>1500</w:t>
            </w:r>
            <w:r w:rsidR="00832BC9" w:rsidRPr="0077627D">
              <w:rPr>
                <w:bCs/>
              </w:rPr>
              <w:t>.0</w:t>
            </w:r>
          </w:p>
        </w:tc>
      </w:tr>
      <w:tr w:rsidR="00D020CB" w:rsidRPr="0077627D" w:rsidTr="00D020CB">
        <w:trPr>
          <w:trHeight w:val="435"/>
        </w:trPr>
        <w:tc>
          <w:tcPr>
            <w:tcW w:w="4300" w:type="dxa"/>
            <w:hideMark/>
          </w:tcPr>
          <w:p w:rsidR="00D020CB" w:rsidRPr="0077627D" w:rsidRDefault="00D020CB" w:rsidP="005224F3">
            <w:pPr>
              <w:spacing w:line="276" w:lineRule="auto"/>
              <w:jc w:val="both"/>
              <w:rPr>
                <w:bCs/>
              </w:rPr>
            </w:pPr>
            <w:r w:rsidRPr="0077627D">
              <w:rPr>
                <w:bCs/>
              </w:rPr>
              <w:t>Total Ministry of Health &amp; Family Welfare</w:t>
            </w:r>
          </w:p>
        </w:tc>
        <w:tc>
          <w:tcPr>
            <w:tcW w:w="960" w:type="dxa"/>
            <w:hideMark/>
          </w:tcPr>
          <w:p w:rsidR="00D020CB" w:rsidRPr="0077627D" w:rsidRDefault="00D020CB" w:rsidP="005224F3">
            <w:pPr>
              <w:spacing w:line="276" w:lineRule="auto"/>
              <w:jc w:val="both"/>
              <w:rPr>
                <w:bCs/>
              </w:rPr>
            </w:pPr>
            <w:r w:rsidRPr="0077627D">
              <w:rPr>
                <w:bCs/>
              </w:rPr>
              <w:t>27169</w:t>
            </w:r>
            <w:r w:rsidR="00832BC9" w:rsidRPr="0077627D">
              <w:rPr>
                <w:bCs/>
              </w:rPr>
              <w:t>.0</w:t>
            </w:r>
          </w:p>
        </w:tc>
        <w:tc>
          <w:tcPr>
            <w:tcW w:w="960" w:type="dxa"/>
            <w:hideMark/>
          </w:tcPr>
          <w:p w:rsidR="00D020CB" w:rsidRPr="0077627D" w:rsidRDefault="00D020CB" w:rsidP="005224F3">
            <w:pPr>
              <w:spacing w:line="276" w:lineRule="auto"/>
              <w:jc w:val="both"/>
              <w:rPr>
                <w:bCs/>
              </w:rPr>
            </w:pPr>
            <w:r w:rsidRPr="0077627D">
              <w:rPr>
                <w:bCs/>
              </w:rPr>
              <w:t>29492.5</w:t>
            </w:r>
          </w:p>
        </w:tc>
        <w:tc>
          <w:tcPr>
            <w:tcW w:w="960" w:type="dxa"/>
            <w:hideMark/>
          </w:tcPr>
          <w:p w:rsidR="00D020CB" w:rsidRPr="0077627D" w:rsidRDefault="00D020CB" w:rsidP="005224F3">
            <w:pPr>
              <w:spacing w:line="276" w:lineRule="auto"/>
              <w:jc w:val="both"/>
              <w:rPr>
                <w:bCs/>
              </w:rPr>
            </w:pPr>
            <w:r w:rsidRPr="0077627D">
              <w:rPr>
                <w:bCs/>
              </w:rPr>
              <w:t>31537.2</w:t>
            </w:r>
          </w:p>
        </w:tc>
        <w:tc>
          <w:tcPr>
            <w:tcW w:w="960" w:type="dxa"/>
            <w:hideMark/>
          </w:tcPr>
          <w:p w:rsidR="00D020CB" w:rsidRPr="0077627D" w:rsidRDefault="00D020CB" w:rsidP="005224F3">
            <w:pPr>
              <w:spacing w:line="276" w:lineRule="auto"/>
              <w:jc w:val="both"/>
              <w:rPr>
                <w:bCs/>
              </w:rPr>
            </w:pPr>
            <w:r w:rsidRPr="0077627D">
              <w:rPr>
                <w:bCs/>
              </w:rPr>
              <w:t>34114.2</w:t>
            </w:r>
          </w:p>
        </w:tc>
        <w:tc>
          <w:tcPr>
            <w:tcW w:w="960" w:type="dxa"/>
            <w:hideMark/>
          </w:tcPr>
          <w:p w:rsidR="00D020CB" w:rsidRPr="0077627D" w:rsidRDefault="00D020CB" w:rsidP="005224F3">
            <w:pPr>
              <w:spacing w:line="276" w:lineRule="auto"/>
              <w:jc w:val="both"/>
              <w:rPr>
                <w:bCs/>
              </w:rPr>
            </w:pPr>
            <w:r w:rsidRPr="0077627D">
              <w:rPr>
                <w:bCs/>
              </w:rPr>
              <w:t>38206.3</w:t>
            </w:r>
          </w:p>
        </w:tc>
        <w:tc>
          <w:tcPr>
            <w:tcW w:w="960" w:type="dxa"/>
            <w:hideMark/>
          </w:tcPr>
          <w:p w:rsidR="00D020CB" w:rsidRPr="0077627D" w:rsidRDefault="00D020CB" w:rsidP="005224F3">
            <w:pPr>
              <w:spacing w:line="276" w:lineRule="auto"/>
              <w:jc w:val="both"/>
              <w:rPr>
                <w:bCs/>
              </w:rPr>
            </w:pPr>
            <w:r w:rsidRPr="0077627D">
              <w:rPr>
                <w:bCs/>
              </w:rPr>
              <w:t>39688.1</w:t>
            </w:r>
          </w:p>
        </w:tc>
        <w:tc>
          <w:tcPr>
            <w:tcW w:w="960" w:type="dxa"/>
            <w:hideMark/>
          </w:tcPr>
          <w:p w:rsidR="00D020CB" w:rsidRPr="0077627D" w:rsidRDefault="00D020CB" w:rsidP="005224F3">
            <w:pPr>
              <w:spacing w:line="276" w:lineRule="auto"/>
              <w:jc w:val="both"/>
              <w:rPr>
                <w:bCs/>
              </w:rPr>
            </w:pPr>
            <w:r w:rsidRPr="0077627D">
              <w:rPr>
                <w:bCs/>
              </w:rPr>
              <w:t>48852.5</w:t>
            </w:r>
          </w:p>
        </w:tc>
      </w:tr>
      <w:tr w:rsidR="00D020CB" w:rsidRPr="0077627D" w:rsidTr="00D020CB">
        <w:trPr>
          <w:trHeight w:val="435"/>
        </w:trPr>
        <w:tc>
          <w:tcPr>
            <w:tcW w:w="4300" w:type="dxa"/>
            <w:hideMark/>
          </w:tcPr>
          <w:p w:rsidR="00D020CB" w:rsidRPr="0077627D" w:rsidRDefault="00D020CB" w:rsidP="005224F3">
            <w:pPr>
              <w:spacing w:line="276" w:lineRule="auto"/>
              <w:jc w:val="both"/>
              <w:rPr>
                <w:bCs/>
              </w:rPr>
            </w:pPr>
            <w:r w:rsidRPr="0077627D">
              <w:rPr>
                <w:bCs/>
              </w:rPr>
              <w:t>Ministry of AYUSH</w:t>
            </w:r>
          </w:p>
        </w:tc>
        <w:tc>
          <w:tcPr>
            <w:tcW w:w="960" w:type="dxa"/>
            <w:hideMark/>
          </w:tcPr>
          <w:p w:rsidR="00D020CB" w:rsidRPr="0077627D" w:rsidRDefault="00D020CB" w:rsidP="005224F3">
            <w:pPr>
              <w:spacing w:line="276" w:lineRule="auto"/>
              <w:jc w:val="both"/>
              <w:rPr>
                <w:bCs/>
              </w:rPr>
            </w:pPr>
            <w:r w:rsidRPr="0077627D">
              <w:rPr>
                <w:bCs/>
              </w:rPr>
              <w:t>715</w:t>
            </w:r>
            <w:r w:rsidR="00832BC9" w:rsidRPr="0077627D">
              <w:rPr>
                <w:bCs/>
              </w:rPr>
              <w:t>.0</w:t>
            </w:r>
          </w:p>
        </w:tc>
        <w:tc>
          <w:tcPr>
            <w:tcW w:w="960" w:type="dxa"/>
            <w:hideMark/>
          </w:tcPr>
          <w:p w:rsidR="00D020CB" w:rsidRPr="0077627D" w:rsidRDefault="00D020CB" w:rsidP="005224F3">
            <w:pPr>
              <w:spacing w:line="276" w:lineRule="auto"/>
              <w:jc w:val="both"/>
              <w:rPr>
                <w:bCs/>
              </w:rPr>
            </w:pPr>
            <w:r w:rsidRPr="0077627D">
              <w:rPr>
                <w:bCs/>
              </w:rPr>
              <w:t>642.4</w:t>
            </w:r>
          </w:p>
        </w:tc>
        <w:tc>
          <w:tcPr>
            <w:tcW w:w="960" w:type="dxa"/>
            <w:hideMark/>
          </w:tcPr>
          <w:p w:rsidR="00D020CB" w:rsidRPr="0077627D" w:rsidRDefault="00D020CB" w:rsidP="005224F3">
            <w:pPr>
              <w:spacing w:line="276" w:lineRule="auto"/>
              <w:jc w:val="both"/>
              <w:rPr>
                <w:bCs/>
              </w:rPr>
            </w:pPr>
            <w:r w:rsidRPr="0077627D">
              <w:rPr>
                <w:bCs/>
              </w:rPr>
              <w:t>616.8</w:t>
            </w:r>
          </w:p>
        </w:tc>
        <w:tc>
          <w:tcPr>
            <w:tcW w:w="960" w:type="dxa"/>
            <w:hideMark/>
          </w:tcPr>
          <w:p w:rsidR="00D020CB" w:rsidRPr="0077627D" w:rsidRDefault="00D020CB" w:rsidP="005224F3">
            <w:pPr>
              <w:spacing w:line="276" w:lineRule="auto"/>
              <w:jc w:val="both"/>
              <w:rPr>
                <w:bCs/>
              </w:rPr>
            </w:pPr>
            <w:r w:rsidRPr="0077627D">
              <w:rPr>
                <w:bCs/>
              </w:rPr>
              <w:t>1075.3</w:t>
            </w:r>
          </w:p>
        </w:tc>
        <w:tc>
          <w:tcPr>
            <w:tcW w:w="960" w:type="dxa"/>
            <w:hideMark/>
          </w:tcPr>
          <w:p w:rsidR="00D020CB" w:rsidRPr="0077627D" w:rsidRDefault="00D020CB" w:rsidP="005224F3">
            <w:pPr>
              <w:spacing w:line="276" w:lineRule="auto"/>
              <w:jc w:val="both"/>
              <w:rPr>
                <w:bCs/>
              </w:rPr>
            </w:pPr>
            <w:r w:rsidRPr="0077627D">
              <w:rPr>
                <w:bCs/>
              </w:rPr>
              <w:t>1326.2</w:t>
            </w:r>
          </w:p>
        </w:tc>
        <w:tc>
          <w:tcPr>
            <w:tcW w:w="960" w:type="dxa"/>
            <w:hideMark/>
          </w:tcPr>
          <w:p w:rsidR="00D020CB" w:rsidRPr="0077627D" w:rsidRDefault="00D020CB" w:rsidP="005224F3">
            <w:pPr>
              <w:spacing w:line="276" w:lineRule="auto"/>
              <w:jc w:val="both"/>
              <w:rPr>
                <w:bCs/>
              </w:rPr>
            </w:pPr>
            <w:r w:rsidRPr="0077627D">
              <w:rPr>
                <w:bCs/>
              </w:rPr>
              <w:t>1307.4</w:t>
            </w:r>
          </w:p>
        </w:tc>
        <w:tc>
          <w:tcPr>
            <w:tcW w:w="960" w:type="dxa"/>
            <w:hideMark/>
          </w:tcPr>
          <w:p w:rsidR="00D020CB" w:rsidRPr="0077627D" w:rsidRDefault="00832BC9" w:rsidP="005224F3">
            <w:pPr>
              <w:spacing w:line="276" w:lineRule="auto"/>
              <w:jc w:val="both"/>
              <w:rPr>
                <w:bCs/>
              </w:rPr>
            </w:pPr>
            <w:r w:rsidRPr="0077627D">
              <w:rPr>
                <w:bCs/>
              </w:rPr>
              <w:t>1428.6</w:t>
            </w:r>
          </w:p>
        </w:tc>
      </w:tr>
    </w:tbl>
    <w:p w:rsidR="00D41EBD" w:rsidRDefault="00D41EBD" w:rsidP="005224F3">
      <w:pPr>
        <w:spacing w:after="0"/>
        <w:ind w:left="-1134" w:firstLine="1134"/>
        <w:jc w:val="both"/>
        <w:rPr>
          <w:sz w:val="18"/>
          <w:szCs w:val="18"/>
        </w:rPr>
      </w:pPr>
      <w:r w:rsidRPr="0077627D">
        <w:rPr>
          <w:i/>
          <w:iCs/>
          <w:sz w:val="18"/>
          <w:szCs w:val="18"/>
        </w:rPr>
        <w:t xml:space="preserve">Source: </w:t>
      </w:r>
      <w:r w:rsidRPr="00664541">
        <w:rPr>
          <w:sz w:val="18"/>
          <w:szCs w:val="18"/>
        </w:rPr>
        <w:t>Compiled by CBGA</w:t>
      </w:r>
      <w:r w:rsidR="00DD51CB">
        <w:rPr>
          <w:sz w:val="18"/>
          <w:szCs w:val="18"/>
        </w:rPr>
        <w:t xml:space="preserve"> from Union Budget documents, various years.</w:t>
      </w:r>
      <w:r w:rsidRPr="00664541">
        <w:rPr>
          <w:sz w:val="18"/>
          <w:szCs w:val="18"/>
        </w:rPr>
        <w:t xml:space="preserve"> </w:t>
      </w:r>
    </w:p>
    <w:p w:rsidR="0003444F" w:rsidRPr="00664541" w:rsidRDefault="0003444F" w:rsidP="0003444F">
      <w:pPr>
        <w:spacing w:after="0"/>
        <w:ind w:left="-1134" w:firstLine="1134"/>
        <w:jc w:val="both"/>
        <w:rPr>
          <w:sz w:val="18"/>
          <w:szCs w:val="18"/>
        </w:rPr>
      </w:pPr>
      <w:r>
        <w:rPr>
          <w:i/>
          <w:iCs/>
          <w:sz w:val="18"/>
          <w:szCs w:val="18"/>
        </w:rPr>
        <w:t>Note:</w:t>
      </w:r>
      <w:r>
        <w:rPr>
          <w:sz w:val="18"/>
          <w:szCs w:val="18"/>
        </w:rPr>
        <w:t xml:space="preserve"> @ the figures in parentheses indicate the actual expenditures as percent of the budgeted (BE) figures</w:t>
      </w:r>
    </w:p>
    <w:p w:rsidR="008A6BAF" w:rsidRPr="0077627D" w:rsidRDefault="008A6BAF" w:rsidP="005224F3">
      <w:pPr>
        <w:spacing w:after="0"/>
        <w:ind w:left="-1134" w:firstLine="1134"/>
        <w:jc w:val="both"/>
        <w:rPr>
          <w:sz w:val="18"/>
          <w:szCs w:val="18"/>
        </w:rPr>
      </w:pPr>
    </w:p>
    <w:p w:rsidR="00D947E8" w:rsidRDefault="00D947E8" w:rsidP="00120A60">
      <w:pPr>
        <w:spacing w:after="0"/>
        <w:jc w:val="both"/>
      </w:pPr>
      <w:r>
        <w:t xml:space="preserve">In terms of </w:t>
      </w:r>
      <w:proofErr w:type="spellStart"/>
      <w:r>
        <w:t>utilisation</w:t>
      </w:r>
      <w:proofErr w:type="spellEnd"/>
      <w:r>
        <w:t xml:space="preserve">, which can be assessed by taking the actual expenditures as percent of budgetary allocations (BE), the trend for the Department of Health and Family Welfare (including Department of AIDS control), shows that in </w:t>
      </w:r>
      <w:r w:rsidR="00120A60">
        <w:t>2015-16</w:t>
      </w:r>
      <w:r>
        <w:t xml:space="preserve"> </w:t>
      </w:r>
      <w:bookmarkStart w:id="0" w:name="_GoBack"/>
      <w:bookmarkEnd w:id="0"/>
      <w:proofErr w:type="spellStart"/>
      <w:r>
        <w:t>utilisation</w:t>
      </w:r>
      <w:proofErr w:type="spellEnd"/>
      <w:r>
        <w:t xml:space="preserve"> is more than 100 percent which earlier hovered around 82 percent.</w:t>
      </w:r>
    </w:p>
    <w:p w:rsidR="00D947E8" w:rsidRDefault="00D947E8" w:rsidP="00D947E8">
      <w:pPr>
        <w:spacing w:after="0"/>
        <w:jc w:val="both"/>
      </w:pPr>
    </w:p>
    <w:p w:rsidR="00D947E8" w:rsidRDefault="00FC0A8C" w:rsidP="00D947E8">
      <w:pPr>
        <w:spacing w:after="0"/>
        <w:jc w:val="both"/>
      </w:pPr>
      <w:r w:rsidRPr="0077627D">
        <w:t xml:space="preserve">The </w:t>
      </w:r>
      <w:r w:rsidR="00D947E8">
        <w:t>Union Government</w:t>
      </w:r>
      <w:r w:rsidR="00DD51CB">
        <w:t xml:space="preserve"> </w:t>
      </w:r>
      <w:r w:rsidRPr="0077627D">
        <w:t xml:space="preserve">allocations for health sector as </w:t>
      </w:r>
      <w:r w:rsidR="00DD51CB">
        <w:t>a proportion</w:t>
      </w:r>
      <w:r w:rsidR="00DD51CB" w:rsidRPr="0077627D">
        <w:t xml:space="preserve"> </w:t>
      </w:r>
      <w:r w:rsidRPr="0077627D">
        <w:t>of GDP also see a marginal increase to 0.3</w:t>
      </w:r>
      <w:r w:rsidR="00DD51CB">
        <w:t>0</w:t>
      </w:r>
      <w:r w:rsidRPr="0077627D">
        <w:t xml:space="preserve"> percent </w:t>
      </w:r>
      <w:r w:rsidR="00DD51CB">
        <w:t xml:space="preserve">in 2017-18 (BE) </w:t>
      </w:r>
      <w:r w:rsidRPr="0077627D">
        <w:t xml:space="preserve">from 0.26 percent in 2016-17 </w:t>
      </w:r>
      <w:r w:rsidR="00664541">
        <w:t>(</w:t>
      </w:r>
      <w:r w:rsidRPr="0077627D">
        <w:t>BE</w:t>
      </w:r>
      <w:r w:rsidR="00664541">
        <w:t>)</w:t>
      </w:r>
      <w:r w:rsidRPr="0077627D">
        <w:t xml:space="preserve">. </w:t>
      </w:r>
      <w:r w:rsidR="00D947E8" w:rsidRPr="0077627D">
        <w:t xml:space="preserve">However, this </w:t>
      </w:r>
      <w:r w:rsidR="00D947E8">
        <w:t xml:space="preserve">falls short of meeting </w:t>
      </w:r>
      <w:r w:rsidR="00D947E8" w:rsidRPr="0077627D">
        <w:t xml:space="preserve">the long standing demand </w:t>
      </w:r>
      <w:r w:rsidR="00D947E8">
        <w:t>(articulated in the Draft National Health Policy, 2015 as well as in the 12</w:t>
      </w:r>
      <w:r w:rsidR="00D947E8" w:rsidRPr="008B271E">
        <w:rPr>
          <w:vertAlign w:val="superscript"/>
        </w:rPr>
        <w:t>th</w:t>
      </w:r>
      <w:r w:rsidR="00D947E8">
        <w:t xml:space="preserve"> FYP) </w:t>
      </w:r>
      <w:r w:rsidR="00D947E8" w:rsidRPr="0077627D">
        <w:t xml:space="preserve">of increasing the total allocation </w:t>
      </w:r>
      <w:r w:rsidR="00D947E8">
        <w:t xml:space="preserve">for health sector </w:t>
      </w:r>
      <w:r w:rsidR="00D947E8" w:rsidRPr="0077627D">
        <w:t>to at least 2.5 percent of GDP (</w:t>
      </w:r>
      <w:r w:rsidR="00D947E8">
        <w:rPr>
          <w:rFonts w:eastAsia="Calibri" w:cs="Calibri"/>
        </w:rPr>
        <w:t>C</w:t>
      </w:r>
      <w:r w:rsidR="00D947E8" w:rsidRPr="0077627D">
        <w:rPr>
          <w:rFonts w:eastAsia="Calibri" w:cs="Calibri"/>
        </w:rPr>
        <w:t>e</w:t>
      </w:r>
      <w:r w:rsidR="00D947E8" w:rsidRPr="0077627D">
        <w:rPr>
          <w:rFonts w:eastAsia="Calibri" w:cs="Calibri"/>
          <w:spacing w:val="-2"/>
        </w:rPr>
        <w:t>n</w:t>
      </w:r>
      <w:r w:rsidR="00D947E8" w:rsidRPr="0077627D">
        <w:rPr>
          <w:rFonts w:eastAsia="Calibri" w:cs="Calibri"/>
        </w:rPr>
        <w:t>t</w:t>
      </w:r>
      <w:r w:rsidR="00D947E8" w:rsidRPr="0077627D">
        <w:rPr>
          <w:rFonts w:eastAsia="Calibri" w:cs="Calibri"/>
          <w:spacing w:val="-3"/>
        </w:rPr>
        <w:t>r</w:t>
      </w:r>
      <w:r w:rsidR="00D947E8" w:rsidRPr="0077627D">
        <w:rPr>
          <w:rFonts w:eastAsia="Calibri" w:cs="Calibri"/>
        </w:rPr>
        <w:t>e</w:t>
      </w:r>
      <w:r w:rsidR="00D947E8" w:rsidRPr="0077627D">
        <w:rPr>
          <w:rFonts w:eastAsia="Calibri" w:cs="Calibri"/>
          <w:spacing w:val="2"/>
        </w:rPr>
        <w:t xml:space="preserve"> </w:t>
      </w:r>
      <w:r w:rsidR="00D947E8" w:rsidRPr="0077627D">
        <w:rPr>
          <w:rFonts w:eastAsia="Calibri" w:cs="Calibri"/>
        </w:rPr>
        <w:t>and</w:t>
      </w:r>
      <w:r w:rsidR="00D947E8" w:rsidRPr="0077627D">
        <w:rPr>
          <w:rFonts w:eastAsia="Calibri" w:cs="Calibri"/>
          <w:spacing w:val="3"/>
        </w:rPr>
        <w:t xml:space="preserve"> </w:t>
      </w:r>
      <w:r w:rsidR="00D947E8">
        <w:rPr>
          <w:rFonts w:eastAsia="Calibri" w:cs="Calibri"/>
          <w:spacing w:val="-2"/>
        </w:rPr>
        <w:t>S</w:t>
      </w:r>
      <w:r w:rsidR="00D947E8" w:rsidRPr="0077627D">
        <w:rPr>
          <w:rFonts w:eastAsia="Calibri" w:cs="Calibri"/>
          <w:spacing w:val="-3"/>
        </w:rPr>
        <w:t>t</w:t>
      </w:r>
      <w:r w:rsidR="00D947E8" w:rsidRPr="0077627D">
        <w:rPr>
          <w:rFonts w:eastAsia="Calibri" w:cs="Calibri"/>
          <w:spacing w:val="-2"/>
        </w:rPr>
        <w:t>at</w:t>
      </w:r>
      <w:r w:rsidR="00D947E8" w:rsidRPr="0077627D">
        <w:rPr>
          <w:rFonts w:eastAsia="Calibri" w:cs="Calibri"/>
        </w:rPr>
        <w:t>es</w:t>
      </w:r>
      <w:r w:rsidR="00D947E8" w:rsidRPr="0077627D">
        <w:rPr>
          <w:rFonts w:eastAsia="Calibri" w:cs="Calibri"/>
          <w:spacing w:val="2"/>
        </w:rPr>
        <w:t xml:space="preserve"> </w:t>
      </w:r>
      <w:r w:rsidR="00D947E8" w:rsidRPr="0077627D">
        <w:rPr>
          <w:rFonts w:eastAsia="Calibri" w:cs="Calibri"/>
          <w:spacing w:val="-2"/>
        </w:rPr>
        <w:t>c</w:t>
      </w:r>
      <w:r w:rsidR="00D947E8" w:rsidRPr="0077627D">
        <w:rPr>
          <w:rFonts w:eastAsia="Calibri" w:cs="Calibri"/>
        </w:rPr>
        <w:t>ombined</w:t>
      </w:r>
      <w:r w:rsidR="00D947E8" w:rsidRPr="0077627D">
        <w:t xml:space="preserve">). </w:t>
      </w:r>
      <w:r w:rsidR="00D947E8">
        <w:t>Further, the NRHM framework document had recommended that the contribution of the Centre should be 50 percent; but the current allocation falls short of this target.</w:t>
      </w:r>
    </w:p>
    <w:p w:rsidR="008A6BAF" w:rsidRPr="0077627D" w:rsidRDefault="007C0665" w:rsidP="005224F3">
      <w:pPr>
        <w:spacing w:after="0"/>
        <w:jc w:val="both"/>
        <w:rPr>
          <w:rFonts w:eastAsia="Calibri" w:cs="Calibri"/>
        </w:rPr>
      </w:pPr>
      <w:r w:rsidRPr="0077627D">
        <w:rPr>
          <w:rFonts w:eastAsia="Calibri" w:cs="Calibri"/>
        </w:rPr>
        <w:lastRenderedPageBreak/>
        <w:t>Fig. 5.1 Allo</w:t>
      </w:r>
      <w:r w:rsidRPr="0077627D">
        <w:rPr>
          <w:rFonts w:eastAsia="Calibri" w:cs="Calibri"/>
          <w:spacing w:val="-2"/>
        </w:rPr>
        <w:t>ca</w:t>
      </w:r>
      <w:r w:rsidRPr="0077627D">
        <w:rPr>
          <w:rFonts w:eastAsia="Calibri" w:cs="Calibri"/>
        </w:rPr>
        <w:t>tions</w:t>
      </w:r>
      <w:r w:rsidRPr="0077627D">
        <w:rPr>
          <w:rFonts w:eastAsia="Calibri" w:cs="Calibri"/>
          <w:spacing w:val="-5"/>
        </w:rPr>
        <w:t xml:space="preserve"> </w:t>
      </w:r>
      <w:r w:rsidRPr="0077627D">
        <w:rPr>
          <w:rFonts w:eastAsia="Calibri" w:cs="Calibri"/>
          <w:spacing w:val="-3"/>
        </w:rPr>
        <w:t>f</w:t>
      </w:r>
      <w:r w:rsidRPr="0077627D">
        <w:rPr>
          <w:rFonts w:eastAsia="Calibri" w:cs="Calibri"/>
        </w:rPr>
        <w:t xml:space="preserve">or </w:t>
      </w:r>
      <w:proofErr w:type="spellStart"/>
      <w:r w:rsidRPr="0077627D">
        <w:rPr>
          <w:rFonts w:eastAsia="Calibri" w:cs="Calibri"/>
        </w:rPr>
        <w:t>MoHFW</w:t>
      </w:r>
      <w:proofErr w:type="spellEnd"/>
      <w:r w:rsidRPr="0077627D">
        <w:rPr>
          <w:rFonts w:eastAsia="Calibri" w:cs="Calibri"/>
        </w:rPr>
        <w:t xml:space="preserve"> as % of GDP and Allo</w:t>
      </w:r>
      <w:r w:rsidRPr="0077627D">
        <w:rPr>
          <w:rFonts w:eastAsia="Calibri" w:cs="Calibri"/>
          <w:spacing w:val="-2"/>
        </w:rPr>
        <w:t>ca</w:t>
      </w:r>
      <w:r w:rsidRPr="0077627D">
        <w:rPr>
          <w:rFonts w:eastAsia="Calibri" w:cs="Calibri"/>
        </w:rPr>
        <w:t>tions</w:t>
      </w:r>
      <w:r w:rsidRPr="0077627D">
        <w:rPr>
          <w:rFonts w:eastAsia="Calibri" w:cs="Calibri"/>
          <w:spacing w:val="-5"/>
        </w:rPr>
        <w:t xml:space="preserve"> </w:t>
      </w:r>
      <w:r w:rsidRPr="0077627D">
        <w:rPr>
          <w:rFonts w:eastAsia="Calibri" w:cs="Calibri"/>
          <w:spacing w:val="-3"/>
        </w:rPr>
        <w:t>f</w:t>
      </w:r>
      <w:r w:rsidRPr="0077627D">
        <w:rPr>
          <w:rFonts w:eastAsia="Calibri" w:cs="Calibri"/>
        </w:rPr>
        <w:t xml:space="preserve">or NHM as % of </w:t>
      </w:r>
      <w:proofErr w:type="spellStart"/>
      <w:r w:rsidRPr="0077627D">
        <w:rPr>
          <w:rFonts w:eastAsia="Calibri" w:cs="Calibri"/>
        </w:rPr>
        <w:t>MoHFW</w:t>
      </w:r>
      <w:proofErr w:type="spellEnd"/>
      <w:r w:rsidRPr="0077627D">
        <w:rPr>
          <w:rFonts w:eastAsia="Calibri" w:cs="Calibri"/>
        </w:rPr>
        <w:t xml:space="preserve"> Bud</w:t>
      </w:r>
      <w:r w:rsidRPr="0077627D">
        <w:rPr>
          <w:rFonts w:eastAsia="Calibri" w:cs="Calibri"/>
          <w:spacing w:val="-3"/>
        </w:rPr>
        <w:t>g</w:t>
      </w:r>
      <w:r w:rsidRPr="0077627D">
        <w:rPr>
          <w:rFonts w:eastAsia="Calibri" w:cs="Calibri"/>
          <w:spacing w:val="-1"/>
        </w:rPr>
        <w:t>e</w:t>
      </w:r>
      <w:r w:rsidRPr="0077627D">
        <w:rPr>
          <w:rFonts w:eastAsia="Calibri" w:cs="Calibri"/>
        </w:rPr>
        <w:t>t</w:t>
      </w:r>
      <w:r w:rsidR="008A6BAF" w:rsidRPr="0077627D">
        <w:rPr>
          <w:noProof/>
          <w:lang w:val="en-IN" w:eastAsia="en-IN"/>
        </w:rPr>
        <w:drawing>
          <wp:inline distT="0" distB="0" distL="0" distR="0" wp14:anchorId="4BD086D6" wp14:editId="19D195D6">
            <wp:extent cx="5814204" cy="1932317"/>
            <wp:effectExtent l="0" t="0" r="15240" b="1079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F23835" w:rsidRDefault="00F23835" w:rsidP="005224F3">
      <w:pPr>
        <w:widowControl w:val="0"/>
        <w:spacing w:after="0"/>
        <w:ind w:right="-20"/>
        <w:jc w:val="both"/>
        <w:rPr>
          <w:rFonts w:eastAsia="Calibri" w:cs="Calibri"/>
          <w:sz w:val="18"/>
          <w:szCs w:val="18"/>
        </w:rPr>
      </w:pPr>
      <w:r w:rsidRPr="00664541">
        <w:rPr>
          <w:rFonts w:eastAsia="Calibri" w:cs="Calibri"/>
          <w:i/>
          <w:iCs/>
          <w:sz w:val="18"/>
          <w:szCs w:val="18"/>
        </w:rPr>
        <w:t>No</w:t>
      </w:r>
      <w:r w:rsidRPr="00664541">
        <w:rPr>
          <w:rFonts w:eastAsia="Calibri" w:cs="Calibri"/>
          <w:i/>
          <w:iCs/>
          <w:spacing w:val="-2"/>
          <w:sz w:val="18"/>
          <w:szCs w:val="18"/>
        </w:rPr>
        <w:t>t</w:t>
      </w:r>
      <w:r w:rsidRPr="00664541">
        <w:rPr>
          <w:rFonts w:eastAsia="Calibri" w:cs="Calibri"/>
          <w:i/>
          <w:iCs/>
          <w:sz w:val="18"/>
          <w:szCs w:val="18"/>
        </w:rPr>
        <w:t>es:</w:t>
      </w:r>
      <w:r w:rsidRPr="00F23835">
        <w:rPr>
          <w:rFonts w:eastAsia="Calibri" w:cs="Calibri"/>
          <w:sz w:val="18"/>
          <w:szCs w:val="18"/>
        </w:rPr>
        <w:t xml:space="preserve"> GDP figu</w:t>
      </w:r>
      <w:r w:rsidRPr="00F23835">
        <w:rPr>
          <w:rFonts w:eastAsia="Calibri" w:cs="Calibri"/>
          <w:spacing w:val="-3"/>
          <w:sz w:val="18"/>
          <w:szCs w:val="18"/>
        </w:rPr>
        <w:t>r</w:t>
      </w:r>
      <w:r w:rsidRPr="00F23835">
        <w:rPr>
          <w:rFonts w:eastAsia="Calibri" w:cs="Calibri"/>
          <w:sz w:val="18"/>
          <w:szCs w:val="18"/>
        </w:rPr>
        <w:t>es</w:t>
      </w:r>
      <w:r w:rsidRPr="00F23835">
        <w:rPr>
          <w:rFonts w:eastAsia="Calibri" w:cs="Calibri"/>
          <w:spacing w:val="-3"/>
          <w:sz w:val="18"/>
          <w:szCs w:val="18"/>
        </w:rPr>
        <w:t xml:space="preserve"> </w:t>
      </w:r>
      <w:r w:rsidRPr="00F23835">
        <w:rPr>
          <w:rFonts w:eastAsia="Calibri" w:cs="Calibri"/>
          <w:sz w:val="18"/>
          <w:szCs w:val="18"/>
        </w:rPr>
        <w:t>a</w:t>
      </w:r>
      <w:r w:rsidRPr="00F23835">
        <w:rPr>
          <w:rFonts w:eastAsia="Calibri" w:cs="Calibri"/>
          <w:spacing w:val="-2"/>
          <w:sz w:val="18"/>
          <w:szCs w:val="18"/>
        </w:rPr>
        <w:t>r</w:t>
      </w:r>
      <w:r w:rsidRPr="00F23835">
        <w:rPr>
          <w:rFonts w:eastAsia="Calibri" w:cs="Calibri"/>
          <w:sz w:val="18"/>
          <w:szCs w:val="18"/>
        </w:rPr>
        <w:t>e cur</w:t>
      </w:r>
      <w:r w:rsidRPr="00F23835">
        <w:rPr>
          <w:rFonts w:eastAsia="Calibri" w:cs="Calibri"/>
          <w:spacing w:val="-3"/>
          <w:sz w:val="18"/>
          <w:szCs w:val="18"/>
        </w:rPr>
        <w:t>r</w:t>
      </w:r>
      <w:r w:rsidRPr="00F23835">
        <w:rPr>
          <w:rFonts w:eastAsia="Calibri" w:cs="Calibri"/>
          <w:sz w:val="18"/>
          <w:szCs w:val="18"/>
        </w:rPr>
        <w:t>e</w:t>
      </w:r>
      <w:r w:rsidRPr="00F23835">
        <w:rPr>
          <w:rFonts w:eastAsia="Calibri" w:cs="Calibri"/>
          <w:spacing w:val="-2"/>
          <w:sz w:val="18"/>
          <w:szCs w:val="18"/>
        </w:rPr>
        <w:t>n</w:t>
      </w:r>
      <w:r w:rsidRPr="00F23835">
        <w:rPr>
          <w:rFonts w:eastAsia="Calibri" w:cs="Calibri"/>
          <w:sz w:val="18"/>
          <w:szCs w:val="18"/>
        </w:rPr>
        <w:t xml:space="preserve">t GDP </w:t>
      </w:r>
      <w:r w:rsidRPr="00F23835">
        <w:rPr>
          <w:rFonts w:eastAsia="Calibri" w:cs="Calibri"/>
          <w:spacing w:val="-2"/>
          <w:sz w:val="18"/>
          <w:szCs w:val="18"/>
        </w:rPr>
        <w:t>a</w:t>
      </w:r>
      <w:r w:rsidRPr="00F23835">
        <w:rPr>
          <w:rFonts w:eastAsia="Calibri" w:cs="Calibri"/>
          <w:sz w:val="18"/>
          <w:szCs w:val="18"/>
        </w:rPr>
        <w:t>t mar</w:t>
      </w:r>
      <w:r w:rsidRPr="00F23835">
        <w:rPr>
          <w:rFonts w:eastAsia="Calibri" w:cs="Calibri"/>
          <w:spacing w:val="-6"/>
          <w:sz w:val="18"/>
          <w:szCs w:val="18"/>
        </w:rPr>
        <w:t>k</w:t>
      </w:r>
      <w:r w:rsidRPr="00F23835">
        <w:rPr>
          <w:rFonts w:eastAsia="Calibri" w:cs="Calibri"/>
          <w:spacing w:val="-1"/>
          <w:sz w:val="18"/>
          <w:szCs w:val="18"/>
        </w:rPr>
        <w:t>e</w:t>
      </w:r>
      <w:r w:rsidRPr="00F23835">
        <w:rPr>
          <w:rFonts w:eastAsia="Calibri" w:cs="Calibri"/>
          <w:sz w:val="18"/>
          <w:szCs w:val="18"/>
        </w:rPr>
        <w:t xml:space="preserve">t prices; </w:t>
      </w:r>
      <w:proofErr w:type="spellStart"/>
      <w:r w:rsidRPr="00F23835">
        <w:rPr>
          <w:rFonts w:eastAsia="Calibri" w:cs="Calibri"/>
          <w:sz w:val="18"/>
          <w:szCs w:val="18"/>
        </w:rPr>
        <w:t>MoHFW</w:t>
      </w:r>
      <w:proofErr w:type="spellEnd"/>
      <w:r w:rsidRPr="00F23835">
        <w:rPr>
          <w:rFonts w:eastAsia="Calibri" w:cs="Calibri"/>
          <w:sz w:val="18"/>
          <w:szCs w:val="18"/>
        </w:rPr>
        <w:t xml:space="preserve"> allo</w:t>
      </w:r>
      <w:r w:rsidRPr="00F23835">
        <w:rPr>
          <w:rFonts w:eastAsia="Calibri" w:cs="Calibri"/>
          <w:spacing w:val="-1"/>
          <w:sz w:val="18"/>
          <w:szCs w:val="18"/>
        </w:rPr>
        <w:t>c</w:t>
      </w:r>
      <w:r w:rsidRPr="00F23835">
        <w:rPr>
          <w:rFonts w:eastAsia="Calibri" w:cs="Calibri"/>
          <w:spacing w:val="-2"/>
          <w:sz w:val="18"/>
          <w:szCs w:val="18"/>
        </w:rPr>
        <w:t>a</w:t>
      </w:r>
      <w:r w:rsidRPr="00F23835">
        <w:rPr>
          <w:rFonts w:eastAsia="Calibri" w:cs="Calibri"/>
          <w:sz w:val="18"/>
          <w:szCs w:val="18"/>
        </w:rPr>
        <w:t>tions</w:t>
      </w:r>
      <w:r w:rsidRPr="00F23835">
        <w:rPr>
          <w:rFonts w:eastAsia="Calibri" w:cs="Calibri"/>
          <w:spacing w:val="-4"/>
          <w:sz w:val="18"/>
          <w:szCs w:val="18"/>
        </w:rPr>
        <w:t xml:space="preserve"> </w:t>
      </w:r>
      <w:r w:rsidRPr="00F23835">
        <w:rPr>
          <w:rFonts w:eastAsia="Calibri" w:cs="Calibri"/>
          <w:sz w:val="18"/>
          <w:szCs w:val="18"/>
        </w:rPr>
        <w:t>a</w:t>
      </w:r>
      <w:r w:rsidRPr="00F23835">
        <w:rPr>
          <w:rFonts w:eastAsia="Calibri" w:cs="Calibri"/>
          <w:spacing w:val="-2"/>
          <w:sz w:val="18"/>
          <w:szCs w:val="18"/>
        </w:rPr>
        <w:t>r</w:t>
      </w:r>
      <w:r w:rsidRPr="00F23835">
        <w:rPr>
          <w:rFonts w:eastAsia="Calibri" w:cs="Calibri"/>
          <w:sz w:val="18"/>
          <w:szCs w:val="18"/>
        </w:rPr>
        <w:t xml:space="preserve">e in </w:t>
      </w:r>
      <w:proofErr w:type="spellStart"/>
      <w:r w:rsidRPr="00F23835">
        <w:rPr>
          <w:rFonts w:eastAsia="Calibri" w:cs="Calibri"/>
          <w:sz w:val="18"/>
          <w:szCs w:val="18"/>
        </w:rPr>
        <w:t>Rs</w:t>
      </w:r>
      <w:proofErr w:type="spellEnd"/>
      <w:r w:rsidRPr="00F23835">
        <w:rPr>
          <w:rFonts w:eastAsia="Calibri" w:cs="Calibri"/>
          <w:sz w:val="18"/>
          <w:szCs w:val="18"/>
        </w:rPr>
        <w:t xml:space="preserve">. </w:t>
      </w:r>
      <w:r w:rsidR="00DD51CB" w:rsidRPr="00F23835">
        <w:rPr>
          <w:rFonts w:eastAsia="Calibri" w:cs="Calibri"/>
          <w:sz w:val="18"/>
          <w:szCs w:val="18"/>
        </w:rPr>
        <w:t>C</w:t>
      </w:r>
      <w:r w:rsidRPr="00F23835">
        <w:rPr>
          <w:rFonts w:eastAsia="Calibri" w:cs="Calibri"/>
          <w:spacing w:val="-3"/>
          <w:sz w:val="18"/>
          <w:szCs w:val="18"/>
        </w:rPr>
        <w:t>r</w:t>
      </w:r>
      <w:r w:rsidRPr="00F23835">
        <w:rPr>
          <w:rFonts w:eastAsia="Calibri" w:cs="Calibri"/>
          <w:sz w:val="18"/>
          <w:szCs w:val="18"/>
        </w:rPr>
        <w:t>o</w:t>
      </w:r>
      <w:r w:rsidRPr="00F23835">
        <w:rPr>
          <w:rFonts w:eastAsia="Calibri" w:cs="Calibri"/>
          <w:spacing w:val="-2"/>
          <w:sz w:val="18"/>
          <w:szCs w:val="18"/>
        </w:rPr>
        <w:t>r</w:t>
      </w:r>
      <w:r w:rsidRPr="00F23835">
        <w:rPr>
          <w:rFonts w:eastAsia="Calibri" w:cs="Calibri"/>
          <w:sz w:val="18"/>
          <w:szCs w:val="18"/>
        </w:rPr>
        <w:t>e</w:t>
      </w:r>
    </w:p>
    <w:p w:rsidR="00DD51CB" w:rsidRPr="00F23835" w:rsidRDefault="00DD51CB" w:rsidP="005224F3">
      <w:pPr>
        <w:widowControl w:val="0"/>
        <w:spacing w:after="0"/>
        <w:ind w:right="-20"/>
        <w:jc w:val="both"/>
        <w:rPr>
          <w:rFonts w:eastAsia="Calibri" w:cs="Calibri"/>
          <w:sz w:val="18"/>
          <w:szCs w:val="18"/>
        </w:rPr>
      </w:pPr>
      <w:r w:rsidRPr="00664541">
        <w:rPr>
          <w:rFonts w:eastAsia="Calibri" w:cs="Calibri"/>
          <w:i/>
          <w:iCs/>
          <w:sz w:val="18"/>
          <w:szCs w:val="18"/>
        </w:rPr>
        <w:t>Source:</w:t>
      </w:r>
      <w:r>
        <w:rPr>
          <w:rFonts w:eastAsia="Calibri" w:cs="Calibri"/>
          <w:sz w:val="18"/>
          <w:szCs w:val="18"/>
        </w:rPr>
        <w:t xml:space="preserve"> Compiled by CBGA from Union Budget documents, various years.</w:t>
      </w:r>
    </w:p>
    <w:p w:rsidR="005224F3" w:rsidRDefault="005224F3" w:rsidP="005224F3">
      <w:pPr>
        <w:spacing w:after="0"/>
        <w:jc w:val="both"/>
      </w:pPr>
    </w:p>
    <w:p w:rsidR="00F23835" w:rsidRPr="0077627D" w:rsidRDefault="00B441CA" w:rsidP="00B441CA">
      <w:pPr>
        <w:spacing w:after="0"/>
        <w:jc w:val="both"/>
      </w:pPr>
      <w:r>
        <w:t>Within the health sector, National Health Mission (</w:t>
      </w:r>
      <w:r w:rsidR="00F23835" w:rsidRPr="0077627D">
        <w:t>NHM</w:t>
      </w:r>
      <w:r>
        <w:t>),</w:t>
      </w:r>
      <w:r w:rsidR="00F23835" w:rsidRPr="0077627D">
        <w:t xml:space="preserve"> </w:t>
      </w:r>
      <w:r w:rsidR="00BE45B6">
        <w:t xml:space="preserve">which </w:t>
      </w:r>
      <w:r w:rsidR="00F23835" w:rsidRPr="0077627D">
        <w:t>accounts for around 50 percent of the total health budget</w:t>
      </w:r>
      <w:r>
        <w:t xml:space="preserve">, </w:t>
      </w:r>
      <w:r w:rsidR="00F23835" w:rsidRPr="0077627D">
        <w:t xml:space="preserve">has seen a decline </w:t>
      </w:r>
      <w:r w:rsidR="00DD51CB">
        <w:t xml:space="preserve">in 2017-18 (BE) </w:t>
      </w:r>
      <w:r w:rsidR="00F23835" w:rsidRPr="0077627D">
        <w:t>as compared to 2012-13</w:t>
      </w:r>
      <w:r w:rsidR="00DD51CB">
        <w:t xml:space="preserve"> (A)</w:t>
      </w:r>
      <w:r w:rsidR="008922F3">
        <w:t>.</w:t>
      </w:r>
      <w:r w:rsidR="00F23835" w:rsidRPr="0077627D">
        <w:t xml:space="preserve">  </w:t>
      </w:r>
    </w:p>
    <w:p w:rsidR="004D0910" w:rsidRPr="0077627D" w:rsidRDefault="004D0910" w:rsidP="005224F3">
      <w:pPr>
        <w:spacing w:after="0"/>
        <w:jc w:val="both"/>
      </w:pPr>
    </w:p>
    <w:p w:rsidR="004D0910" w:rsidRPr="0077627D" w:rsidRDefault="004D0910" w:rsidP="005224F3">
      <w:pPr>
        <w:spacing w:after="0"/>
        <w:jc w:val="both"/>
      </w:pPr>
      <w:r w:rsidRPr="0077627D">
        <w:t>Table 5.2: Allocations across select Schemes in the Health Sector (</w:t>
      </w:r>
      <w:proofErr w:type="spellStart"/>
      <w:r w:rsidRPr="0077627D">
        <w:t>Rs</w:t>
      </w:r>
      <w:proofErr w:type="spellEnd"/>
      <w:r w:rsidRPr="0077627D">
        <w:t>. crore)</w:t>
      </w:r>
    </w:p>
    <w:tbl>
      <w:tblPr>
        <w:tblStyle w:val="TableGrid"/>
        <w:tblW w:w="9436" w:type="dxa"/>
        <w:tblLook w:val="04A0" w:firstRow="1" w:lastRow="0" w:firstColumn="1" w:lastColumn="0" w:noHBand="0" w:noVBand="1"/>
      </w:tblPr>
      <w:tblGrid>
        <w:gridCol w:w="2642"/>
        <w:gridCol w:w="969"/>
        <w:gridCol w:w="969"/>
        <w:gridCol w:w="969"/>
        <w:gridCol w:w="969"/>
        <w:gridCol w:w="961"/>
        <w:gridCol w:w="988"/>
        <w:gridCol w:w="969"/>
      </w:tblGrid>
      <w:tr w:rsidR="004D0910" w:rsidRPr="0077627D" w:rsidTr="004D0910">
        <w:trPr>
          <w:trHeight w:val="609"/>
        </w:trPr>
        <w:tc>
          <w:tcPr>
            <w:tcW w:w="2642" w:type="dxa"/>
            <w:hideMark/>
          </w:tcPr>
          <w:p w:rsidR="004D0910" w:rsidRPr="0077627D" w:rsidRDefault="004D0910" w:rsidP="005224F3">
            <w:pPr>
              <w:spacing w:line="276" w:lineRule="auto"/>
              <w:jc w:val="both"/>
            </w:pPr>
            <w:r w:rsidRPr="0077627D">
              <w:t>Schemes</w:t>
            </w:r>
          </w:p>
        </w:tc>
        <w:tc>
          <w:tcPr>
            <w:tcW w:w="969" w:type="dxa"/>
            <w:hideMark/>
          </w:tcPr>
          <w:p w:rsidR="004D0910" w:rsidRPr="0077627D" w:rsidRDefault="004D0910" w:rsidP="00F02521">
            <w:pPr>
              <w:spacing w:line="276" w:lineRule="auto"/>
              <w:jc w:val="both"/>
            </w:pPr>
            <w:r w:rsidRPr="0077627D">
              <w:t>2012-13 (A)</w:t>
            </w:r>
          </w:p>
        </w:tc>
        <w:tc>
          <w:tcPr>
            <w:tcW w:w="969" w:type="dxa"/>
            <w:hideMark/>
          </w:tcPr>
          <w:p w:rsidR="004D0910" w:rsidRPr="0077627D" w:rsidRDefault="004D0910" w:rsidP="00F02521">
            <w:pPr>
              <w:spacing w:line="276" w:lineRule="auto"/>
              <w:jc w:val="both"/>
            </w:pPr>
            <w:r w:rsidRPr="0077627D">
              <w:t>2013-14 (A)</w:t>
            </w:r>
          </w:p>
        </w:tc>
        <w:tc>
          <w:tcPr>
            <w:tcW w:w="969" w:type="dxa"/>
            <w:hideMark/>
          </w:tcPr>
          <w:p w:rsidR="004D0910" w:rsidRPr="0077627D" w:rsidRDefault="004D0910" w:rsidP="00F02521">
            <w:pPr>
              <w:spacing w:line="276" w:lineRule="auto"/>
              <w:jc w:val="both"/>
            </w:pPr>
            <w:r w:rsidRPr="0077627D">
              <w:t>2014-15 (A)</w:t>
            </w:r>
          </w:p>
        </w:tc>
        <w:tc>
          <w:tcPr>
            <w:tcW w:w="969" w:type="dxa"/>
            <w:hideMark/>
          </w:tcPr>
          <w:p w:rsidR="004D0910" w:rsidRPr="0077627D" w:rsidRDefault="004D0910" w:rsidP="00F02521">
            <w:pPr>
              <w:spacing w:line="276" w:lineRule="auto"/>
              <w:jc w:val="both"/>
            </w:pPr>
            <w:r w:rsidRPr="0077627D">
              <w:t>2015-16 (A)</w:t>
            </w:r>
          </w:p>
        </w:tc>
        <w:tc>
          <w:tcPr>
            <w:tcW w:w="961" w:type="dxa"/>
            <w:hideMark/>
          </w:tcPr>
          <w:p w:rsidR="004D0910" w:rsidRPr="0077627D" w:rsidRDefault="004D0910" w:rsidP="005224F3">
            <w:pPr>
              <w:spacing w:line="276" w:lineRule="auto"/>
              <w:jc w:val="both"/>
            </w:pPr>
            <w:r w:rsidRPr="0077627D">
              <w:t>2016-17 (BE)</w:t>
            </w:r>
          </w:p>
        </w:tc>
        <w:tc>
          <w:tcPr>
            <w:tcW w:w="988" w:type="dxa"/>
            <w:hideMark/>
          </w:tcPr>
          <w:p w:rsidR="004D0910" w:rsidRPr="0077627D" w:rsidRDefault="004D0910" w:rsidP="005224F3">
            <w:pPr>
              <w:spacing w:line="276" w:lineRule="auto"/>
              <w:jc w:val="both"/>
            </w:pPr>
            <w:r w:rsidRPr="0077627D">
              <w:t>2016-17 (RE)</w:t>
            </w:r>
          </w:p>
        </w:tc>
        <w:tc>
          <w:tcPr>
            <w:tcW w:w="969" w:type="dxa"/>
            <w:hideMark/>
          </w:tcPr>
          <w:p w:rsidR="004D0910" w:rsidRPr="0077627D" w:rsidRDefault="004D0910" w:rsidP="005224F3">
            <w:pPr>
              <w:spacing w:line="276" w:lineRule="auto"/>
              <w:jc w:val="both"/>
            </w:pPr>
            <w:r w:rsidRPr="0077627D">
              <w:t>2017-18 (BE)</w:t>
            </w:r>
          </w:p>
        </w:tc>
      </w:tr>
      <w:tr w:rsidR="004D0910" w:rsidRPr="0077627D" w:rsidTr="004D0910">
        <w:trPr>
          <w:trHeight w:val="304"/>
        </w:trPr>
        <w:tc>
          <w:tcPr>
            <w:tcW w:w="2642" w:type="dxa"/>
            <w:hideMark/>
          </w:tcPr>
          <w:p w:rsidR="004D0910" w:rsidRPr="0077627D" w:rsidRDefault="004D0910" w:rsidP="008922F3">
            <w:pPr>
              <w:spacing w:line="276" w:lineRule="auto"/>
            </w:pPr>
            <w:r w:rsidRPr="0077627D">
              <w:t>National Health Mission (NHM)*</w:t>
            </w:r>
          </w:p>
        </w:tc>
        <w:tc>
          <w:tcPr>
            <w:tcW w:w="969" w:type="dxa"/>
            <w:hideMark/>
          </w:tcPr>
          <w:p w:rsidR="004D0910" w:rsidRPr="0077627D" w:rsidRDefault="004D0910" w:rsidP="005224F3">
            <w:pPr>
              <w:spacing w:line="276" w:lineRule="auto"/>
              <w:jc w:val="both"/>
            </w:pPr>
            <w:r w:rsidRPr="0077627D">
              <w:rPr>
                <w:bCs/>
              </w:rPr>
              <w:t>18046.7</w:t>
            </w:r>
          </w:p>
        </w:tc>
        <w:tc>
          <w:tcPr>
            <w:tcW w:w="969" w:type="dxa"/>
            <w:hideMark/>
          </w:tcPr>
          <w:p w:rsidR="004D0910" w:rsidRPr="0077627D" w:rsidRDefault="004D0910" w:rsidP="005224F3">
            <w:pPr>
              <w:spacing w:line="276" w:lineRule="auto"/>
              <w:jc w:val="both"/>
            </w:pPr>
            <w:r w:rsidRPr="0077627D">
              <w:t>18633.8</w:t>
            </w:r>
          </w:p>
        </w:tc>
        <w:tc>
          <w:tcPr>
            <w:tcW w:w="969" w:type="dxa"/>
            <w:hideMark/>
          </w:tcPr>
          <w:p w:rsidR="004D0910" w:rsidRPr="0077627D" w:rsidRDefault="004D0910" w:rsidP="005224F3">
            <w:pPr>
              <w:spacing w:line="276" w:lineRule="auto"/>
              <w:jc w:val="both"/>
            </w:pPr>
            <w:r w:rsidRPr="0077627D">
              <w:t>19751.4</w:t>
            </w:r>
          </w:p>
        </w:tc>
        <w:tc>
          <w:tcPr>
            <w:tcW w:w="969" w:type="dxa"/>
            <w:hideMark/>
          </w:tcPr>
          <w:p w:rsidR="004D0910" w:rsidRPr="0077627D" w:rsidRDefault="004D0910" w:rsidP="005224F3">
            <w:pPr>
              <w:spacing w:line="276" w:lineRule="auto"/>
              <w:jc w:val="both"/>
            </w:pPr>
            <w:r w:rsidRPr="0077627D">
              <w:t>20213.2</w:t>
            </w:r>
          </w:p>
        </w:tc>
        <w:tc>
          <w:tcPr>
            <w:tcW w:w="961" w:type="dxa"/>
            <w:hideMark/>
          </w:tcPr>
          <w:p w:rsidR="004D0910" w:rsidRPr="0077627D" w:rsidRDefault="004D0910" w:rsidP="005224F3">
            <w:pPr>
              <w:spacing w:line="276" w:lineRule="auto"/>
              <w:jc w:val="both"/>
            </w:pPr>
            <w:r w:rsidRPr="0077627D">
              <w:t>20762</w:t>
            </w:r>
          </w:p>
        </w:tc>
        <w:tc>
          <w:tcPr>
            <w:tcW w:w="988" w:type="dxa"/>
            <w:hideMark/>
          </w:tcPr>
          <w:p w:rsidR="004D0910" w:rsidRPr="0077627D" w:rsidRDefault="004D0910" w:rsidP="005224F3">
            <w:pPr>
              <w:spacing w:line="276" w:lineRule="auto"/>
              <w:jc w:val="both"/>
            </w:pPr>
            <w:r w:rsidRPr="0077627D">
              <w:t>22597.9</w:t>
            </w:r>
          </w:p>
        </w:tc>
        <w:tc>
          <w:tcPr>
            <w:tcW w:w="969" w:type="dxa"/>
            <w:hideMark/>
          </w:tcPr>
          <w:p w:rsidR="004D0910" w:rsidRPr="0077627D" w:rsidRDefault="004D0910" w:rsidP="005224F3">
            <w:pPr>
              <w:spacing w:line="276" w:lineRule="auto"/>
              <w:jc w:val="both"/>
            </w:pPr>
            <w:r w:rsidRPr="0077627D">
              <w:t>27131.2</w:t>
            </w:r>
          </w:p>
        </w:tc>
      </w:tr>
      <w:tr w:rsidR="004D0910" w:rsidRPr="0077627D" w:rsidTr="004D0910">
        <w:trPr>
          <w:trHeight w:val="609"/>
        </w:trPr>
        <w:tc>
          <w:tcPr>
            <w:tcW w:w="2642" w:type="dxa"/>
            <w:hideMark/>
          </w:tcPr>
          <w:p w:rsidR="004D0910" w:rsidRPr="0077627D" w:rsidRDefault="004D0910" w:rsidP="008922F3">
            <w:pPr>
              <w:spacing w:line="276" w:lineRule="auto"/>
            </w:pPr>
            <w:r w:rsidRPr="00664541">
              <w:rPr>
                <w:i/>
                <w:iCs/>
              </w:rPr>
              <w:t xml:space="preserve">Pradhan </w:t>
            </w:r>
            <w:proofErr w:type="spellStart"/>
            <w:r w:rsidRPr="00664541">
              <w:rPr>
                <w:i/>
                <w:iCs/>
              </w:rPr>
              <w:t>Mantri</w:t>
            </w:r>
            <w:proofErr w:type="spellEnd"/>
            <w:r w:rsidRPr="00664541">
              <w:rPr>
                <w:i/>
                <w:iCs/>
              </w:rPr>
              <w:t xml:space="preserve"> </w:t>
            </w:r>
            <w:proofErr w:type="spellStart"/>
            <w:r w:rsidRPr="00664541">
              <w:rPr>
                <w:i/>
                <w:iCs/>
              </w:rPr>
              <w:t>Swasthya</w:t>
            </w:r>
            <w:proofErr w:type="spellEnd"/>
            <w:r w:rsidRPr="00664541">
              <w:rPr>
                <w:i/>
                <w:iCs/>
              </w:rPr>
              <w:t xml:space="preserve"> Suraksha </w:t>
            </w:r>
            <w:proofErr w:type="spellStart"/>
            <w:r w:rsidRPr="00664541">
              <w:rPr>
                <w:i/>
                <w:iCs/>
              </w:rPr>
              <w:t>Yojana</w:t>
            </w:r>
            <w:proofErr w:type="spellEnd"/>
            <w:r w:rsidRPr="0077627D">
              <w:t xml:space="preserve"> (PMSSY)**</w:t>
            </w:r>
          </w:p>
        </w:tc>
        <w:tc>
          <w:tcPr>
            <w:tcW w:w="969" w:type="dxa"/>
            <w:hideMark/>
          </w:tcPr>
          <w:p w:rsidR="004D0910" w:rsidRPr="0077627D" w:rsidRDefault="004D0910" w:rsidP="005224F3">
            <w:pPr>
              <w:spacing w:line="276" w:lineRule="auto"/>
              <w:jc w:val="both"/>
            </w:pPr>
            <w:r w:rsidRPr="0077627D">
              <w:t>989.0</w:t>
            </w:r>
          </w:p>
        </w:tc>
        <w:tc>
          <w:tcPr>
            <w:tcW w:w="969" w:type="dxa"/>
            <w:hideMark/>
          </w:tcPr>
          <w:p w:rsidR="004D0910" w:rsidRPr="0077627D" w:rsidRDefault="004D0910" w:rsidP="005224F3">
            <w:pPr>
              <w:spacing w:line="276" w:lineRule="auto"/>
              <w:jc w:val="both"/>
            </w:pPr>
            <w:r w:rsidRPr="0077627D">
              <w:t>1273.2</w:t>
            </w:r>
          </w:p>
        </w:tc>
        <w:tc>
          <w:tcPr>
            <w:tcW w:w="969" w:type="dxa"/>
            <w:hideMark/>
          </w:tcPr>
          <w:p w:rsidR="004D0910" w:rsidRPr="0077627D" w:rsidRDefault="004D0910" w:rsidP="005224F3">
            <w:pPr>
              <w:spacing w:line="276" w:lineRule="auto"/>
              <w:jc w:val="both"/>
            </w:pPr>
            <w:r w:rsidRPr="0077627D">
              <w:t>822.0</w:t>
            </w:r>
          </w:p>
        </w:tc>
        <w:tc>
          <w:tcPr>
            <w:tcW w:w="969" w:type="dxa"/>
            <w:hideMark/>
          </w:tcPr>
          <w:p w:rsidR="004D0910" w:rsidRPr="0077627D" w:rsidRDefault="004D0910" w:rsidP="005224F3">
            <w:pPr>
              <w:spacing w:line="276" w:lineRule="auto"/>
              <w:jc w:val="both"/>
            </w:pPr>
            <w:r w:rsidRPr="0077627D">
              <w:t>1577.85</w:t>
            </w:r>
          </w:p>
        </w:tc>
        <w:tc>
          <w:tcPr>
            <w:tcW w:w="961" w:type="dxa"/>
            <w:hideMark/>
          </w:tcPr>
          <w:p w:rsidR="004D0910" w:rsidRPr="0077627D" w:rsidRDefault="004D0910" w:rsidP="005224F3">
            <w:pPr>
              <w:spacing w:line="276" w:lineRule="auto"/>
              <w:jc w:val="both"/>
            </w:pPr>
            <w:r w:rsidRPr="0077627D">
              <w:t>2450.0</w:t>
            </w:r>
          </w:p>
        </w:tc>
        <w:tc>
          <w:tcPr>
            <w:tcW w:w="988" w:type="dxa"/>
            <w:hideMark/>
          </w:tcPr>
          <w:p w:rsidR="004D0910" w:rsidRPr="0077627D" w:rsidRDefault="004D0910" w:rsidP="005224F3">
            <w:pPr>
              <w:spacing w:line="276" w:lineRule="auto"/>
              <w:jc w:val="both"/>
            </w:pPr>
            <w:r w:rsidRPr="0077627D">
              <w:t>1953.2</w:t>
            </w:r>
          </w:p>
        </w:tc>
        <w:tc>
          <w:tcPr>
            <w:tcW w:w="969" w:type="dxa"/>
            <w:hideMark/>
          </w:tcPr>
          <w:p w:rsidR="004D0910" w:rsidRPr="0077627D" w:rsidRDefault="004D0910" w:rsidP="005224F3">
            <w:pPr>
              <w:spacing w:line="276" w:lineRule="auto"/>
              <w:jc w:val="both"/>
            </w:pPr>
            <w:r w:rsidRPr="0077627D">
              <w:t>3975.0</w:t>
            </w:r>
          </w:p>
        </w:tc>
      </w:tr>
      <w:tr w:rsidR="004D0910" w:rsidRPr="0077627D" w:rsidTr="004D0910">
        <w:trPr>
          <w:trHeight w:val="304"/>
        </w:trPr>
        <w:tc>
          <w:tcPr>
            <w:tcW w:w="2642" w:type="dxa"/>
          </w:tcPr>
          <w:p w:rsidR="004D0910" w:rsidRPr="0077627D" w:rsidRDefault="00DD51CB" w:rsidP="008922F3">
            <w:pPr>
              <w:spacing w:line="276" w:lineRule="auto"/>
            </w:pPr>
            <w:proofErr w:type="spellStart"/>
            <w:r>
              <w:t>Rashtriya</w:t>
            </w:r>
            <w:proofErr w:type="spellEnd"/>
            <w:r>
              <w:t xml:space="preserve"> </w:t>
            </w:r>
            <w:proofErr w:type="spellStart"/>
            <w:r>
              <w:t>Swasthya</w:t>
            </w:r>
            <w:proofErr w:type="spellEnd"/>
            <w:r>
              <w:t xml:space="preserve"> </w:t>
            </w:r>
            <w:proofErr w:type="spellStart"/>
            <w:r>
              <w:t>Bima</w:t>
            </w:r>
            <w:proofErr w:type="spellEnd"/>
            <w:r>
              <w:t xml:space="preserve"> </w:t>
            </w:r>
            <w:proofErr w:type="spellStart"/>
            <w:r>
              <w:t>Yojana</w:t>
            </w:r>
            <w:proofErr w:type="spellEnd"/>
            <w:r>
              <w:t xml:space="preserve"> (</w:t>
            </w:r>
            <w:r w:rsidR="004D0910" w:rsidRPr="0077627D">
              <w:t>RSBY</w:t>
            </w:r>
            <w:r>
              <w:t>)</w:t>
            </w:r>
            <w:r w:rsidR="004D0910" w:rsidRPr="0077627D">
              <w:t>***</w:t>
            </w:r>
          </w:p>
        </w:tc>
        <w:tc>
          <w:tcPr>
            <w:tcW w:w="969" w:type="dxa"/>
          </w:tcPr>
          <w:p w:rsidR="004D0910" w:rsidRPr="0077627D" w:rsidRDefault="004D0910" w:rsidP="005224F3">
            <w:pPr>
              <w:spacing w:line="276" w:lineRule="auto"/>
              <w:jc w:val="both"/>
            </w:pPr>
            <w:r w:rsidRPr="0077627D">
              <w:t>1001.7</w:t>
            </w:r>
          </w:p>
        </w:tc>
        <w:tc>
          <w:tcPr>
            <w:tcW w:w="969" w:type="dxa"/>
          </w:tcPr>
          <w:p w:rsidR="004D0910" w:rsidRPr="0077627D" w:rsidRDefault="004D0910" w:rsidP="005224F3">
            <w:pPr>
              <w:spacing w:line="276" w:lineRule="auto"/>
              <w:jc w:val="both"/>
            </w:pPr>
            <w:r w:rsidRPr="0077627D">
              <w:t>887.5</w:t>
            </w:r>
          </w:p>
        </w:tc>
        <w:tc>
          <w:tcPr>
            <w:tcW w:w="969" w:type="dxa"/>
          </w:tcPr>
          <w:p w:rsidR="004D0910" w:rsidRPr="0077627D" w:rsidRDefault="004D0910" w:rsidP="005224F3">
            <w:pPr>
              <w:spacing w:line="276" w:lineRule="auto"/>
              <w:jc w:val="both"/>
            </w:pPr>
            <w:r w:rsidRPr="0077627D">
              <w:t>550.6</w:t>
            </w:r>
          </w:p>
        </w:tc>
        <w:tc>
          <w:tcPr>
            <w:tcW w:w="969" w:type="dxa"/>
          </w:tcPr>
          <w:p w:rsidR="004D0910" w:rsidRPr="0077627D" w:rsidRDefault="004D0910" w:rsidP="005224F3">
            <w:pPr>
              <w:spacing w:line="276" w:lineRule="auto"/>
              <w:jc w:val="both"/>
            </w:pPr>
            <w:r w:rsidRPr="0077627D">
              <w:t>-</w:t>
            </w:r>
          </w:p>
        </w:tc>
        <w:tc>
          <w:tcPr>
            <w:tcW w:w="961" w:type="dxa"/>
          </w:tcPr>
          <w:p w:rsidR="004D0910" w:rsidRPr="0077627D" w:rsidRDefault="004D0910" w:rsidP="005224F3">
            <w:pPr>
              <w:spacing w:line="276" w:lineRule="auto"/>
              <w:jc w:val="both"/>
            </w:pPr>
            <w:r w:rsidRPr="0077627D">
              <w:t>-</w:t>
            </w:r>
          </w:p>
        </w:tc>
        <w:tc>
          <w:tcPr>
            <w:tcW w:w="988" w:type="dxa"/>
          </w:tcPr>
          <w:p w:rsidR="004D0910" w:rsidRPr="0077627D" w:rsidRDefault="004D0910" w:rsidP="005224F3">
            <w:pPr>
              <w:spacing w:line="276" w:lineRule="auto"/>
              <w:jc w:val="both"/>
            </w:pPr>
            <w:r w:rsidRPr="0077627D">
              <w:t>-</w:t>
            </w:r>
          </w:p>
        </w:tc>
        <w:tc>
          <w:tcPr>
            <w:tcW w:w="969" w:type="dxa"/>
          </w:tcPr>
          <w:p w:rsidR="004D0910" w:rsidRPr="0077627D" w:rsidRDefault="004D0910" w:rsidP="005224F3">
            <w:pPr>
              <w:spacing w:line="276" w:lineRule="auto"/>
              <w:jc w:val="both"/>
            </w:pPr>
            <w:r w:rsidRPr="0077627D">
              <w:t>-</w:t>
            </w:r>
          </w:p>
        </w:tc>
      </w:tr>
      <w:tr w:rsidR="004D0910" w:rsidRPr="0077627D" w:rsidTr="004D0910">
        <w:trPr>
          <w:trHeight w:val="304"/>
        </w:trPr>
        <w:tc>
          <w:tcPr>
            <w:tcW w:w="2642" w:type="dxa"/>
            <w:hideMark/>
          </w:tcPr>
          <w:p w:rsidR="004D0910" w:rsidRPr="0077627D" w:rsidRDefault="004D0910" w:rsidP="008922F3">
            <w:pPr>
              <w:spacing w:line="276" w:lineRule="auto"/>
            </w:pPr>
            <w:r w:rsidRPr="0077627D">
              <w:t>National Health Protection Scheme*** (erstwhile RSSY)</w:t>
            </w:r>
          </w:p>
        </w:tc>
        <w:tc>
          <w:tcPr>
            <w:tcW w:w="969" w:type="dxa"/>
          </w:tcPr>
          <w:p w:rsidR="004D0910" w:rsidRPr="0077627D" w:rsidRDefault="004D0910" w:rsidP="005224F3">
            <w:pPr>
              <w:spacing w:line="276" w:lineRule="auto"/>
              <w:jc w:val="both"/>
            </w:pPr>
          </w:p>
        </w:tc>
        <w:tc>
          <w:tcPr>
            <w:tcW w:w="969" w:type="dxa"/>
          </w:tcPr>
          <w:p w:rsidR="004D0910" w:rsidRPr="0077627D" w:rsidRDefault="004D0910" w:rsidP="005224F3">
            <w:pPr>
              <w:spacing w:line="276" w:lineRule="auto"/>
              <w:jc w:val="both"/>
            </w:pPr>
          </w:p>
        </w:tc>
        <w:tc>
          <w:tcPr>
            <w:tcW w:w="969" w:type="dxa"/>
          </w:tcPr>
          <w:p w:rsidR="004D0910" w:rsidRPr="0077627D" w:rsidRDefault="004D0910" w:rsidP="005224F3">
            <w:pPr>
              <w:spacing w:line="276" w:lineRule="auto"/>
              <w:jc w:val="both"/>
            </w:pPr>
          </w:p>
        </w:tc>
        <w:tc>
          <w:tcPr>
            <w:tcW w:w="969" w:type="dxa"/>
            <w:hideMark/>
          </w:tcPr>
          <w:p w:rsidR="004D0910" w:rsidRPr="0077627D" w:rsidRDefault="004D0910" w:rsidP="005224F3">
            <w:pPr>
              <w:spacing w:line="276" w:lineRule="auto"/>
              <w:jc w:val="both"/>
            </w:pPr>
            <w:r w:rsidRPr="0077627D">
              <w:t>NA</w:t>
            </w:r>
          </w:p>
        </w:tc>
        <w:tc>
          <w:tcPr>
            <w:tcW w:w="961" w:type="dxa"/>
            <w:hideMark/>
          </w:tcPr>
          <w:p w:rsidR="004D0910" w:rsidRPr="0077627D" w:rsidRDefault="004D0910" w:rsidP="005224F3">
            <w:pPr>
              <w:spacing w:line="276" w:lineRule="auto"/>
              <w:jc w:val="both"/>
              <w:rPr>
                <w:vertAlign w:val="superscript"/>
              </w:rPr>
            </w:pPr>
            <w:r w:rsidRPr="0077627D">
              <w:t>1500.0</w:t>
            </w:r>
            <w:r w:rsidR="00C86C0C" w:rsidRPr="0077627D">
              <w:rPr>
                <w:vertAlign w:val="superscript"/>
              </w:rPr>
              <w:t>@</w:t>
            </w:r>
          </w:p>
        </w:tc>
        <w:tc>
          <w:tcPr>
            <w:tcW w:w="988" w:type="dxa"/>
            <w:hideMark/>
          </w:tcPr>
          <w:p w:rsidR="004D0910" w:rsidRPr="0077627D" w:rsidRDefault="004D0910" w:rsidP="005224F3">
            <w:pPr>
              <w:spacing w:line="276" w:lineRule="auto"/>
              <w:jc w:val="both"/>
            </w:pPr>
            <w:r w:rsidRPr="0077627D">
              <w:t>724.0</w:t>
            </w:r>
          </w:p>
        </w:tc>
        <w:tc>
          <w:tcPr>
            <w:tcW w:w="969" w:type="dxa"/>
            <w:hideMark/>
          </w:tcPr>
          <w:p w:rsidR="004D0910" w:rsidRPr="0077627D" w:rsidRDefault="004D0910" w:rsidP="005224F3">
            <w:pPr>
              <w:spacing w:line="276" w:lineRule="auto"/>
              <w:jc w:val="both"/>
            </w:pPr>
            <w:r w:rsidRPr="0077627D">
              <w:t>1000.0</w:t>
            </w:r>
          </w:p>
        </w:tc>
      </w:tr>
      <w:tr w:rsidR="004D0910" w:rsidRPr="0077627D" w:rsidTr="004D0910">
        <w:trPr>
          <w:trHeight w:val="304"/>
        </w:trPr>
        <w:tc>
          <w:tcPr>
            <w:tcW w:w="2642" w:type="dxa"/>
            <w:hideMark/>
          </w:tcPr>
          <w:p w:rsidR="004D0910" w:rsidRPr="0077627D" w:rsidRDefault="004D0910" w:rsidP="008922F3">
            <w:pPr>
              <w:spacing w:line="276" w:lineRule="auto"/>
            </w:pPr>
            <w:r w:rsidRPr="00664541">
              <w:rPr>
                <w:i/>
                <w:iCs/>
              </w:rPr>
              <w:t xml:space="preserve">Jan </w:t>
            </w:r>
            <w:proofErr w:type="spellStart"/>
            <w:r w:rsidRPr="00664541">
              <w:rPr>
                <w:i/>
                <w:iCs/>
              </w:rPr>
              <w:t>Aushadhi</w:t>
            </w:r>
            <w:proofErr w:type="spellEnd"/>
            <w:r w:rsidRPr="00664541">
              <w:rPr>
                <w:i/>
                <w:iCs/>
              </w:rPr>
              <w:t xml:space="preserve"> Scheme</w:t>
            </w:r>
            <w:r w:rsidRPr="0077627D">
              <w:t>#</w:t>
            </w:r>
          </w:p>
        </w:tc>
        <w:tc>
          <w:tcPr>
            <w:tcW w:w="969" w:type="dxa"/>
            <w:hideMark/>
          </w:tcPr>
          <w:p w:rsidR="004D0910" w:rsidRPr="0077627D" w:rsidRDefault="004D0910" w:rsidP="005224F3">
            <w:pPr>
              <w:spacing w:line="276" w:lineRule="auto"/>
              <w:jc w:val="both"/>
            </w:pPr>
            <w:r w:rsidRPr="0077627D">
              <w:t>1.7</w:t>
            </w:r>
          </w:p>
        </w:tc>
        <w:tc>
          <w:tcPr>
            <w:tcW w:w="969" w:type="dxa"/>
            <w:hideMark/>
          </w:tcPr>
          <w:p w:rsidR="004D0910" w:rsidRPr="0077627D" w:rsidRDefault="004D0910" w:rsidP="005224F3">
            <w:pPr>
              <w:spacing w:line="276" w:lineRule="auto"/>
              <w:jc w:val="both"/>
            </w:pPr>
            <w:r w:rsidRPr="0077627D">
              <w:t>15.2</w:t>
            </w:r>
          </w:p>
        </w:tc>
        <w:tc>
          <w:tcPr>
            <w:tcW w:w="969" w:type="dxa"/>
            <w:hideMark/>
          </w:tcPr>
          <w:p w:rsidR="004D0910" w:rsidRPr="0077627D" w:rsidRDefault="004D0910" w:rsidP="005224F3">
            <w:pPr>
              <w:spacing w:line="276" w:lineRule="auto"/>
              <w:jc w:val="both"/>
            </w:pPr>
            <w:r w:rsidRPr="0077627D">
              <w:t>NA</w:t>
            </w:r>
          </w:p>
        </w:tc>
        <w:tc>
          <w:tcPr>
            <w:tcW w:w="969" w:type="dxa"/>
            <w:hideMark/>
          </w:tcPr>
          <w:p w:rsidR="004D0910" w:rsidRPr="0077627D" w:rsidRDefault="004D0910" w:rsidP="005224F3">
            <w:pPr>
              <w:spacing w:line="276" w:lineRule="auto"/>
              <w:jc w:val="both"/>
            </w:pPr>
            <w:r w:rsidRPr="0077627D">
              <w:t>16.9</w:t>
            </w:r>
          </w:p>
        </w:tc>
        <w:tc>
          <w:tcPr>
            <w:tcW w:w="961" w:type="dxa"/>
            <w:hideMark/>
          </w:tcPr>
          <w:p w:rsidR="004D0910" w:rsidRPr="0077627D" w:rsidRDefault="004D0910" w:rsidP="005224F3">
            <w:pPr>
              <w:spacing w:line="276" w:lineRule="auto"/>
              <w:jc w:val="both"/>
            </w:pPr>
            <w:r w:rsidRPr="0077627D">
              <w:t>35.0</w:t>
            </w:r>
          </w:p>
        </w:tc>
        <w:tc>
          <w:tcPr>
            <w:tcW w:w="988" w:type="dxa"/>
            <w:hideMark/>
          </w:tcPr>
          <w:p w:rsidR="004D0910" w:rsidRPr="0077627D" w:rsidRDefault="004D0910" w:rsidP="005224F3">
            <w:pPr>
              <w:spacing w:line="276" w:lineRule="auto"/>
              <w:jc w:val="both"/>
            </w:pPr>
            <w:r w:rsidRPr="0077627D">
              <w:t>49.7</w:t>
            </w:r>
          </w:p>
        </w:tc>
        <w:tc>
          <w:tcPr>
            <w:tcW w:w="969" w:type="dxa"/>
            <w:hideMark/>
          </w:tcPr>
          <w:p w:rsidR="004D0910" w:rsidRPr="0077627D" w:rsidRDefault="004D0910" w:rsidP="005224F3">
            <w:pPr>
              <w:spacing w:line="276" w:lineRule="auto"/>
              <w:jc w:val="both"/>
            </w:pPr>
            <w:r w:rsidRPr="0077627D">
              <w:t>74.6</w:t>
            </w:r>
          </w:p>
        </w:tc>
      </w:tr>
    </w:tbl>
    <w:p w:rsidR="004D0910" w:rsidRPr="00664541" w:rsidRDefault="004D0910" w:rsidP="005224F3">
      <w:pPr>
        <w:spacing w:after="0"/>
        <w:jc w:val="both"/>
        <w:rPr>
          <w:sz w:val="18"/>
          <w:szCs w:val="18"/>
        </w:rPr>
      </w:pPr>
      <w:r w:rsidRPr="0077627D">
        <w:rPr>
          <w:i/>
          <w:iCs/>
          <w:sz w:val="18"/>
          <w:szCs w:val="18"/>
        </w:rPr>
        <w:t xml:space="preserve"> </w:t>
      </w:r>
      <w:r w:rsidRPr="00B441CA">
        <w:rPr>
          <w:i/>
          <w:iCs/>
          <w:sz w:val="18"/>
          <w:szCs w:val="18"/>
        </w:rPr>
        <w:t xml:space="preserve">Note: </w:t>
      </w:r>
      <w:r w:rsidRPr="00664541">
        <w:rPr>
          <w:sz w:val="18"/>
          <w:szCs w:val="18"/>
        </w:rPr>
        <w:t>The figures include the North East Region (NER) component</w:t>
      </w:r>
    </w:p>
    <w:p w:rsidR="004D0910" w:rsidRPr="00664541" w:rsidRDefault="004D0910" w:rsidP="005224F3">
      <w:pPr>
        <w:spacing w:after="0"/>
        <w:jc w:val="both"/>
        <w:rPr>
          <w:sz w:val="18"/>
          <w:szCs w:val="18"/>
        </w:rPr>
      </w:pPr>
      <w:r w:rsidRPr="00664541">
        <w:rPr>
          <w:sz w:val="18"/>
          <w:szCs w:val="18"/>
        </w:rPr>
        <w:t xml:space="preserve">*the figures from 2015-16 onwards  include all components under the NHM umbrella </w:t>
      </w:r>
      <w:proofErr w:type="spellStart"/>
      <w:r w:rsidRPr="00664541">
        <w:rPr>
          <w:sz w:val="18"/>
          <w:szCs w:val="18"/>
        </w:rPr>
        <w:t>programme</w:t>
      </w:r>
      <w:proofErr w:type="spellEnd"/>
      <w:r w:rsidRPr="00664541">
        <w:rPr>
          <w:sz w:val="18"/>
          <w:szCs w:val="18"/>
        </w:rPr>
        <w:t xml:space="preserve"> “NHM including AYUSH NACO and Medical Research” as mentioned in the NITI </w:t>
      </w:r>
      <w:proofErr w:type="spellStart"/>
      <w:r w:rsidRPr="00664541">
        <w:rPr>
          <w:sz w:val="18"/>
          <w:szCs w:val="18"/>
        </w:rPr>
        <w:t>Aayog</w:t>
      </w:r>
      <w:proofErr w:type="spellEnd"/>
      <w:r w:rsidRPr="00664541">
        <w:rPr>
          <w:sz w:val="18"/>
          <w:szCs w:val="18"/>
        </w:rPr>
        <w:t xml:space="preserve"> report. Thus, figures include “Human Resources in Health &amp; Medical Education”, “National Mission on AYUSH including Mission on Medicinal Plants” and “National AIDS &amp; STD Control </w:t>
      </w:r>
      <w:proofErr w:type="spellStart"/>
      <w:r w:rsidRPr="00664541">
        <w:rPr>
          <w:sz w:val="18"/>
          <w:szCs w:val="18"/>
        </w:rPr>
        <w:t>Programme</w:t>
      </w:r>
      <w:proofErr w:type="spellEnd"/>
      <w:r w:rsidRPr="00664541">
        <w:rPr>
          <w:sz w:val="18"/>
          <w:szCs w:val="18"/>
        </w:rPr>
        <w:t xml:space="preserve">”   </w:t>
      </w:r>
    </w:p>
    <w:p w:rsidR="004D0910" w:rsidRPr="00843208" w:rsidRDefault="004D0910" w:rsidP="005224F3">
      <w:pPr>
        <w:spacing w:after="0"/>
        <w:jc w:val="both"/>
        <w:rPr>
          <w:sz w:val="18"/>
          <w:szCs w:val="18"/>
        </w:rPr>
      </w:pPr>
      <w:r w:rsidRPr="00DD51CB">
        <w:rPr>
          <w:sz w:val="18"/>
          <w:szCs w:val="18"/>
        </w:rPr>
        <w:t>**PMSSY is the scheme for “establishment of AIIMS type super-</w:t>
      </w:r>
      <w:proofErr w:type="spellStart"/>
      <w:r w:rsidRPr="00DD51CB">
        <w:rPr>
          <w:sz w:val="18"/>
          <w:szCs w:val="18"/>
        </w:rPr>
        <w:t>speciality</w:t>
      </w:r>
      <w:proofErr w:type="spellEnd"/>
      <w:r w:rsidRPr="00DD51CB">
        <w:rPr>
          <w:sz w:val="18"/>
          <w:szCs w:val="18"/>
        </w:rPr>
        <w:t xml:space="preserve"> hospitals-cum-teaching institutions and upgrading of State Government hospitals” </w:t>
      </w:r>
    </w:p>
    <w:p w:rsidR="004D0910" w:rsidRPr="00843208" w:rsidRDefault="004D0910" w:rsidP="005224F3">
      <w:pPr>
        <w:spacing w:after="0"/>
        <w:jc w:val="both"/>
        <w:rPr>
          <w:sz w:val="18"/>
          <w:szCs w:val="18"/>
        </w:rPr>
      </w:pPr>
      <w:r w:rsidRPr="00664541">
        <w:rPr>
          <w:sz w:val="18"/>
          <w:szCs w:val="18"/>
        </w:rPr>
        <w:t>**</w:t>
      </w:r>
      <w:r w:rsidRPr="00DD51CB">
        <w:rPr>
          <w:sz w:val="18"/>
          <w:szCs w:val="18"/>
        </w:rPr>
        <w:t xml:space="preserve">*the figures include the allocations for RSBY under both the Ministry of Health &amp; Family Welfare and Ministry of </w:t>
      </w:r>
      <w:proofErr w:type="spellStart"/>
      <w:r w:rsidRPr="00DD51CB">
        <w:rPr>
          <w:sz w:val="18"/>
          <w:szCs w:val="18"/>
        </w:rPr>
        <w:t>Labour</w:t>
      </w:r>
      <w:proofErr w:type="spellEnd"/>
      <w:r w:rsidRPr="00DD51CB">
        <w:rPr>
          <w:sz w:val="18"/>
          <w:szCs w:val="18"/>
        </w:rPr>
        <w:t xml:space="preserve"> &amp; Employment. Since 2015-16, RSBY has been divided into two distinct components - S</w:t>
      </w:r>
      <w:r w:rsidRPr="00843208">
        <w:rPr>
          <w:sz w:val="18"/>
          <w:szCs w:val="18"/>
        </w:rPr>
        <w:t xml:space="preserve">ocial Security for the </w:t>
      </w:r>
      <w:proofErr w:type="spellStart"/>
      <w:r w:rsidRPr="00843208">
        <w:rPr>
          <w:sz w:val="18"/>
          <w:szCs w:val="18"/>
        </w:rPr>
        <w:t>unorganised</w:t>
      </w:r>
      <w:proofErr w:type="spellEnd"/>
      <w:r w:rsidRPr="00843208">
        <w:rPr>
          <w:sz w:val="18"/>
          <w:szCs w:val="18"/>
        </w:rPr>
        <w:t xml:space="preserve"> workers and provision for health services. The card would be provided by Ministry of </w:t>
      </w:r>
      <w:proofErr w:type="spellStart"/>
      <w:r w:rsidRPr="00843208">
        <w:rPr>
          <w:sz w:val="18"/>
          <w:szCs w:val="18"/>
        </w:rPr>
        <w:t>Labour</w:t>
      </w:r>
      <w:proofErr w:type="spellEnd"/>
      <w:r w:rsidRPr="00843208">
        <w:rPr>
          <w:sz w:val="18"/>
          <w:szCs w:val="18"/>
        </w:rPr>
        <w:t xml:space="preserve"> and Employment and the health services would be provided by Ministry of Health &amp; Family Welfare. The RSBY was renamed RSSY</w:t>
      </w:r>
      <w:r w:rsidR="00D947E8">
        <w:rPr>
          <w:sz w:val="18"/>
          <w:szCs w:val="18"/>
        </w:rPr>
        <w:t xml:space="preserve"> in 2016-17 and NHPS in 2017-18</w:t>
      </w:r>
    </w:p>
    <w:p w:rsidR="00C86C0C" w:rsidRPr="00664541" w:rsidRDefault="00C86C0C" w:rsidP="00B441CA">
      <w:pPr>
        <w:spacing w:after="0"/>
        <w:jc w:val="both"/>
        <w:rPr>
          <w:sz w:val="18"/>
          <w:szCs w:val="18"/>
        </w:rPr>
      </w:pPr>
      <w:r w:rsidRPr="00843208">
        <w:rPr>
          <w:sz w:val="18"/>
          <w:szCs w:val="18"/>
        </w:rPr>
        <w:t>@The allocation</w:t>
      </w:r>
      <w:r w:rsidR="00F76865" w:rsidRPr="00843208">
        <w:rPr>
          <w:sz w:val="18"/>
          <w:szCs w:val="18"/>
        </w:rPr>
        <w:t xml:space="preserve">, mentioned </w:t>
      </w:r>
      <w:r w:rsidRPr="00843208">
        <w:rPr>
          <w:sz w:val="18"/>
          <w:szCs w:val="18"/>
        </w:rPr>
        <w:t xml:space="preserve">under RSSY for 2016-17 </w:t>
      </w:r>
      <w:r w:rsidR="00664541">
        <w:rPr>
          <w:sz w:val="18"/>
          <w:szCs w:val="18"/>
        </w:rPr>
        <w:t>(</w:t>
      </w:r>
      <w:r w:rsidRPr="00843208">
        <w:rPr>
          <w:sz w:val="18"/>
          <w:szCs w:val="18"/>
        </w:rPr>
        <w:t>BE</w:t>
      </w:r>
      <w:r w:rsidR="00664541">
        <w:rPr>
          <w:sz w:val="18"/>
          <w:szCs w:val="18"/>
        </w:rPr>
        <w:t>)</w:t>
      </w:r>
      <w:r w:rsidRPr="00843208">
        <w:rPr>
          <w:sz w:val="18"/>
          <w:szCs w:val="18"/>
        </w:rPr>
        <w:t xml:space="preserve"> in the last budget documents was </w:t>
      </w:r>
      <w:proofErr w:type="spellStart"/>
      <w:r w:rsidRPr="00843208">
        <w:rPr>
          <w:sz w:val="18"/>
          <w:szCs w:val="18"/>
        </w:rPr>
        <w:t>Rs</w:t>
      </w:r>
      <w:proofErr w:type="spellEnd"/>
      <w:r w:rsidRPr="00843208">
        <w:rPr>
          <w:sz w:val="18"/>
          <w:szCs w:val="18"/>
        </w:rPr>
        <w:t>. 1641.5 crore. This year’s document give</w:t>
      </w:r>
      <w:r w:rsidR="00F76865" w:rsidRPr="00664541">
        <w:rPr>
          <w:sz w:val="18"/>
          <w:szCs w:val="18"/>
        </w:rPr>
        <w:t>s</w:t>
      </w:r>
      <w:r w:rsidRPr="00664541">
        <w:rPr>
          <w:sz w:val="18"/>
          <w:szCs w:val="18"/>
        </w:rPr>
        <w:t xml:space="preserve"> the figure for NHPS (erstwhile RSSY) as </w:t>
      </w:r>
      <w:proofErr w:type="spellStart"/>
      <w:r w:rsidRPr="00664541">
        <w:rPr>
          <w:sz w:val="18"/>
          <w:szCs w:val="18"/>
        </w:rPr>
        <w:t>Rs</w:t>
      </w:r>
      <w:proofErr w:type="spellEnd"/>
      <w:r w:rsidRPr="00664541">
        <w:rPr>
          <w:sz w:val="18"/>
          <w:szCs w:val="18"/>
        </w:rPr>
        <w:t xml:space="preserve">. 1500 crore for 2016-17 </w:t>
      </w:r>
      <w:r w:rsidR="00664541">
        <w:rPr>
          <w:sz w:val="18"/>
          <w:szCs w:val="18"/>
        </w:rPr>
        <w:t>(</w:t>
      </w:r>
      <w:r w:rsidRPr="00664541">
        <w:rPr>
          <w:sz w:val="18"/>
          <w:szCs w:val="18"/>
        </w:rPr>
        <w:t>BE</w:t>
      </w:r>
      <w:r w:rsidR="00664541">
        <w:rPr>
          <w:sz w:val="18"/>
          <w:szCs w:val="18"/>
        </w:rPr>
        <w:t>)</w:t>
      </w:r>
    </w:p>
    <w:p w:rsidR="004D0910" w:rsidRPr="00DD51CB" w:rsidRDefault="004D0910" w:rsidP="005224F3">
      <w:pPr>
        <w:spacing w:after="0"/>
        <w:jc w:val="both"/>
        <w:rPr>
          <w:sz w:val="18"/>
          <w:szCs w:val="18"/>
        </w:rPr>
      </w:pPr>
      <w:r w:rsidRPr="00664541">
        <w:rPr>
          <w:sz w:val="18"/>
          <w:szCs w:val="18"/>
        </w:rPr>
        <w:t xml:space="preserve"># the Jan </w:t>
      </w:r>
      <w:proofErr w:type="spellStart"/>
      <w:r w:rsidRPr="00664541">
        <w:rPr>
          <w:sz w:val="18"/>
          <w:szCs w:val="18"/>
        </w:rPr>
        <w:t>Aushadhi</w:t>
      </w:r>
      <w:proofErr w:type="spellEnd"/>
      <w:r w:rsidRPr="00664541">
        <w:rPr>
          <w:sz w:val="18"/>
          <w:szCs w:val="18"/>
        </w:rPr>
        <w:t xml:space="preserve"> scheme is under the Department of Pharmaceuticals, Ministry of Chemicals &amp; </w:t>
      </w:r>
      <w:proofErr w:type="spellStart"/>
      <w:r w:rsidRPr="00664541">
        <w:rPr>
          <w:sz w:val="18"/>
          <w:szCs w:val="18"/>
        </w:rPr>
        <w:t>Fertilisers</w:t>
      </w:r>
      <w:proofErr w:type="spellEnd"/>
      <w:r w:rsidRPr="00664541">
        <w:rPr>
          <w:sz w:val="18"/>
          <w:szCs w:val="18"/>
        </w:rPr>
        <w:t xml:space="preserve"> </w:t>
      </w:r>
    </w:p>
    <w:p w:rsidR="00DD51CB" w:rsidRPr="00F23835" w:rsidRDefault="00DD51CB" w:rsidP="00DD51CB">
      <w:pPr>
        <w:widowControl w:val="0"/>
        <w:spacing w:after="0"/>
        <w:ind w:right="-20"/>
        <w:jc w:val="both"/>
        <w:rPr>
          <w:rFonts w:eastAsia="Calibri" w:cs="Calibri"/>
          <w:sz w:val="18"/>
          <w:szCs w:val="18"/>
        </w:rPr>
      </w:pPr>
      <w:r w:rsidRPr="00753049">
        <w:rPr>
          <w:rFonts w:eastAsia="Calibri" w:cs="Calibri"/>
          <w:i/>
          <w:iCs/>
          <w:sz w:val="18"/>
          <w:szCs w:val="18"/>
        </w:rPr>
        <w:t>Source:</w:t>
      </w:r>
      <w:r>
        <w:rPr>
          <w:rFonts w:eastAsia="Calibri" w:cs="Calibri"/>
          <w:sz w:val="18"/>
          <w:szCs w:val="18"/>
        </w:rPr>
        <w:t xml:space="preserve"> Compiled by CBGA from Union Budget documents, v</w:t>
      </w:r>
      <w:r w:rsidR="00D947E8">
        <w:rPr>
          <w:rFonts w:eastAsia="Calibri" w:cs="Calibri"/>
          <w:sz w:val="18"/>
          <w:szCs w:val="18"/>
        </w:rPr>
        <w:t>arious years.</w:t>
      </w:r>
    </w:p>
    <w:p w:rsidR="004D0910" w:rsidRPr="0077627D" w:rsidRDefault="004D0910" w:rsidP="005224F3">
      <w:pPr>
        <w:spacing w:after="0"/>
        <w:jc w:val="both"/>
      </w:pPr>
    </w:p>
    <w:p w:rsidR="000C33E6" w:rsidRPr="0077627D" w:rsidRDefault="004D0910" w:rsidP="008922F3">
      <w:pPr>
        <w:spacing w:after="0"/>
        <w:jc w:val="both"/>
      </w:pPr>
      <w:r w:rsidRPr="0077627D">
        <w:lastRenderedPageBreak/>
        <w:t xml:space="preserve">The </w:t>
      </w:r>
      <w:r w:rsidR="008922F3">
        <w:t xml:space="preserve">allocation for </w:t>
      </w:r>
      <w:r w:rsidRPr="0077627D">
        <w:t xml:space="preserve">PMSSY, which is </w:t>
      </w:r>
      <w:r w:rsidR="00B441CA">
        <w:t xml:space="preserve">a central scheme </w:t>
      </w:r>
      <w:r w:rsidRPr="0077627D">
        <w:t xml:space="preserve">for establishment of AIIMS like </w:t>
      </w:r>
      <w:r w:rsidR="000C33E6" w:rsidRPr="0077627D">
        <w:t>institutions,</w:t>
      </w:r>
      <w:r w:rsidRPr="0077627D">
        <w:t xml:space="preserve"> </w:t>
      </w:r>
      <w:r w:rsidR="000C33E6" w:rsidRPr="0077627D">
        <w:t xml:space="preserve">also </w:t>
      </w:r>
      <w:r w:rsidR="00BE38AC">
        <w:t>got</w:t>
      </w:r>
      <w:r w:rsidR="00BE38AC" w:rsidRPr="0077627D">
        <w:t xml:space="preserve"> </w:t>
      </w:r>
      <w:r w:rsidR="000C33E6" w:rsidRPr="0077627D">
        <w:t>more than doubled</w:t>
      </w:r>
      <w:r w:rsidR="00BE38AC">
        <w:t xml:space="preserve"> from</w:t>
      </w:r>
      <w:r w:rsidR="00F02521">
        <w:t xml:space="preserve"> 2016-17 (RE) to 2017-18 (BE)</w:t>
      </w:r>
      <w:r w:rsidR="000C33E6" w:rsidRPr="0077627D">
        <w:t xml:space="preserve">. There </w:t>
      </w:r>
      <w:r w:rsidR="00394CE3">
        <w:t>has also been</w:t>
      </w:r>
      <w:r w:rsidR="00394CE3" w:rsidRPr="0077627D">
        <w:t xml:space="preserve"> </w:t>
      </w:r>
      <w:r w:rsidR="000C33E6" w:rsidRPr="0077627D">
        <w:t xml:space="preserve">an announcement </w:t>
      </w:r>
      <w:r w:rsidR="00BE38AC">
        <w:t xml:space="preserve">regarding setting up </w:t>
      </w:r>
      <w:r w:rsidR="000C33E6" w:rsidRPr="0077627D">
        <w:t xml:space="preserve">of two AIIMS in Gujarat and Jharkhand. </w:t>
      </w:r>
    </w:p>
    <w:p w:rsidR="000C33E6" w:rsidRPr="0077627D" w:rsidRDefault="000C33E6" w:rsidP="005224F3">
      <w:pPr>
        <w:spacing w:after="0"/>
        <w:jc w:val="both"/>
      </w:pPr>
    </w:p>
    <w:p w:rsidR="004D0910" w:rsidRPr="0077627D" w:rsidRDefault="000C33E6" w:rsidP="00C47B19">
      <w:pPr>
        <w:spacing w:after="0"/>
        <w:jc w:val="both"/>
      </w:pPr>
      <w:r w:rsidRPr="0077627D">
        <w:t>The National Health Protection Scheme</w:t>
      </w:r>
      <w:r w:rsidR="00664541">
        <w:t xml:space="preserve"> (NHPS)</w:t>
      </w:r>
      <w:r w:rsidRPr="0077627D">
        <w:t>, announced in the last budget</w:t>
      </w:r>
      <w:r w:rsidR="008922F3">
        <w:t xml:space="preserve">, </w:t>
      </w:r>
      <w:r w:rsidRPr="0077627D">
        <w:t>was supposed to provide health cover up to Rs.1 lakh per family for poor and economically weak families</w:t>
      </w:r>
      <w:r w:rsidR="008922F3">
        <w:t xml:space="preserve">. </w:t>
      </w:r>
      <w:r w:rsidR="00C47B19">
        <w:t xml:space="preserve">However, it is not clear </w:t>
      </w:r>
      <w:r w:rsidR="00664541">
        <w:t xml:space="preserve">whether the </w:t>
      </w:r>
      <w:r w:rsidRPr="0077627D">
        <w:t>erstwhile RSSY</w:t>
      </w:r>
      <w:r w:rsidR="008922F3">
        <w:t xml:space="preserve"> (RSBY)</w:t>
      </w:r>
      <w:r w:rsidRPr="0077627D">
        <w:t xml:space="preserve"> has </w:t>
      </w:r>
      <w:r w:rsidR="008922F3">
        <w:t>merely</w:t>
      </w:r>
      <w:r w:rsidRPr="0077627D">
        <w:t xml:space="preserve"> been rename</w:t>
      </w:r>
      <w:r w:rsidR="00E07F2A" w:rsidRPr="0077627D">
        <w:t>d as NHPS</w:t>
      </w:r>
      <w:r w:rsidR="00777803">
        <w:t>,</w:t>
      </w:r>
      <w:r w:rsidR="00E07F2A" w:rsidRPr="0077627D">
        <w:t xml:space="preserve"> without </w:t>
      </w:r>
      <w:r w:rsidR="00777803">
        <w:t xml:space="preserve">any </w:t>
      </w:r>
      <w:r w:rsidR="00E07F2A" w:rsidRPr="0077627D">
        <w:t>change</w:t>
      </w:r>
      <w:r w:rsidR="00777803">
        <w:t xml:space="preserve"> in the </w:t>
      </w:r>
      <w:r w:rsidR="00F02521">
        <w:t xml:space="preserve">entitlement under the </w:t>
      </w:r>
      <w:r w:rsidR="00777803">
        <w:t>scheme</w:t>
      </w:r>
      <w:r w:rsidR="00E07F2A" w:rsidRPr="00F02521">
        <w:t>.</w:t>
      </w:r>
      <w:r w:rsidR="00E07F2A" w:rsidRPr="0077627D">
        <w:t xml:space="preserve"> </w:t>
      </w:r>
      <w:r w:rsidR="00752188">
        <w:t>The 2017-18 budget does not give any evidence of this increase.</w:t>
      </w:r>
    </w:p>
    <w:p w:rsidR="00E07F2A" w:rsidRPr="0077627D" w:rsidRDefault="00E07F2A" w:rsidP="005224F3">
      <w:pPr>
        <w:spacing w:after="0"/>
        <w:jc w:val="both"/>
      </w:pPr>
    </w:p>
    <w:p w:rsidR="00752188" w:rsidRDefault="00777803" w:rsidP="00D947E8">
      <w:pPr>
        <w:spacing w:after="0"/>
        <w:jc w:val="both"/>
      </w:pPr>
      <w:r>
        <w:t>T</w:t>
      </w:r>
      <w:r w:rsidR="00E07F2A" w:rsidRPr="0077627D">
        <w:t xml:space="preserve">here has </w:t>
      </w:r>
      <w:r>
        <w:t xml:space="preserve">also </w:t>
      </w:r>
      <w:r w:rsidR="00E07F2A" w:rsidRPr="0077627D">
        <w:t xml:space="preserve">been no concrete </w:t>
      </w:r>
      <w:r w:rsidR="00BF3E0B">
        <w:t xml:space="preserve">announcement </w:t>
      </w:r>
      <w:r w:rsidR="00E07F2A" w:rsidRPr="0077627D">
        <w:t>for ensuring the availability of free generic medicines</w:t>
      </w:r>
      <w:r w:rsidR="00AE2D46">
        <w:t xml:space="preserve">. </w:t>
      </w:r>
      <w:r w:rsidR="00752188">
        <w:t xml:space="preserve">This is a critical area of concern as the NSSO data tells that </w:t>
      </w:r>
      <w:r w:rsidR="00D947E8">
        <w:t xml:space="preserve">nearly </w:t>
      </w:r>
      <w:r w:rsidR="00752188">
        <w:t>70</w:t>
      </w:r>
      <w:r w:rsidR="00D947E8">
        <w:t xml:space="preserve"> percent </w:t>
      </w:r>
      <w:r w:rsidR="00752188">
        <w:t xml:space="preserve">of the out-of-pocket </w:t>
      </w:r>
      <w:r w:rsidR="00D947E8">
        <w:t xml:space="preserve">(OOP) </w:t>
      </w:r>
      <w:r w:rsidR="00752188">
        <w:t xml:space="preserve">burden is due to expenditure on medicines. </w:t>
      </w:r>
      <w:r w:rsidR="00D947E8">
        <w:t>Making free medicines available</w:t>
      </w:r>
      <w:r w:rsidR="00752188">
        <w:t xml:space="preserve"> in all public health facilities will substantia</w:t>
      </w:r>
      <w:r w:rsidR="00D947E8">
        <w:t>l</w:t>
      </w:r>
      <w:r w:rsidR="00752188">
        <w:t xml:space="preserve">ly impact the credibility of the public health system and strengthen </w:t>
      </w:r>
      <w:proofErr w:type="spellStart"/>
      <w:r w:rsidR="00752188">
        <w:t>utili</w:t>
      </w:r>
      <w:r w:rsidR="00D947E8">
        <w:t>s</w:t>
      </w:r>
      <w:r w:rsidR="00752188">
        <w:t>ation</w:t>
      </w:r>
      <w:proofErr w:type="spellEnd"/>
      <w:r w:rsidR="00752188">
        <w:t xml:space="preserve">. </w:t>
      </w:r>
    </w:p>
    <w:p w:rsidR="00752188" w:rsidRDefault="00752188" w:rsidP="00AE2D46">
      <w:pPr>
        <w:spacing w:after="0"/>
        <w:jc w:val="both"/>
      </w:pPr>
    </w:p>
    <w:p w:rsidR="00E07F2A" w:rsidRDefault="00D947E8" w:rsidP="00D947E8">
      <w:pPr>
        <w:spacing w:after="0"/>
        <w:jc w:val="both"/>
      </w:pPr>
      <w:r>
        <w:t>In the Union Budget 2017-18, t</w:t>
      </w:r>
      <w:r w:rsidR="00AE2D46">
        <w:t>here is</w:t>
      </w:r>
      <w:r w:rsidR="00777803" w:rsidRPr="0077627D">
        <w:t xml:space="preserve"> </w:t>
      </w:r>
      <w:r w:rsidR="00E07F2A" w:rsidRPr="0077627D">
        <w:t xml:space="preserve">a proposal </w:t>
      </w:r>
      <w:r w:rsidR="00AE2D46">
        <w:t xml:space="preserve">for </w:t>
      </w:r>
      <w:r w:rsidR="007762FB" w:rsidRPr="0077627D">
        <w:t xml:space="preserve">amending the Drugs and Cosmetic Rules, </w:t>
      </w:r>
      <w:r w:rsidR="00777803">
        <w:t>highlighting</w:t>
      </w:r>
      <w:r w:rsidR="00777803" w:rsidRPr="0077627D">
        <w:t xml:space="preserve"> the</w:t>
      </w:r>
      <w:r w:rsidR="00E07F2A" w:rsidRPr="0077627D">
        <w:t xml:space="preserve"> intent of the government to ensure availability of drugs at reasonable prices and promoting use of generic medicines</w:t>
      </w:r>
      <w:r>
        <w:t>. However,</w:t>
      </w:r>
      <w:r w:rsidR="00752188">
        <w:t xml:space="preserve"> this </w:t>
      </w:r>
      <w:r>
        <w:t xml:space="preserve">alone </w:t>
      </w:r>
      <w:r w:rsidR="00752188">
        <w:t>may not substantially impact reduction of OOP</w:t>
      </w:r>
      <w:r>
        <w:t xml:space="preserve"> expenditure</w:t>
      </w:r>
      <w:r w:rsidR="00752188">
        <w:t>s</w:t>
      </w:r>
      <w:r w:rsidR="00E07F2A" w:rsidRPr="0077627D">
        <w:t xml:space="preserve">. </w:t>
      </w:r>
      <w:r w:rsidR="00AE2D46">
        <w:t xml:space="preserve">The </w:t>
      </w:r>
      <w:r w:rsidR="00AE2D46" w:rsidRPr="00664541">
        <w:rPr>
          <w:i/>
          <w:iCs/>
        </w:rPr>
        <w:t xml:space="preserve">Jan </w:t>
      </w:r>
      <w:proofErr w:type="spellStart"/>
      <w:r w:rsidR="00AE2D46" w:rsidRPr="00664541">
        <w:rPr>
          <w:i/>
          <w:iCs/>
        </w:rPr>
        <w:t>Aushadhi</w:t>
      </w:r>
      <w:proofErr w:type="spellEnd"/>
      <w:r w:rsidR="00AE2D46">
        <w:t xml:space="preserve"> Scheme was introduced in 2008 </w:t>
      </w:r>
      <w:r w:rsidR="00AE2D46" w:rsidRPr="00AE2D46">
        <w:t xml:space="preserve">for ensuring </w:t>
      </w:r>
      <w:r w:rsidR="00BF3E0B">
        <w:t xml:space="preserve">enhanced </w:t>
      </w:r>
      <w:r w:rsidR="00AE2D46" w:rsidRPr="00AE2D46">
        <w:t xml:space="preserve">availability of medicines at affordable prices to all, </w:t>
      </w:r>
      <w:r w:rsidR="00AE2D46">
        <w:t>e</w:t>
      </w:r>
      <w:r w:rsidR="00AE2D46" w:rsidRPr="00AE2D46">
        <w:t xml:space="preserve">specially the poorer </w:t>
      </w:r>
      <w:r w:rsidR="00AE2D46">
        <w:t>sections.</w:t>
      </w:r>
      <w:r w:rsidR="00AE2D46" w:rsidRPr="00AE2D46">
        <w:t xml:space="preserve"> </w:t>
      </w:r>
      <w:r w:rsidR="00E07F2A" w:rsidRPr="0077627D">
        <w:t xml:space="preserve">The allocation </w:t>
      </w:r>
      <w:r w:rsidR="007762FB" w:rsidRPr="0077627D">
        <w:t xml:space="preserve">for </w:t>
      </w:r>
      <w:r w:rsidR="00AE2D46" w:rsidRPr="0077627D">
        <w:t xml:space="preserve">this scheme </w:t>
      </w:r>
      <w:r w:rsidR="00AE2D46">
        <w:t>remain</w:t>
      </w:r>
      <w:r w:rsidR="00BF3E0B">
        <w:t>s</w:t>
      </w:r>
      <w:r w:rsidR="00AE2D46">
        <w:t xml:space="preserve"> low, though </w:t>
      </w:r>
      <w:r w:rsidR="00BF3E0B">
        <w:t>it has</w:t>
      </w:r>
      <w:r w:rsidR="00AE2D46">
        <w:t xml:space="preserve"> been </w:t>
      </w:r>
      <w:r w:rsidR="007762FB" w:rsidRPr="0077627D">
        <w:t>more than doubled in this budget from 2016-17 BE</w:t>
      </w:r>
      <w:r w:rsidR="00AE2D46">
        <w:t>.</w:t>
      </w:r>
      <w:r w:rsidR="00843208">
        <w:t xml:space="preserve"> </w:t>
      </w:r>
      <w:r w:rsidR="00843208" w:rsidRPr="00D947E8">
        <w:rPr>
          <w:i/>
          <w:iCs/>
        </w:rPr>
        <w:t xml:space="preserve">Jan </w:t>
      </w:r>
      <w:proofErr w:type="spellStart"/>
      <w:r w:rsidR="00843208" w:rsidRPr="00D947E8">
        <w:rPr>
          <w:i/>
          <w:iCs/>
        </w:rPr>
        <w:t>Aushadhi</w:t>
      </w:r>
      <w:proofErr w:type="spellEnd"/>
      <w:r w:rsidR="00843208" w:rsidRPr="00843208">
        <w:t xml:space="preserve"> Scheme has now been renamed as "Pradhan </w:t>
      </w:r>
      <w:proofErr w:type="spellStart"/>
      <w:r w:rsidR="00843208" w:rsidRPr="00843208">
        <w:t>Mantri</w:t>
      </w:r>
      <w:proofErr w:type="spellEnd"/>
      <w:r w:rsidR="00843208" w:rsidRPr="00843208">
        <w:t xml:space="preserve"> </w:t>
      </w:r>
      <w:proofErr w:type="spellStart"/>
      <w:r w:rsidR="00843208" w:rsidRPr="00843208">
        <w:t>Bhartiya</w:t>
      </w:r>
      <w:proofErr w:type="spellEnd"/>
      <w:r w:rsidR="00843208" w:rsidRPr="00843208">
        <w:t xml:space="preserve"> </w:t>
      </w:r>
      <w:proofErr w:type="spellStart"/>
      <w:r w:rsidR="00843208" w:rsidRPr="00843208">
        <w:t>Janaushadhi</w:t>
      </w:r>
      <w:proofErr w:type="spellEnd"/>
      <w:r w:rsidR="00843208" w:rsidRPr="00843208">
        <w:t xml:space="preserve"> </w:t>
      </w:r>
      <w:proofErr w:type="spellStart"/>
      <w:r w:rsidR="00843208" w:rsidRPr="00843208">
        <w:t>Pariyojana</w:t>
      </w:r>
      <w:proofErr w:type="spellEnd"/>
      <w:r w:rsidR="00843208" w:rsidRPr="00843208">
        <w:t>" (PMBJP)</w:t>
      </w:r>
      <w:r w:rsidR="00843208">
        <w:t>. So far, 683 PMBJKs have been opened in the country whereas the</w:t>
      </w:r>
      <w:r w:rsidR="007762FB" w:rsidRPr="0077627D">
        <w:t xml:space="preserve"> </w:t>
      </w:r>
      <w:r w:rsidR="00AE2D46">
        <w:t xml:space="preserve">commitment </w:t>
      </w:r>
      <w:r w:rsidR="00AE2D46" w:rsidRPr="0077627D">
        <w:t xml:space="preserve">in 2016-17 </w:t>
      </w:r>
      <w:proofErr w:type="gramStart"/>
      <w:r w:rsidR="00843208">
        <w:t>budget</w:t>
      </w:r>
      <w:proofErr w:type="gramEnd"/>
      <w:r w:rsidR="00843208">
        <w:t xml:space="preserve"> was </w:t>
      </w:r>
      <w:r w:rsidR="00AE2D46">
        <w:t xml:space="preserve">to </w:t>
      </w:r>
      <w:r w:rsidR="007762FB" w:rsidRPr="0077627D">
        <w:t>open 3000</w:t>
      </w:r>
      <w:r w:rsidR="00AE2D46">
        <w:t xml:space="preserve"> </w:t>
      </w:r>
      <w:r w:rsidR="00AE2D46" w:rsidRPr="00D947E8">
        <w:rPr>
          <w:i/>
          <w:iCs/>
        </w:rPr>
        <w:t xml:space="preserve">Jan </w:t>
      </w:r>
      <w:proofErr w:type="spellStart"/>
      <w:r w:rsidR="00AE2D46" w:rsidRPr="00D947E8">
        <w:rPr>
          <w:i/>
          <w:iCs/>
        </w:rPr>
        <w:t>Aushadhi</w:t>
      </w:r>
      <w:proofErr w:type="spellEnd"/>
      <w:r w:rsidR="00AE2D46">
        <w:t xml:space="preserve"> </w:t>
      </w:r>
      <w:r w:rsidR="007762FB" w:rsidRPr="0077627D">
        <w:t xml:space="preserve">stores </w:t>
      </w:r>
      <w:r w:rsidR="00AE2D46">
        <w:t>across the country</w:t>
      </w:r>
      <w:r w:rsidR="00843208">
        <w:t>.</w:t>
      </w:r>
      <w:r w:rsidR="00AE2D46">
        <w:t xml:space="preserve"> </w:t>
      </w:r>
      <w:r w:rsidR="00E07F2A" w:rsidRPr="0077627D">
        <w:t xml:space="preserve">   </w:t>
      </w:r>
    </w:p>
    <w:p w:rsidR="00B92302" w:rsidRDefault="00B92302" w:rsidP="005224F3">
      <w:pPr>
        <w:spacing w:after="0"/>
        <w:jc w:val="both"/>
      </w:pPr>
    </w:p>
    <w:p w:rsidR="00652AB7" w:rsidRPr="0077627D" w:rsidRDefault="007762FB" w:rsidP="00D947E8">
      <w:pPr>
        <w:jc w:val="both"/>
      </w:pPr>
      <w:r w:rsidRPr="0077627D">
        <w:t>The two sub-missions under the NHM are National Rural Health Mission (NRHM) and National Urban Health Mission (NUHM). While NRHM allocation do</w:t>
      </w:r>
      <w:r w:rsidR="00BF3E0B">
        <w:t>es</w:t>
      </w:r>
      <w:r w:rsidRPr="0077627D">
        <w:t xml:space="preserve"> see an increase, showing a continued emphasis on health in rural India, allocation for NUHM ha</w:t>
      </w:r>
      <w:r w:rsidR="00BF3E0B">
        <w:t>s</w:t>
      </w:r>
      <w:r w:rsidRPr="0077627D">
        <w:t xml:space="preserve"> decreased from </w:t>
      </w:r>
      <w:proofErr w:type="spellStart"/>
      <w:r w:rsidRPr="0077627D">
        <w:t>Rs</w:t>
      </w:r>
      <w:proofErr w:type="spellEnd"/>
      <w:r w:rsidRPr="0077627D">
        <w:t>. 950 crore in 2016-17</w:t>
      </w:r>
      <w:r w:rsidR="00AE2D46">
        <w:t xml:space="preserve"> BE</w:t>
      </w:r>
      <w:r w:rsidRPr="0077627D">
        <w:t xml:space="preserve"> to </w:t>
      </w:r>
      <w:proofErr w:type="spellStart"/>
      <w:r w:rsidRPr="0077627D">
        <w:t>Rs</w:t>
      </w:r>
      <w:proofErr w:type="spellEnd"/>
      <w:r w:rsidRPr="0077627D">
        <w:t>. 752 crore in 2017-18</w:t>
      </w:r>
      <w:r w:rsidR="00AE2D46">
        <w:t xml:space="preserve"> BE</w:t>
      </w:r>
      <w:r w:rsidRPr="0077627D">
        <w:t xml:space="preserve">. </w:t>
      </w:r>
      <w:r w:rsidR="00652AB7" w:rsidRPr="0077627D">
        <w:t>NUHM envisages meeting health care needs of the urban population</w:t>
      </w:r>
      <w:r w:rsidR="00193417">
        <w:t xml:space="preserve"> with a</w:t>
      </w:r>
      <w:r w:rsidR="00652AB7" w:rsidRPr="0077627D">
        <w:t xml:space="preserve"> focus on urban poor, by making available primary health care services and reducing their </w:t>
      </w:r>
      <w:r w:rsidR="00D947E8">
        <w:t xml:space="preserve">OOP </w:t>
      </w:r>
      <w:r w:rsidR="00652AB7" w:rsidRPr="0077627D">
        <w:t xml:space="preserve">expenses. As </w:t>
      </w:r>
      <w:proofErr w:type="spellStart"/>
      <w:r w:rsidR="00652AB7" w:rsidRPr="0077627D">
        <w:t>urbanisation</w:t>
      </w:r>
      <w:proofErr w:type="spellEnd"/>
      <w:r w:rsidR="00652AB7" w:rsidRPr="0077627D">
        <w:t xml:space="preserve"> increases with migration of </w:t>
      </w:r>
      <w:proofErr w:type="spellStart"/>
      <w:r w:rsidR="00652AB7" w:rsidRPr="0077627D">
        <w:t>labour</w:t>
      </w:r>
      <w:proofErr w:type="spellEnd"/>
      <w:r w:rsidR="00652AB7" w:rsidRPr="0077627D">
        <w:t xml:space="preserve"> from rural areas to cities, the health needs of the urban population, especially the poor, require attention. The reduction in allocations </w:t>
      </w:r>
      <w:r w:rsidR="00C86C0C" w:rsidRPr="0077627D">
        <w:t>for NUHM raises concern as</w:t>
      </w:r>
      <w:r w:rsidR="00AE2D46">
        <w:t>,</w:t>
      </w:r>
      <w:r w:rsidR="00C86C0C" w:rsidRPr="0077627D">
        <w:t xml:space="preserve"> on one hand</w:t>
      </w:r>
      <w:r w:rsidR="00AE2D46">
        <w:t>,</w:t>
      </w:r>
      <w:r w:rsidR="00C86C0C" w:rsidRPr="0077627D">
        <w:t xml:space="preserve"> the government is pushing for the development of smart cities </w:t>
      </w:r>
      <w:r w:rsidR="00193417">
        <w:t>but</w:t>
      </w:r>
      <w:r w:rsidR="00AE2D46">
        <w:t>,</w:t>
      </w:r>
      <w:r w:rsidR="00C86C0C" w:rsidRPr="0077627D">
        <w:t xml:space="preserve"> on the other</w:t>
      </w:r>
      <w:r w:rsidR="00AE2D46">
        <w:t>,</w:t>
      </w:r>
      <w:r w:rsidR="00C86C0C" w:rsidRPr="0077627D">
        <w:t xml:space="preserve"> </w:t>
      </w:r>
      <w:r w:rsidR="00563FF5" w:rsidRPr="0077627D">
        <w:t xml:space="preserve">does not seem to be </w:t>
      </w:r>
      <w:r w:rsidR="00C86C0C" w:rsidRPr="0077627D">
        <w:t xml:space="preserve">preparing </w:t>
      </w:r>
      <w:r w:rsidR="00563FF5" w:rsidRPr="0077627D">
        <w:t xml:space="preserve">for </w:t>
      </w:r>
      <w:r w:rsidR="00C86C0C" w:rsidRPr="0077627D">
        <w:t xml:space="preserve">the challenges </w:t>
      </w:r>
      <w:r w:rsidR="00193417">
        <w:t>posed</w:t>
      </w:r>
      <w:r w:rsidR="00193417" w:rsidRPr="0077627D">
        <w:t xml:space="preserve"> </w:t>
      </w:r>
      <w:r w:rsidR="00C86C0C" w:rsidRPr="0077627D">
        <w:t>by increas</w:t>
      </w:r>
      <w:r w:rsidR="00BF3E0B">
        <w:t>e in population of urban poor</w:t>
      </w:r>
      <w:r w:rsidR="00C86C0C" w:rsidRPr="0077627D">
        <w:t xml:space="preserve">. </w:t>
      </w:r>
    </w:p>
    <w:p w:rsidR="00F23835" w:rsidRDefault="00C86C0C" w:rsidP="005224F3">
      <w:pPr>
        <w:jc w:val="both"/>
      </w:pPr>
      <w:r w:rsidRPr="0077627D">
        <w:t xml:space="preserve">One of the </w:t>
      </w:r>
      <w:r w:rsidR="00F23835" w:rsidRPr="0077627D">
        <w:t>most important component</w:t>
      </w:r>
      <w:r w:rsidRPr="0077627D">
        <w:t>s under NHM</w:t>
      </w:r>
      <w:r w:rsidR="00F23835" w:rsidRPr="0077627D">
        <w:t xml:space="preserve"> is the Reproductive and Child Health (RCH). </w:t>
      </w:r>
      <w:r w:rsidR="00D947E8">
        <w:t xml:space="preserve">This is a critical area of intervention for the maternal and child health. </w:t>
      </w:r>
      <w:r w:rsidR="00F23835" w:rsidRPr="0077627D">
        <w:t>Given the commitment to</w:t>
      </w:r>
      <w:r w:rsidR="00C82AC2">
        <w:t>wards</w:t>
      </w:r>
      <w:r w:rsidR="00F23835" w:rsidRPr="0077627D">
        <w:t xml:space="preserve"> Sustainable Development Goals (SDGs), the government does target reducing the MMR from 167 in 2011-13 to 100 by 2018-2020. However,</w:t>
      </w:r>
      <w:r w:rsidRPr="0077627D">
        <w:t xml:space="preserve"> the allocations </w:t>
      </w:r>
      <w:r w:rsidR="00563FF5" w:rsidRPr="0077627D">
        <w:t>for the RCH Flexi pool</w:t>
      </w:r>
      <w:r w:rsidR="007E531A" w:rsidRPr="0077627D">
        <w:t xml:space="preserve"> (including Routine </w:t>
      </w:r>
      <w:proofErr w:type="spellStart"/>
      <w:r w:rsidR="007E531A" w:rsidRPr="0077627D">
        <w:t>Immunisation</w:t>
      </w:r>
      <w:proofErr w:type="spellEnd"/>
      <w:r w:rsidR="007E531A" w:rsidRPr="0077627D">
        <w:t xml:space="preserve">, Pulse Polio </w:t>
      </w:r>
      <w:proofErr w:type="spellStart"/>
      <w:r w:rsidR="007E531A" w:rsidRPr="0077627D">
        <w:t>Immunisation</w:t>
      </w:r>
      <w:proofErr w:type="spellEnd"/>
      <w:r w:rsidR="007E531A" w:rsidRPr="0077627D">
        <w:t xml:space="preserve">, NIDDCP, etc.) witness </w:t>
      </w:r>
      <w:r w:rsidR="00931255" w:rsidRPr="0077627D">
        <w:t xml:space="preserve">a decline from </w:t>
      </w:r>
      <w:proofErr w:type="spellStart"/>
      <w:r w:rsidR="00931255" w:rsidRPr="0077627D">
        <w:t>Rs</w:t>
      </w:r>
      <w:proofErr w:type="spellEnd"/>
      <w:r w:rsidR="00931255" w:rsidRPr="0077627D">
        <w:t>. 7</w:t>
      </w:r>
      <w:r w:rsidR="00851C83">
        <w:t>,</w:t>
      </w:r>
      <w:r w:rsidR="00931255" w:rsidRPr="0077627D">
        <w:t xml:space="preserve">775 crore </w:t>
      </w:r>
      <w:r w:rsidR="007E531A" w:rsidRPr="0077627D">
        <w:t xml:space="preserve">in 2016 </w:t>
      </w:r>
      <w:r w:rsidR="00851C83">
        <w:t>(</w:t>
      </w:r>
      <w:r w:rsidR="007E531A" w:rsidRPr="0077627D">
        <w:t>BE</w:t>
      </w:r>
      <w:r w:rsidR="00851C83">
        <w:t>)</w:t>
      </w:r>
      <w:r w:rsidR="007E531A" w:rsidRPr="0077627D">
        <w:t xml:space="preserve"> </w:t>
      </w:r>
      <w:r w:rsidR="00931255" w:rsidRPr="0077627D">
        <w:t xml:space="preserve">to </w:t>
      </w:r>
      <w:proofErr w:type="spellStart"/>
      <w:r w:rsidR="00931255" w:rsidRPr="0077627D">
        <w:t>Rs</w:t>
      </w:r>
      <w:proofErr w:type="spellEnd"/>
      <w:r w:rsidR="00931255" w:rsidRPr="0077627D">
        <w:t>. 5</w:t>
      </w:r>
      <w:r w:rsidR="00851C83">
        <w:t>,</w:t>
      </w:r>
      <w:r w:rsidR="00931255" w:rsidRPr="0077627D">
        <w:t>966 crore</w:t>
      </w:r>
      <w:r w:rsidR="007E531A" w:rsidRPr="0077627D">
        <w:t xml:space="preserve"> in 2017-18 </w:t>
      </w:r>
      <w:r w:rsidR="00851C83">
        <w:t>(</w:t>
      </w:r>
      <w:r w:rsidR="007E531A" w:rsidRPr="0077627D">
        <w:t>BE</w:t>
      </w:r>
      <w:r w:rsidR="00851C83">
        <w:t>)</w:t>
      </w:r>
      <w:r w:rsidR="00931255" w:rsidRPr="0077627D">
        <w:t xml:space="preserve">. </w:t>
      </w:r>
    </w:p>
    <w:p w:rsidR="00D947E8" w:rsidRPr="0077627D" w:rsidRDefault="00D947E8" w:rsidP="005224F3">
      <w:pPr>
        <w:jc w:val="both"/>
      </w:pPr>
    </w:p>
    <w:p w:rsidR="00832BC9" w:rsidRPr="0077627D" w:rsidRDefault="007E531A" w:rsidP="005224F3">
      <w:pPr>
        <w:spacing w:after="0"/>
        <w:jc w:val="both"/>
      </w:pPr>
      <w:r w:rsidRPr="0077627D">
        <w:lastRenderedPageBreak/>
        <w:t xml:space="preserve">Table 5.3: </w:t>
      </w:r>
      <w:r w:rsidR="0077627D">
        <w:t>Allocations under the RCH Flexi Pool (</w:t>
      </w:r>
      <w:proofErr w:type="spellStart"/>
      <w:r w:rsidR="0077627D">
        <w:t>Rs</w:t>
      </w:r>
      <w:proofErr w:type="spellEnd"/>
      <w:r w:rsidR="0077627D">
        <w:t>. crore)</w:t>
      </w:r>
    </w:p>
    <w:tbl>
      <w:tblPr>
        <w:tblStyle w:val="TableGrid"/>
        <w:tblW w:w="0" w:type="auto"/>
        <w:tblLook w:val="04A0" w:firstRow="1" w:lastRow="0" w:firstColumn="1" w:lastColumn="0" w:noHBand="0" w:noVBand="1"/>
      </w:tblPr>
      <w:tblGrid>
        <w:gridCol w:w="3936"/>
        <w:gridCol w:w="1275"/>
        <w:gridCol w:w="1276"/>
        <w:gridCol w:w="1241"/>
        <w:gridCol w:w="1347"/>
      </w:tblGrid>
      <w:tr w:rsidR="008A6BAF" w:rsidRPr="0077627D" w:rsidTr="0077627D">
        <w:trPr>
          <w:trHeight w:val="270"/>
        </w:trPr>
        <w:tc>
          <w:tcPr>
            <w:tcW w:w="3936" w:type="dxa"/>
          </w:tcPr>
          <w:p w:rsidR="008A6BAF" w:rsidRPr="0077627D" w:rsidRDefault="008A6BAF" w:rsidP="005224F3">
            <w:pPr>
              <w:spacing w:line="276" w:lineRule="auto"/>
              <w:jc w:val="both"/>
            </w:pPr>
          </w:p>
        </w:tc>
        <w:tc>
          <w:tcPr>
            <w:tcW w:w="1275" w:type="dxa"/>
          </w:tcPr>
          <w:p w:rsidR="008A6BAF" w:rsidRPr="0077627D" w:rsidRDefault="008A6BAF" w:rsidP="005224F3">
            <w:pPr>
              <w:spacing w:line="276" w:lineRule="auto"/>
              <w:jc w:val="both"/>
            </w:pPr>
            <w:r w:rsidRPr="0077627D">
              <w:t>2015-16 (A)</w:t>
            </w:r>
          </w:p>
        </w:tc>
        <w:tc>
          <w:tcPr>
            <w:tcW w:w="1276" w:type="dxa"/>
          </w:tcPr>
          <w:p w:rsidR="008A6BAF" w:rsidRPr="0077627D" w:rsidRDefault="008A6BAF" w:rsidP="005224F3">
            <w:pPr>
              <w:spacing w:line="276" w:lineRule="auto"/>
              <w:jc w:val="both"/>
            </w:pPr>
            <w:r w:rsidRPr="0077627D">
              <w:t>2016-17 (BE)</w:t>
            </w:r>
          </w:p>
        </w:tc>
        <w:tc>
          <w:tcPr>
            <w:tcW w:w="1241" w:type="dxa"/>
          </w:tcPr>
          <w:p w:rsidR="008A6BAF" w:rsidRPr="0077627D" w:rsidRDefault="008A6BAF" w:rsidP="005224F3">
            <w:pPr>
              <w:spacing w:line="276" w:lineRule="auto"/>
              <w:jc w:val="both"/>
            </w:pPr>
            <w:r w:rsidRPr="0077627D">
              <w:t>2016-17 (RE)</w:t>
            </w:r>
          </w:p>
        </w:tc>
        <w:tc>
          <w:tcPr>
            <w:tcW w:w="1347" w:type="dxa"/>
          </w:tcPr>
          <w:p w:rsidR="008A6BAF" w:rsidRPr="0077627D" w:rsidRDefault="008A6BAF" w:rsidP="005224F3">
            <w:pPr>
              <w:spacing w:line="276" w:lineRule="auto"/>
              <w:jc w:val="both"/>
            </w:pPr>
            <w:r w:rsidRPr="0077627D">
              <w:t>2017-18 (BE)</w:t>
            </w:r>
          </w:p>
        </w:tc>
      </w:tr>
      <w:tr w:rsidR="008A6BAF" w:rsidRPr="0077627D" w:rsidTr="0077627D">
        <w:trPr>
          <w:trHeight w:val="270"/>
        </w:trPr>
        <w:tc>
          <w:tcPr>
            <w:tcW w:w="3936" w:type="dxa"/>
          </w:tcPr>
          <w:p w:rsidR="008A6BAF" w:rsidRPr="0077627D" w:rsidRDefault="008A6BAF" w:rsidP="005224F3">
            <w:pPr>
              <w:spacing w:line="276" w:lineRule="auto"/>
              <w:jc w:val="both"/>
            </w:pPr>
            <w:r w:rsidRPr="0077627D">
              <w:t>RCH Flexi Pool (incl. RI, PPI, NIDDCP, etc.)</w:t>
            </w:r>
          </w:p>
        </w:tc>
        <w:tc>
          <w:tcPr>
            <w:tcW w:w="1275" w:type="dxa"/>
          </w:tcPr>
          <w:p w:rsidR="008A6BAF" w:rsidRPr="0077627D" w:rsidRDefault="008A6BAF" w:rsidP="005224F3">
            <w:pPr>
              <w:spacing w:line="276" w:lineRule="auto"/>
              <w:jc w:val="both"/>
            </w:pPr>
            <w:r w:rsidRPr="0077627D">
              <w:t>6489.8</w:t>
            </w:r>
          </w:p>
        </w:tc>
        <w:tc>
          <w:tcPr>
            <w:tcW w:w="1276" w:type="dxa"/>
          </w:tcPr>
          <w:p w:rsidR="008A6BAF" w:rsidRPr="0077627D" w:rsidRDefault="008A6BAF" w:rsidP="005224F3">
            <w:pPr>
              <w:spacing w:line="276" w:lineRule="auto"/>
              <w:jc w:val="both"/>
            </w:pPr>
            <w:r w:rsidRPr="0077627D">
              <w:t>7774.9</w:t>
            </w:r>
          </w:p>
        </w:tc>
        <w:tc>
          <w:tcPr>
            <w:tcW w:w="1241" w:type="dxa"/>
          </w:tcPr>
          <w:p w:rsidR="008A6BAF" w:rsidRPr="0077627D" w:rsidRDefault="008A6BAF" w:rsidP="005224F3">
            <w:pPr>
              <w:spacing w:line="276" w:lineRule="auto"/>
              <w:jc w:val="both"/>
            </w:pPr>
            <w:r w:rsidRPr="0077627D">
              <w:t>7884.9</w:t>
            </w:r>
          </w:p>
        </w:tc>
        <w:tc>
          <w:tcPr>
            <w:tcW w:w="1347" w:type="dxa"/>
          </w:tcPr>
          <w:p w:rsidR="008A6BAF" w:rsidRPr="0077627D" w:rsidRDefault="008A6BAF" w:rsidP="005224F3">
            <w:pPr>
              <w:spacing w:line="276" w:lineRule="auto"/>
              <w:jc w:val="both"/>
            </w:pPr>
            <w:r w:rsidRPr="0077627D">
              <w:t>5966.6</w:t>
            </w:r>
          </w:p>
        </w:tc>
      </w:tr>
    </w:tbl>
    <w:p w:rsidR="00851C83" w:rsidRPr="00F23835" w:rsidRDefault="00851C83" w:rsidP="00851C83">
      <w:pPr>
        <w:widowControl w:val="0"/>
        <w:spacing w:after="0"/>
        <w:ind w:right="-20"/>
        <w:jc w:val="both"/>
        <w:rPr>
          <w:rFonts w:eastAsia="Calibri" w:cs="Calibri"/>
          <w:sz w:val="18"/>
          <w:szCs w:val="18"/>
        </w:rPr>
      </w:pPr>
      <w:r w:rsidRPr="00753049">
        <w:rPr>
          <w:rFonts w:eastAsia="Calibri" w:cs="Calibri"/>
          <w:i/>
          <w:iCs/>
          <w:sz w:val="18"/>
          <w:szCs w:val="18"/>
        </w:rPr>
        <w:t>Source:</w:t>
      </w:r>
      <w:r>
        <w:rPr>
          <w:rFonts w:eastAsia="Calibri" w:cs="Calibri"/>
          <w:sz w:val="18"/>
          <w:szCs w:val="18"/>
        </w:rPr>
        <w:t xml:space="preserve"> Compiled by CBGA from Union Budget 2017-18.</w:t>
      </w:r>
    </w:p>
    <w:p w:rsidR="00D947E8" w:rsidRDefault="00D947E8" w:rsidP="00BB5B51">
      <w:pPr>
        <w:jc w:val="both"/>
      </w:pPr>
    </w:p>
    <w:p w:rsidR="0077627D" w:rsidRPr="0077627D" w:rsidRDefault="0077627D" w:rsidP="00D947E8">
      <w:pPr>
        <w:jc w:val="both"/>
        <w:rPr>
          <w:lang w:val="en-IN"/>
        </w:rPr>
      </w:pPr>
      <w:r>
        <w:t>Given that large number of maternal deaths and high rates of infant mortality are still prevalent, there needs to be</w:t>
      </w:r>
      <w:r w:rsidR="0068204E">
        <w:t xml:space="preserve"> a</w:t>
      </w:r>
      <w:r>
        <w:t xml:space="preserve"> </w:t>
      </w:r>
      <w:r w:rsidR="003C0670">
        <w:t>sharper</w:t>
      </w:r>
      <w:r>
        <w:t xml:space="preserve"> focus on components under RCH Flexi pool. </w:t>
      </w:r>
      <w:r w:rsidR="00843208">
        <w:t>T</w:t>
      </w:r>
      <w:r w:rsidR="00843208">
        <w:rPr>
          <w:lang w:val="en-IN"/>
        </w:rPr>
        <w:t xml:space="preserve">here is a crucial need for the state to step up investment for reproductive and child health. </w:t>
      </w:r>
      <w:r w:rsidR="00843208">
        <w:t xml:space="preserve">The decline under RCH Flexi pool, thus, needs to be </w:t>
      </w:r>
      <w:proofErr w:type="spellStart"/>
      <w:r w:rsidR="00843208">
        <w:t>analysed</w:t>
      </w:r>
      <w:proofErr w:type="spellEnd"/>
      <w:r w:rsidR="00843208">
        <w:t xml:space="preserve"> in a disaggregated manner to assess under which components the cuts have been made. </w:t>
      </w:r>
    </w:p>
    <w:p w:rsidR="000473F2" w:rsidRDefault="00D52024" w:rsidP="00BB5B51">
      <w:pPr>
        <w:spacing w:after="0"/>
        <w:jc w:val="both"/>
      </w:pPr>
      <w:r>
        <w:t xml:space="preserve">Some of the </w:t>
      </w:r>
      <w:r w:rsidR="00B92302">
        <w:t xml:space="preserve">sub-components under NHM which have received substantially </w:t>
      </w:r>
      <w:r w:rsidR="008E383D">
        <w:t xml:space="preserve">higher </w:t>
      </w:r>
      <w:r w:rsidR="00B92302">
        <w:t>allocations</w:t>
      </w:r>
      <w:r w:rsidR="008E383D">
        <w:t xml:space="preserve"> than previous year</w:t>
      </w:r>
      <w:r w:rsidR="00B92302">
        <w:t xml:space="preserve"> include </w:t>
      </w:r>
      <w:r>
        <w:t>“</w:t>
      </w:r>
      <w:r w:rsidR="00B92302">
        <w:t>Health System Strengthening under NRHM</w:t>
      </w:r>
      <w:r>
        <w:t>”</w:t>
      </w:r>
      <w:r w:rsidR="00B92302">
        <w:t xml:space="preserve"> and </w:t>
      </w:r>
      <w:r>
        <w:t>“</w:t>
      </w:r>
      <w:r w:rsidR="00B92302">
        <w:t>Human Resources for Health and Medical Education</w:t>
      </w:r>
      <w:r>
        <w:t>”</w:t>
      </w:r>
      <w:r w:rsidR="00B92302">
        <w:t xml:space="preserve">. </w:t>
      </w:r>
      <w:r w:rsidR="008E383D">
        <w:t xml:space="preserve">For </w:t>
      </w:r>
      <w:r w:rsidR="000E07DC">
        <w:t>health system strengthening</w:t>
      </w:r>
      <w:r w:rsidR="005D77E5">
        <w:t>,</w:t>
      </w:r>
      <w:r w:rsidR="000E07DC">
        <w:t xml:space="preserve"> the allocation have increased from </w:t>
      </w:r>
      <w:proofErr w:type="spellStart"/>
      <w:r w:rsidR="000E07DC">
        <w:t>Rs</w:t>
      </w:r>
      <w:proofErr w:type="spellEnd"/>
      <w:r w:rsidR="000E07DC">
        <w:t>. 5</w:t>
      </w:r>
      <w:r w:rsidR="005D77E5">
        <w:t>,</w:t>
      </w:r>
      <w:r w:rsidR="000E07DC">
        <w:t xml:space="preserve">226 crore in 2016-17 </w:t>
      </w:r>
      <w:r w:rsidR="005D77E5">
        <w:t>(</w:t>
      </w:r>
      <w:r w:rsidR="000E07DC">
        <w:t>BE</w:t>
      </w:r>
      <w:r w:rsidR="005D77E5">
        <w:t>)</w:t>
      </w:r>
      <w:r w:rsidR="000E07DC">
        <w:t xml:space="preserve"> to </w:t>
      </w:r>
      <w:proofErr w:type="spellStart"/>
      <w:r w:rsidR="000E07DC">
        <w:t>Rs</w:t>
      </w:r>
      <w:proofErr w:type="spellEnd"/>
      <w:r w:rsidR="000E07DC">
        <w:t>. 8</w:t>
      </w:r>
      <w:r w:rsidR="005D77E5">
        <w:t>,</w:t>
      </w:r>
      <w:r w:rsidR="000E07DC">
        <w:t xml:space="preserve">383 crore in 2017-18 </w:t>
      </w:r>
      <w:r w:rsidR="005D77E5">
        <w:t>(</w:t>
      </w:r>
      <w:r w:rsidR="000E07DC">
        <w:t>BE</w:t>
      </w:r>
      <w:r w:rsidR="005D77E5">
        <w:t>)</w:t>
      </w:r>
      <w:r w:rsidR="000E07DC">
        <w:t xml:space="preserve">.  </w:t>
      </w:r>
      <w:r w:rsidR="00B92302">
        <w:t>The bulk of the increase</w:t>
      </w:r>
      <w:r w:rsidR="000E07DC">
        <w:t xml:space="preserve"> under “Human Resources for Health and Medical Education”</w:t>
      </w:r>
      <w:r w:rsidR="00B92302">
        <w:t xml:space="preserve"> is for upgrading District Hospitals, allocation for which increases from </w:t>
      </w:r>
      <w:proofErr w:type="spellStart"/>
      <w:r w:rsidR="00B92302">
        <w:t>Rs</w:t>
      </w:r>
      <w:proofErr w:type="spellEnd"/>
      <w:r w:rsidR="00B92302">
        <w:t xml:space="preserve">. 445 crore in 2016-17 </w:t>
      </w:r>
      <w:r w:rsidR="005D77E5">
        <w:t>(</w:t>
      </w:r>
      <w:r w:rsidR="00B92302">
        <w:t>BE</w:t>
      </w:r>
      <w:r w:rsidR="005D77E5">
        <w:t>)</w:t>
      </w:r>
      <w:r w:rsidR="00B92302">
        <w:t xml:space="preserve"> to </w:t>
      </w:r>
      <w:proofErr w:type="spellStart"/>
      <w:r w:rsidR="00B92302">
        <w:t>Rs</w:t>
      </w:r>
      <w:proofErr w:type="spellEnd"/>
      <w:r w:rsidR="00B92302">
        <w:t>. 3</w:t>
      </w:r>
      <w:r w:rsidR="005D77E5">
        <w:t>,</w:t>
      </w:r>
      <w:r w:rsidR="00B92302">
        <w:t xml:space="preserve">300 crore in 2017-18 </w:t>
      </w:r>
      <w:r w:rsidR="005D77E5">
        <w:t>(</w:t>
      </w:r>
      <w:r w:rsidR="00B92302">
        <w:t>BE</w:t>
      </w:r>
      <w:r w:rsidR="005D77E5">
        <w:t>)</w:t>
      </w:r>
      <w:r w:rsidR="00B92302">
        <w:t xml:space="preserve">. </w:t>
      </w:r>
      <w:r w:rsidR="000E07DC" w:rsidRPr="00843208">
        <w:t>The Parliamentary Standing Committee on Health and Family Welfare also brought to the fore the issue of shortages in human resources in the health sector which have affected the delivery of services adversely.</w:t>
      </w:r>
      <w:r w:rsidR="000E07DC">
        <w:t xml:space="preserve"> </w:t>
      </w:r>
      <w:r w:rsidR="00843208">
        <w:t xml:space="preserve">This seems to have been followed up by the government with earnest. </w:t>
      </w:r>
      <w:r w:rsidR="000473F2" w:rsidRPr="00664541">
        <w:t>T</w:t>
      </w:r>
      <w:r w:rsidR="00843208" w:rsidRPr="00664541">
        <w:t>he increase under these heads would help improve the quality of healthcare delivery.</w:t>
      </w:r>
      <w:r w:rsidR="00843208">
        <w:t xml:space="preserve"> </w:t>
      </w:r>
    </w:p>
    <w:p w:rsidR="000473F2" w:rsidRDefault="000473F2" w:rsidP="00BB5B51">
      <w:pPr>
        <w:spacing w:after="0"/>
        <w:jc w:val="both"/>
      </w:pPr>
    </w:p>
    <w:p w:rsidR="005224F3" w:rsidRDefault="000473F2" w:rsidP="00BB5B51">
      <w:pPr>
        <w:spacing w:after="0"/>
        <w:jc w:val="both"/>
      </w:pPr>
      <w:r>
        <w:t xml:space="preserve">Thus, the increase in the overall allocations for the health budget and emphasis on dealing with the shortages pertaining to human resources and infrastructure are steps in the right direction. These need to be augmented and strengthened. The less than adequate focus on availability of generic medicines and reproductive and child healthcare is a cause of concern. </w:t>
      </w:r>
      <w:r w:rsidR="000E07DC" w:rsidRPr="00843208">
        <w:t>The</w:t>
      </w:r>
      <w:r>
        <w:t xml:space="preserve">re need to be more concerted efforts in order to </w:t>
      </w:r>
      <w:r w:rsidR="003834A7" w:rsidRPr="00843208">
        <w:t xml:space="preserve">ensure public provisioning of universal and </w:t>
      </w:r>
      <w:r w:rsidR="000E07DC" w:rsidRPr="00843208">
        <w:t xml:space="preserve">affordable healthcare </w:t>
      </w:r>
      <w:r w:rsidR="00BB5B51" w:rsidRPr="00843208">
        <w:t>for</w:t>
      </w:r>
      <w:r w:rsidR="003834A7" w:rsidRPr="00843208">
        <w:t xml:space="preserve"> </w:t>
      </w:r>
      <w:r w:rsidR="000E07DC" w:rsidRPr="00843208">
        <w:t>all.</w:t>
      </w:r>
      <w:r>
        <w:t xml:space="preserve"> </w:t>
      </w:r>
      <w:r w:rsidR="000E07DC">
        <w:t xml:space="preserve">  </w:t>
      </w:r>
    </w:p>
    <w:p w:rsidR="0072743B" w:rsidRDefault="0072743B" w:rsidP="003834A7">
      <w:pPr>
        <w:spacing w:after="0"/>
        <w:jc w:val="both"/>
      </w:pPr>
    </w:p>
    <w:p w:rsidR="007D2BE0" w:rsidRPr="0072743B" w:rsidRDefault="007D2BE0" w:rsidP="0072743B">
      <w:pPr>
        <w:spacing w:after="0"/>
        <w:jc w:val="both"/>
      </w:pPr>
    </w:p>
    <w:sectPr w:rsidR="007D2BE0" w:rsidRPr="00727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7703C"/>
    <w:multiLevelType w:val="hybridMultilevel"/>
    <w:tmpl w:val="5C080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B34683"/>
    <w:multiLevelType w:val="hybridMultilevel"/>
    <w:tmpl w:val="B88A0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D65CDA"/>
    <w:multiLevelType w:val="hybridMultilevel"/>
    <w:tmpl w:val="CBDA0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F041528"/>
    <w:multiLevelType w:val="hybridMultilevel"/>
    <w:tmpl w:val="E00A8098"/>
    <w:lvl w:ilvl="0" w:tplc="6E424F62">
      <w:start w:val="1"/>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EBD"/>
    <w:rsid w:val="0003444F"/>
    <w:rsid w:val="000473F2"/>
    <w:rsid w:val="00074060"/>
    <w:rsid w:val="000B78B1"/>
    <w:rsid w:val="000C33E6"/>
    <w:rsid w:val="000E07DC"/>
    <w:rsid w:val="000E3CA3"/>
    <w:rsid w:val="00120A60"/>
    <w:rsid w:val="00170E7D"/>
    <w:rsid w:val="00193417"/>
    <w:rsid w:val="003834A7"/>
    <w:rsid w:val="00394CE3"/>
    <w:rsid w:val="003C0670"/>
    <w:rsid w:val="00433409"/>
    <w:rsid w:val="00454F84"/>
    <w:rsid w:val="004758A1"/>
    <w:rsid w:val="004D0910"/>
    <w:rsid w:val="005120D8"/>
    <w:rsid w:val="005224F3"/>
    <w:rsid w:val="00563FF5"/>
    <w:rsid w:val="005B1BB7"/>
    <w:rsid w:val="005D77E5"/>
    <w:rsid w:val="005E1B56"/>
    <w:rsid w:val="00632005"/>
    <w:rsid w:val="00652AB7"/>
    <w:rsid w:val="00664541"/>
    <w:rsid w:val="0068204E"/>
    <w:rsid w:val="0071291C"/>
    <w:rsid w:val="0072743B"/>
    <w:rsid w:val="00752188"/>
    <w:rsid w:val="0077627D"/>
    <w:rsid w:val="007762FB"/>
    <w:rsid w:val="00777803"/>
    <w:rsid w:val="007877DE"/>
    <w:rsid w:val="007C0665"/>
    <w:rsid w:val="007C20A4"/>
    <w:rsid w:val="007D2BE0"/>
    <w:rsid w:val="007E531A"/>
    <w:rsid w:val="00804807"/>
    <w:rsid w:val="00832BC9"/>
    <w:rsid w:val="00843208"/>
    <w:rsid w:val="00851C83"/>
    <w:rsid w:val="00864D54"/>
    <w:rsid w:val="008922F3"/>
    <w:rsid w:val="008A6BAF"/>
    <w:rsid w:val="008B271E"/>
    <w:rsid w:val="008B62B3"/>
    <w:rsid w:val="008E383D"/>
    <w:rsid w:val="00915E47"/>
    <w:rsid w:val="00931255"/>
    <w:rsid w:val="00A95536"/>
    <w:rsid w:val="00AA1572"/>
    <w:rsid w:val="00AE2D46"/>
    <w:rsid w:val="00B441CA"/>
    <w:rsid w:val="00B92302"/>
    <w:rsid w:val="00BB589A"/>
    <w:rsid w:val="00BB5B51"/>
    <w:rsid w:val="00BD1395"/>
    <w:rsid w:val="00BE38AC"/>
    <w:rsid w:val="00BE45B6"/>
    <w:rsid w:val="00BF3E0B"/>
    <w:rsid w:val="00C47B19"/>
    <w:rsid w:val="00C82AC2"/>
    <w:rsid w:val="00C86C0C"/>
    <w:rsid w:val="00CA223F"/>
    <w:rsid w:val="00CD1184"/>
    <w:rsid w:val="00CD1907"/>
    <w:rsid w:val="00D020CB"/>
    <w:rsid w:val="00D1575F"/>
    <w:rsid w:val="00D41EBD"/>
    <w:rsid w:val="00D52024"/>
    <w:rsid w:val="00D947E8"/>
    <w:rsid w:val="00DD51CB"/>
    <w:rsid w:val="00DD629E"/>
    <w:rsid w:val="00E07F2A"/>
    <w:rsid w:val="00E50713"/>
    <w:rsid w:val="00ED77C4"/>
    <w:rsid w:val="00EF1BF4"/>
    <w:rsid w:val="00F02521"/>
    <w:rsid w:val="00F23835"/>
    <w:rsid w:val="00F246D5"/>
    <w:rsid w:val="00F61398"/>
    <w:rsid w:val="00F76865"/>
    <w:rsid w:val="00FC0A8C"/>
    <w:rsid w:val="00FE28BB"/>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EB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90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0CB"/>
    <w:rPr>
      <w:rFonts w:ascii="Tahoma" w:hAnsi="Tahoma" w:cs="Tahoma"/>
      <w:sz w:val="16"/>
      <w:szCs w:val="16"/>
      <w:lang w:val="en-US"/>
    </w:rPr>
  </w:style>
  <w:style w:type="paragraph" w:styleId="ListParagraph">
    <w:name w:val="List Paragraph"/>
    <w:basedOn w:val="Normal"/>
    <w:uiPriority w:val="34"/>
    <w:qFormat/>
    <w:rsid w:val="00DD629E"/>
    <w:pPr>
      <w:ind w:left="720"/>
      <w:contextualSpacing/>
    </w:pPr>
  </w:style>
  <w:style w:type="paragraph" w:styleId="NoSpacing">
    <w:name w:val="No Spacing"/>
    <w:uiPriority w:val="1"/>
    <w:qFormat/>
    <w:rsid w:val="00864D54"/>
    <w:pPr>
      <w:spacing w:after="0" w:line="240" w:lineRule="auto"/>
    </w:pPr>
    <w:rPr>
      <w:lang w:val="en-US"/>
    </w:rPr>
  </w:style>
  <w:style w:type="character" w:styleId="CommentReference">
    <w:name w:val="annotation reference"/>
    <w:basedOn w:val="DefaultParagraphFont"/>
    <w:uiPriority w:val="99"/>
    <w:semiHidden/>
    <w:unhideWhenUsed/>
    <w:rsid w:val="00193417"/>
    <w:rPr>
      <w:sz w:val="16"/>
      <w:szCs w:val="16"/>
    </w:rPr>
  </w:style>
  <w:style w:type="paragraph" w:styleId="CommentText">
    <w:name w:val="annotation text"/>
    <w:basedOn w:val="Normal"/>
    <w:link w:val="CommentTextChar"/>
    <w:uiPriority w:val="99"/>
    <w:semiHidden/>
    <w:unhideWhenUsed/>
    <w:rsid w:val="00193417"/>
    <w:pPr>
      <w:spacing w:line="240" w:lineRule="auto"/>
    </w:pPr>
    <w:rPr>
      <w:sz w:val="20"/>
      <w:szCs w:val="20"/>
    </w:rPr>
  </w:style>
  <w:style w:type="character" w:customStyle="1" w:styleId="CommentTextChar">
    <w:name w:val="Comment Text Char"/>
    <w:basedOn w:val="DefaultParagraphFont"/>
    <w:link w:val="CommentText"/>
    <w:uiPriority w:val="99"/>
    <w:semiHidden/>
    <w:rsid w:val="00193417"/>
    <w:rPr>
      <w:sz w:val="20"/>
      <w:szCs w:val="20"/>
      <w:lang w:val="en-US"/>
    </w:rPr>
  </w:style>
  <w:style w:type="paragraph" w:styleId="CommentSubject">
    <w:name w:val="annotation subject"/>
    <w:basedOn w:val="CommentText"/>
    <w:next w:val="CommentText"/>
    <w:link w:val="CommentSubjectChar"/>
    <w:uiPriority w:val="99"/>
    <w:semiHidden/>
    <w:unhideWhenUsed/>
    <w:rsid w:val="00193417"/>
    <w:rPr>
      <w:b/>
      <w:bCs/>
    </w:rPr>
  </w:style>
  <w:style w:type="character" w:customStyle="1" w:styleId="CommentSubjectChar">
    <w:name w:val="Comment Subject Char"/>
    <w:basedOn w:val="CommentTextChar"/>
    <w:link w:val="CommentSubject"/>
    <w:uiPriority w:val="99"/>
    <w:semiHidden/>
    <w:rsid w:val="00193417"/>
    <w:rPr>
      <w:b/>
      <w:bCs/>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EBD"/>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190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02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0CB"/>
    <w:rPr>
      <w:rFonts w:ascii="Tahoma" w:hAnsi="Tahoma" w:cs="Tahoma"/>
      <w:sz w:val="16"/>
      <w:szCs w:val="16"/>
      <w:lang w:val="en-US"/>
    </w:rPr>
  </w:style>
  <w:style w:type="paragraph" w:styleId="ListParagraph">
    <w:name w:val="List Paragraph"/>
    <w:basedOn w:val="Normal"/>
    <w:uiPriority w:val="34"/>
    <w:qFormat/>
    <w:rsid w:val="00DD629E"/>
    <w:pPr>
      <w:ind w:left="720"/>
      <w:contextualSpacing/>
    </w:pPr>
  </w:style>
  <w:style w:type="paragraph" w:styleId="NoSpacing">
    <w:name w:val="No Spacing"/>
    <w:uiPriority w:val="1"/>
    <w:qFormat/>
    <w:rsid w:val="00864D54"/>
    <w:pPr>
      <w:spacing w:after="0" w:line="240" w:lineRule="auto"/>
    </w:pPr>
    <w:rPr>
      <w:lang w:val="en-US"/>
    </w:rPr>
  </w:style>
  <w:style w:type="character" w:styleId="CommentReference">
    <w:name w:val="annotation reference"/>
    <w:basedOn w:val="DefaultParagraphFont"/>
    <w:uiPriority w:val="99"/>
    <w:semiHidden/>
    <w:unhideWhenUsed/>
    <w:rsid w:val="00193417"/>
    <w:rPr>
      <w:sz w:val="16"/>
      <w:szCs w:val="16"/>
    </w:rPr>
  </w:style>
  <w:style w:type="paragraph" w:styleId="CommentText">
    <w:name w:val="annotation text"/>
    <w:basedOn w:val="Normal"/>
    <w:link w:val="CommentTextChar"/>
    <w:uiPriority w:val="99"/>
    <w:semiHidden/>
    <w:unhideWhenUsed/>
    <w:rsid w:val="00193417"/>
    <w:pPr>
      <w:spacing w:line="240" w:lineRule="auto"/>
    </w:pPr>
    <w:rPr>
      <w:sz w:val="20"/>
      <w:szCs w:val="20"/>
    </w:rPr>
  </w:style>
  <w:style w:type="character" w:customStyle="1" w:styleId="CommentTextChar">
    <w:name w:val="Comment Text Char"/>
    <w:basedOn w:val="DefaultParagraphFont"/>
    <w:link w:val="CommentText"/>
    <w:uiPriority w:val="99"/>
    <w:semiHidden/>
    <w:rsid w:val="00193417"/>
    <w:rPr>
      <w:sz w:val="20"/>
      <w:szCs w:val="20"/>
      <w:lang w:val="en-US"/>
    </w:rPr>
  </w:style>
  <w:style w:type="paragraph" w:styleId="CommentSubject">
    <w:name w:val="annotation subject"/>
    <w:basedOn w:val="CommentText"/>
    <w:next w:val="CommentText"/>
    <w:link w:val="CommentSubjectChar"/>
    <w:uiPriority w:val="99"/>
    <w:semiHidden/>
    <w:unhideWhenUsed/>
    <w:rsid w:val="00193417"/>
    <w:rPr>
      <w:b/>
      <w:bCs/>
    </w:rPr>
  </w:style>
  <w:style w:type="character" w:customStyle="1" w:styleId="CommentSubjectChar">
    <w:name w:val="Comment Subject Char"/>
    <w:basedOn w:val="CommentTextChar"/>
    <w:link w:val="CommentSubject"/>
    <w:uiPriority w:val="99"/>
    <w:semiHidden/>
    <w:rsid w:val="00193417"/>
    <w:rPr>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84216">
      <w:bodyDiv w:val="1"/>
      <w:marLeft w:val="0"/>
      <w:marRight w:val="0"/>
      <w:marTop w:val="0"/>
      <w:marBottom w:val="0"/>
      <w:divBdr>
        <w:top w:val="none" w:sz="0" w:space="0" w:color="auto"/>
        <w:left w:val="none" w:sz="0" w:space="0" w:color="auto"/>
        <w:bottom w:val="none" w:sz="0" w:space="0" w:color="auto"/>
        <w:right w:val="none" w:sz="0" w:space="0" w:color="auto"/>
      </w:divBdr>
      <w:divsChild>
        <w:div w:id="236673734">
          <w:marLeft w:val="0"/>
          <w:marRight w:val="0"/>
          <w:marTop w:val="0"/>
          <w:marBottom w:val="0"/>
          <w:divBdr>
            <w:top w:val="none" w:sz="0" w:space="0" w:color="auto"/>
            <w:left w:val="none" w:sz="0" w:space="0" w:color="auto"/>
            <w:bottom w:val="none" w:sz="0" w:space="0" w:color="auto"/>
            <w:right w:val="none" w:sz="0" w:space="0" w:color="auto"/>
          </w:divBdr>
        </w:div>
      </w:divsChild>
    </w:div>
    <w:div w:id="1207790744">
      <w:bodyDiv w:val="1"/>
      <w:marLeft w:val="0"/>
      <w:marRight w:val="0"/>
      <w:marTop w:val="0"/>
      <w:marBottom w:val="0"/>
      <w:divBdr>
        <w:top w:val="none" w:sz="0" w:space="0" w:color="auto"/>
        <w:left w:val="none" w:sz="0" w:space="0" w:color="auto"/>
        <w:bottom w:val="none" w:sz="0" w:space="0" w:color="auto"/>
        <w:right w:val="none" w:sz="0" w:space="0" w:color="auto"/>
      </w:divBdr>
    </w:div>
    <w:div w:id="1424961362">
      <w:bodyDiv w:val="1"/>
      <w:marLeft w:val="0"/>
      <w:marRight w:val="0"/>
      <w:marTop w:val="0"/>
      <w:marBottom w:val="0"/>
      <w:divBdr>
        <w:top w:val="none" w:sz="0" w:space="0" w:color="auto"/>
        <w:left w:val="none" w:sz="0" w:space="0" w:color="auto"/>
        <w:bottom w:val="none" w:sz="0" w:space="0" w:color="auto"/>
        <w:right w:val="none" w:sz="0" w:space="0" w:color="auto"/>
      </w:divBdr>
      <w:divsChild>
        <w:div w:id="362248119">
          <w:marLeft w:val="0"/>
          <w:marRight w:val="0"/>
          <w:marTop w:val="0"/>
          <w:marBottom w:val="0"/>
          <w:divBdr>
            <w:top w:val="none" w:sz="0" w:space="0" w:color="auto"/>
            <w:left w:val="none" w:sz="0" w:space="0" w:color="auto"/>
            <w:bottom w:val="none" w:sz="0" w:space="0" w:color="auto"/>
            <w:right w:val="none" w:sz="0" w:space="0" w:color="auto"/>
          </w:divBdr>
        </w:div>
      </w:divsChild>
    </w:div>
    <w:div w:id="179444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Handover-Happy\AUB%202017-18\2017-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7460622841719711E-2"/>
          <c:y val="4.3939189024956485E-2"/>
          <c:w val="0.86823901786680724"/>
          <c:h val="0.69618164514715675"/>
        </c:manualLayout>
      </c:layout>
      <c:barChart>
        <c:barDir val="col"/>
        <c:grouping val="clustered"/>
        <c:varyColors val="0"/>
        <c:ser>
          <c:idx val="0"/>
          <c:order val="0"/>
          <c:tx>
            <c:strRef>
              <c:f>Sheet1!$A$34</c:f>
              <c:strCache>
                <c:ptCount val="1"/>
                <c:pt idx="0">
                  <c:v>Total NHM as percent of MoHFW (incl. AYUSH)</c:v>
                </c:pt>
              </c:strCache>
            </c:strRef>
          </c:tx>
          <c:invertIfNegative val="0"/>
          <c:dLbls>
            <c:dLbl>
              <c:idx val="6"/>
              <c:layout>
                <c:manualLayout>
                  <c:x val="0"/>
                  <c:y val="2.6295020713603685E-2"/>
                </c:manualLayout>
              </c:layout>
              <c:dLblPos val="outEnd"/>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0-5BC3-4DCE-AFCE-6A0C7EE51E2C}"/>
                </c:ext>
              </c:extLst>
            </c:dLbl>
            <c:spPr>
              <a:noFill/>
              <a:ln>
                <a:noFill/>
              </a:ln>
              <a:effectLst/>
            </c:sp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Sheet1!$B$33:$H$33</c:f>
              <c:strCache>
                <c:ptCount val="7"/>
                <c:pt idx="0">
                  <c:v>2012-13</c:v>
                </c:pt>
                <c:pt idx="1">
                  <c:v>2013-14</c:v>
                </c:pt>
                <c:pt idx="2">
                  <c:v>2014-15</c:v>
                </c:pt>
                <c:pt idx="3">
                  <c:v>2015-16</c:v>
                </c:pt>
                <c:pt idx="4">
                  <c:v>2016-17 BE</c:v>
                </c:pt>
                <c:pt idx="5">
                  <c:v>2016-17 RE</c:v>
                </c:pt>
                <c:pt idx="6">
                  <c:v>2017-18 BE</c:v>
                </c:pt>
              </c:strCache>
            </c:strRef>
          </c:cat>
          <c:val>
            <c:numRef>
              <c:f>Sheet1!$B$34:$H$34</c:f>
              <c:numCache>
                <c:formatCode>0</c:formatCode>
                <c:ptCount val="7"/>
                <c:pt idx="0">
                  <c:v>64.720628317314592</c:v>
                </c:pt>
                <c:pt idx="1">
                  <c:v>61.83461700553179</c:v>
                </c:pt>
                <c:pt idx="2">
                  <c:v>61.427505131554398</c:v>
                </c:pt>
                <c:pt idx="3">
                  <c:v>57.440998024979017</c:v>
                </c:pt>
                <c:pt idx="4">
                  <c:v>52.518813634351481</c:v>
                </c:pt>
                <c:pt idx="5">
                  <c:v>55.123001305021276</c:v>
                </c:pt>
                <c:pt idx="6">
                  <c:v>53.958988607062487</c:v>
                </c:pt>
              </c:numCache>
            </c:numRef>
          </c:val>
          <c:extLst xmlns:c16r2="http://schemas.microsoft.com/office/drawing/2015/06/chart">
            <c:ext xmlns:c16="http://schemas.microsoft.com/office/drawing/2014/chart" uri="{C3380CC4-5D6E-409C-BE32-E72D297353CC}">
              <c16:uniqueId val="{00000001-5BC3-4DCE-AFCE-6A0C7EE51E2C}"/>
            </c:ext>
          </c:extLst>
        </c:ser>
        <c:dLbls>
          <c:showLegendKey val="0"/>
          <c:showVal val="0"/>
          <c:showCatName val="0"/>
          <c:showSerName val="0"/>
          <c:showPercent val="0"/>
          <c:showBubbleSize val="0"/>
        </c:dLbls>
        <c:gapWidth val="150"/>
        <c:axId val="25573632"/>
        <c:axId val="25591808"/>
      </c:barChart>
      <c:lineChart>
        <c:grouping val="standard"/>
        <c:varyColors val="0"/>
        <c:ser>
          <c:idx val="1"/>
          <c:order val="1"/>
          <c:tx>
            <c:strRef>
              <c:f>Sheet1!$A$35</c:f>
              <c:strCache>
                <c:ptCount val="1"/>
                <c:pt idx="0">
                  <c:v>Total MoHFW as percent of GDP (incl. AYUSH)</c:v>
                </c:pt>
              </c:strCache>
            </c:strRef>
          </c:tx>
          <c:marker>
            <c:symbol val="none"/>
          </c:marker>
          <c:dLbls>
            <c:dLbl>
              <c:idx val="6"/>
              <c:layout>
                <c:manualLayout>
                  <c:x val="-2.5072762504595777E-2"/>
                  <c:y val="-4.2773217842971133E-2"/>
                </c:manualLayout>
              </c:layout>
              <c:dLblPos val="r"/>
              <c:showLegendKey val="0"/>
              <c:showVal val="1"/>
              <c:showCatName val="0"/>
              <c:showSerName val="0"/>
              <c:showPercent val="0"/>
              <c:showBubbleSize val="0"/>
              <c:extLst xmlns:c16r2="http://schemas.microsoft.com/office/drawing/2015/06/chart">
                <c:ext xmlns:c15="http://schemas.microsoft.com/office/drawing/2012/chart" uri="{CE6537A1-D6FC-4f65-9D91-7224C49458BB}"/>
                <c:ext xmlns:c16="http://schemas.microsoft.com/office/drawing/2014/chart" uri="{C3380CC4-5D6E-409C-BE32-E72D297353CC}">
                  <c16:uniqueId val="{00000002-5BC3-4DCE-AFCE-6A0C7EE51E2C}"/>
                </c:ext>
              </c:extLst>
            </c:dLbl>
            <c:spPr>
              <a:noFill/>
              <a:ln>
                <a:noFill/>
              </a:ln>
              <a:effectLst/>
            </c:spPr>
            <c:dLblPos val="b"/>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0"/>
              </c:ext>
            </c:extLst>
          </c:dLbls>
          <c:cat>
            <c:strRef>
              <c:f>Sheet1!$B$33:$H$33</c:f>
              <c:strCache>
                <c:ptCount val="7"/>
                <c:pt idx="0">
                  <c:v>2012-13</c:v>
                </c:pt>
                <c:pt idx="1">
                  <c:v>2013-14</c:v>
                </c:pt>
                <c:pt idx="2">
                  <c:v>2014-15</c:v>
                </c:pt>
                <c:pt idx="3">
                  <c:v>2015-16</c:v>
                </c:pt>
                <c:pt idx="4">
                  <c:v>2016-17 BE</c:v>
                </c:pt>
                <c:pt idx="5">
                  <c:v>2016-17 RE</c:v>
                </c:pt>
                <c:pt idx="6">
                  <c:v>2017-18 BE</c:v>
                </c:pt>
              </c:strCache>
            </c:strRef>
          </c:cat>
          <c:val>
            <c:numRef>
              <c:f>Sheet1!$B$35:$H$35</c:f>
              <c:numCache>
                <c:formatCode>0.00</c:formatCode>
                <c:ptCount val="7"/>
                <c:pt idx="0">
                  <c:v>0.28033598495008766</c:v>
                </c:pt>
                <c:pt idx="1">
                  <c:v>0.26818438082219459</c:v>
                </c:pt>
                <c:pt idx="2">
                  <c:v>0.25860261454529926</c:v>
                </c:pt>
                <c:pt idx="3">
                  <c:v>0.25732101109655048</c:v>
                </c:pt>
                <c:pt idx="4">
                  <c:v>0.26223134346624566</c:v>
                </c:pt>
                <c:pt idx="5">
                  <c:v>0.27193587658434137</c:v>
                </c:pt>
                <c:pt idx="6">
                  <c:v>0.29844952843025846</c:v>
                </c:pt>
              </c:numCache>
            </c:numRef>
          </c:val>
          <c:smooth val="0"/>
          <c:extLst xmlns:c16r2="http://schemas.microsoft.com/office/drawing/2015/06/chart">
            <c:ext xmlns:c16="http://schemas.microsoft.com/office/drawing/2014/chart" uri="{C3380CC4-5D6E-409C-BE32-E72D297353CC}">
              <c16:uniqueId val="{00000003-5BC3-4DCE-AFCE-6A0C7EE51E2C}"/>
            </c:ext>
          </c:extLst>
        </c:ser>
        <c:dLbls>
          <c:showLegendKey val="0"/>
          <c:showVal val="0"/>
          <c:showCatName val="0"/>
          <c:showSerName val="0"/>
          <c:showPercent val="0"/>
          <c:showBubbleSize val="0"/>
        </c:dLbls>
        <c:marker val="1"/>
        <c:smooth val="0"/>
        <c:axId val="25594880"/>
        <c:axId val="25593344"/>
      </c:lineChart>
      <c:catAx>
        <c:axId val="25573632"/>
        <c:scaling>
          <c:orientation val="minMax"/>
        </c:scaling>
        <c:delete val="0"/>
        <c:axPos val="b"/>
        <c:numFmt formatCode="General" sourceLinked="0"/>
        <c:majorTickMark val="out"/>
        <c:minorTickMark val="none"/>
        <c:tickLblPos val="nextTo"/>
        <c:crossAx val="25591808"/>
        <c:crosses val="autoZero"/>
        <c:auto val="1"/>
        <c:lblAlgn val="ctr"/>
        <c:lblOffset val="100"/>
        <c:noMultiLvlLbl val="0"/>
      </c:catAx>
      <c:valAx>
        <c:axId val="25591808"/>
        <c:scaling>
          <c:orientation val="minMax"/>
        </c:scaling>
        <c:delete val="0"/>
        <c:axPos val="l"/>
        <c:numFmt formatCode="0" sourceLinked="1"/>
        <c:majorTickMark val="out"/>
        <c:minorTickMark val="none"/>
        <c:tickLblPos val="nextTo"/>
        <c:crossAx val="25573632"/>
        <c:crosses val="autoZero"/>
        <c:crossBetween val="between"/>
      </c:valAx>
      <c:valAx>
        <c:axId val="25593344"/>
        <c:scaling>
          <c:orientation val="minMax"/>
        </c:scaling>
        <c:delete val="0"/>
        <c:axPos val="r"/>
        <c:numFmt formatCode="0.00" sourceLinked="1"/>
        <c:majorTickMark val="out"/>
        <c:minorTickMark val="none"/>
        <c:tickLblPos val="nextTo"/>
        <c:crossAx val="25594880"/>
        <c:crosses val="max"/>
        <c:crossBetween val="between"/>
      </c:valAx>
      <c:catAx>
        <c:axId val="25594880"/>
        <c:scaling>
          <c:orientation val="minMax"/>
        </c:scaling>
        <c:delete val="1"/>
        <c:axPos val="b"/>
        <c:numFmt formatCode="General" sourceLinked="1"/>
        <c:majorTickMark val="out"/>
        <c:minorTickMark val="none"/>
        <c:tickLblPos val="nextTo"/>
        <c:crossAx val="25593344"/>
        <c:crosses val="autoZero"/>
        <c:auto val="1"/>
        <c:lblAlgn val="ctr"/>
        <c:lblOffset val="100"/>
        <c:noMultiLvlLbl val="0"/>
      </c:catAx>
    </c:plotArea>
    <c:legend>
      <c:legendPos val="b"/>
      <c:layout>
        <c:manualLayout>
          <c:xMode val="edge"/>
          <c:yMode val="edge"/>
          <c:x val="4.9727999944133482E-2"/>
          <c:y val="0.85089743829527242"/>
          <c:w val="0.8688483488644354"/>
          <c:h val="0.12541624779606023"/>
        </c:manualLayout>
      </c:layout>
      <c:overlay val="0"/>
    </c:legend>
    <c:plotVisOnly val="1"/>
    <c:dispBlanksAs val="gap"/>
    <c:showDLblsOverMax val="0"/>
  </c:chart>
  <c:txPr>
    <a:bodyPr/>
    <a:lstStyle/>
    <a:p>
      <a:pPr>
        <a:defRPr sz="900"/>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151E34-96B0-408C-9B40-0695670DD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4</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 Chintan</dc:creator>
  <cp:lastModifiedBy>Richa Chintan</cp:lastModifiedBy>
  <cp:revision>24</cp:revision>
  <cp:lastPrinted>2017-02-01T16:22:00Z</cp:lastPrinted>
  <dcterms:created xsi:type="dcterms:W3CDTF">2017-02-01T22:40:00Z</dcterms:created>
  <dcterms:modified xsi:type="dcterms:W3CDTF">2017-02-02T04:51:00Z</dcterms:modified>
</cp:coreProperties>
</file>