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535" w:rsidRPr="00C81AEC" w:rsidRDefault="00C81AEC" w:rsidP="00C81AEC">
      <w:pPr>
        <w:jc w:val="center"/>
        <w:rPr>
          <w:sz w:val="32"/>
          <w:szCs w:val="32"/>
        </w:rPr>
      </w:pPr>
      <w:r w:rsidRPr="00C81AEC">
        <w:rPr>
          <w:sz w:val="32"/>
          <w:szCs w:val="32"/>
        </w:rPr>
        <w:t xml:space="preserve">14. </w:t>
      </w:r>
      <w:r w:rsidRPr="00C81AEC">
        <w:rPr>
          <w:iCs/>
          <w:sz w:val="32"/>
          <w:szCs w:val="32"/>
        </w:rPr>
        <w:t>ADIVASIS</w:t>
      </w:r>
      <w:bookmarkStart w:id="0" w:name="_GoBack"/>
      <w:bookmarkEnd w:id="0"/>
    </w:p>
    <w:p w:rsidR="00C258B7" w:rsidRPr="004F1D51" w:rsidRDefault="00C258B7" w:rsidP="00B64A5B">
      <w:pPr>
        <w:jc w:val="both"/>
        <w:rPr>
          <w:sz w:val="24"/>
          <w:szCs w:val="24"/>
        </w:rPr>
      </w:pPr>
      <w:r w:rsidRPr="004F1D51">
        <w:rPr>
          <w:noProof/>
          <w:sz w:val="24"/>
          <w:szCs w:val="24"/>
          <w:lang w:val="en-IN" w:eastAsia="en-IN"/>
        </w:rPr>
        <mc:AlternateContent>
          <mc:Choice Requires="wps">
            <w:drawing>
              <wp:anchor distT="0" distB="0" distL="114300" distR="114300" simplePos="0" relativeHeight="251659264" behindDoc="0" locked="0" layoutInCell="1" allowOverlap="1" wp14:anchorId="7FF77B79" wp14:editId="5448D0EF">
                <wp:simplePos x="0" y="0"/>
                <wp:positionH relativeFrom="column">
                  <wp:posOffset>-172528</wp:posOffset>
                </wp:positionH>
                <wp:positionV relativeFrom="paragraph">
                  <wp:posOffset>105471</wp:posOffset>
                </wp:positionV>
                <wp:extent cx="6228223" cy="2044460"/>
                <wp:effectExtent l="0" t="0" r="2032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223" cy="2044460"/>
                        </a:xfrm>
                        <a:prstGeom prst="rect">
                          <a:avLst/>
                        </a:prstGeom>
                        <a:solidFill>
                          <a:srgbClr val="FFFFFF"/>
                        </a:solidFill>
                        <a:ln w="9525">
                          <a:solidFill>
                            <a:srgbClr val="000000"/>
                          </a:solidFill>
                          <a:miter lim="800000"/>
                          <a:headEnd/>
                          <a:tailEnd/>
                        </a:ln>
                      </wps:spPr>
                      <wps:txbx>
                        <w:txbxContent>
                          <w:p w:rsidR="00C258B7" w:rsidRPr="00C81AEC" w:rsidRDefault="0044029A" w:rsidP="00C81AEC">
                            <w:pPr>
                              <w:jc w:val="center"/>
                              <w:rPr>
                                <w:b/>
                              </w:rPr>
                            </w:pPr>
                            <w:r w:rsidRPr="00C81AEC">
                              <w:rPr>
                                <w:b/>
                              </w:rPr>
                              <w:t>Highlights</w:t>
                            </w:r>
                          </w:p>
                          <w:p w:rsidR="0044029A" w:rsidRDefault="0044029A" w:rsidP="00EF4F18">
                            <w:pPr>
                              <w:pStyle w:val="ListParagraph"/>
                              <w:numPr>
                                <w:ilvl w:val="0"/>
                                <w:numId w:val="1"/>
                              </w:numPr>
                            </w:pPr>
                            <w:r>
                              <w:t>Given the merger of Plan and Non-Plan heads of expenditure, the framework for assessing allocations under Tribal Sub-Plan remain</w:t>
                            </w:r>
                            <w:r w:rsidR="000C23FD">
                              <w:t>s</w:t>
                            </w:r>
                            <w:r>
                              <w:t xml:space="preserve"> unclear</w:t>
                            </w:r>
                          </w:p>
                          <w:p w:rsidR="0044029A" w:rsidRDefault="0044029A" w:rsidP="00EF4F18">
                            <w:pPr>
                              <w:pStyle w:val="ListParagraph"/>
                              <w:numPr>
                                <w:ilvl w:val="0"/>
                                <w:numId w:val="1"/>
                              </w:numPr>
                            </w:pPr>
                            <w:r>
                              <w:t xml:space="preserve">Outcome-based monitoring of the Tribal Sub-Plan </w:t>
                            </w:r>
                            <w:r w:rsidR="000C23FD">
                              <w:t xml:space="preserve">to be undertaken </w:t>
                            </w:r>
                            <w:r>
                              <w:t xml:space="preserve">by NITI </w:t>
                            </w:r>
                            <w:proofErr w:type="spellStart"/>
                            <w:r>
                              <w:t>Aayog</w:t>
                            </w:r>
                            <w:proofErr w:type="spellEnd"/>
                            <w:r>
                              <w:t xml:space="preserve"> </w:t>
                            </w:r>
                          </w:p>
                          <w:p w:rsidR="00C163A8" w:rsidRDefault="00C163A8" w:rsidP="00EF4F18">
                            <w:pPr>
                              <w:pStyle w:val="ListParagraph"/>
                              <w:numPr>
                                <w:ilvl w:val="0"/>
                                <w:numId w:val="1"/>
                              </w:numPr>
                            </w:pPr>
                            <w:r>
                              <w:t xml:space="preserve">Increase in allocations for Ministry of Tribal Affairs from </w:t>
                            </w:r>
                            <w:proofErr w:type="spellStart"/>
                            <w:r>
                              <w:t>Rs</w:t>
                            </w:r>
                            <w:proofErr w:type="spellEnd"/>
                            <w:r>
                              <w:t xml:space="preserve">. 4,827 crore in 2016-17 (BE) to </w:t>
                            </w:r>
                            <w:proofErr w:type="spellStart"/>
                            <w:r>
                              <w:t>Rs</w:t>
                            </w:r>
                            <w:proofErr w:type="spellEnd"/>
                            <w:r>
                              <w:t>. 5,329 crore in 2017-18 (BE)</w:t>
                            </w:r>
                          </w:p>
                          <w:p w:rsidR="00EF4F18" w:rsidRDefault="00EF4F18" w:rsidP="00EF4F18">
                            <w:pPr>
                              <w:pStyle w:val="ListParagraph"/>
                              <w:numPr>
                                <w:ilvl w:val="0"/>
                                <w:numId w:val="1"/>
                              </w:numPr>
                            </w:pPr>
                            <w:r>
                              <w:t xml:space="preserve">The lending target of </w:t>
                            </w:r>
                            <w:r w:rsidRPr="00780FEC">
                              <w:rPr>
                                <w:i/>
                              </w:rPr>
                              <w:t xml:space="preserve">Pradhan </w:t>
                            </w:r>
                            <w:proofErr w:type="spellStart"/>
                            <w:r w:rsidR="0006046B" w:rsidRPr="00780FEC">
                              <w:rPr>
                                <w:i/>
                              </w:rPr>
                              <w:t>Mantri</w:t>
                            </w:r>
                            <w:proofErr w:type="spellEnd"/>
                            <w:r w:rsidRPr="00780FEC">
                              <w:rPr>
                                <w:i/>
                              </w:rPr>
                              <w:t xml:space="preserve"> Mudra </w:t>
                            </w:r>
                            <w:proofErr w:type="spellStart"/>
                            <w:r w:rsidRPr="00780FEC">
                              <w:rPr>
                                <w:i/>
                              </w:rPr>
                              <w:t>Yojana</w:t>
                            </w:r>
                            <w:proofErr w:type="spellEnd"/>
                            <w:r>
                              <w:t xml:space="preserve">, which gives priority to </w:t>
                            </w:r>
                            <w:proofErr w:type="spellStart"/>
                            <w:r w:rsidR="00EA1DD7">
                              <w:t>Tribals</w:t>
                            </w:r>
                            <w:proofErr w:type="spellEnd"/>
                            <w:r w:rsidR="0006046B">
                              <w:t>,</w:t>
                            </w:r>
                            <w:r>
                              <w:t xml:space="preserve"> among other socially disadvantaged groups, has been doubled to </w:t>
                            </w:r>
                            <w:proofErr w:type="spellStart"/>
                            <w:r>
                              <w:t>Rs</w:t>
                            </w:r>
                            <w:proofErr w:type="spellEnd"/>
                            <w:r>
                              <w:t xml:space="preserve">. 2.44 lakh crore in 2017-18 (BE). This was </w:t>
                            </w:r>
                            <w:proofErr w:type="spellStart"/>
                            <w:r>
                              <w:t>Rs</w:t>
                            </w:r>
                            <w:proofErr w:type="spellEnd"/>
                            <w:r>
                              <w:t>. 1</w:t>
                            </w:r>
                            <w:r w:rsidR="00364D47">
                              <w:t>.22 lakh crore in 2016-17 (BE)</w:t>
                            </w:r>
                          </w:p>
                          <w:p w:rsidR="00C258B7" w:rsidRDefault="00C258B7" w:rsidP="00C258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pt;margin-top:8.3pt;width:490.4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BE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">
                <v:textbox>
                  <w:txbxContent>
                    <w:p w:rsidR="00C258B7" w:rsidRPr="00C81AEC" w:rsidRDefault="0044029A" w:rsidP="00C81AEC">
                      <w:pPr>
                        <w:jc w:val="center"/>
                        <w:rPr>
                          <w:b/>
                        </w:rPr>
                      </w:pPr>
                      <w:r w:rsidRPr="00C81AEC">
                        <w:rPr>
                          <w:b/>
                        </w:rPr>
                        <w:t>Highlights</w:t>
                      </w:r>
                    </w:p>
                    <w:p w:rsidR="0044029A" w:rsidRDefault="0044029A" w:rsidP="00EF4F18">
                      <w:pPr>
                        <w:pStyle w:val="ListParagraph"/>
                        <w:numPr>
                          <w:ilvl w:val="0"/>
                          <w:numId w:val="1"/>
                        </w:numPr>
                      </w:pPr>
                      <w:r>
                        <w:t>Given the merger of Plan and Non-Plan heads of expenditure, the framework for assessing allocations under Tribal Sub-Plan remain</w:t>
                      </w:r>
                      <w:r w:rsidR="000C23FD">
                        <w:t>s</w:t>
                      </w:r>
                      <w:r>
                        <w:t xml:space="preserve"> unclear</w:t>
                      </w:r>
                    </w:p>
                    <w:p w:rsidR="0044029A" w:rsidRDefault="0044029A" w:rsidP="00EF4F18">
                      <w:pPr>
                        <w:pStyle w:val="ListParagraph"/>
                        <w:numPr>
                          <w:ilvl w:val="0"/>
                          <w:numId w:val="1"/>
                        </w:numPr>
                      </w:pPr>
                      <w:r>
                        <w:t xml:space="preserve">Outcome-based monitoring of the Tribal Sub-Plan </w:t>
                      </w:r>
                      <w:r w:rsidR="000C23FD">
                        <w:t xml:space="preserve">to be undertaken </w:t>
                      </w:r>
                      <w:r>
                        <w:t xml:space="preserve">by NITI </w:t>
                      </w:r>
                      <w:proofErr w:type="spellStart"/>
                      <w:r>
                        <w:t>Aayog</w:t>
                      </w:r>
                      <w:proofErr w:type="spellEnd"/>
                      <w:r>
                        <w:t xml:space="preserve"> </w:t>
                      </w:r>
                    </w:p>
                    <w:p w:rsidR="00C163A8" w:rsidRDefault="00C163A8" w:rsidP="00EF4F18">
                      <w:pPr>
                        <w:pStyle w:val="ListParagraph"/>
                        <w:numPr>
                          <w:ilvl w:val="0"/>
                          <w:numId w:val="1"/>
                        </w:numPr>
                      </w:pPr>
                      <w:r>
                        <w:t xml:space="preserve">Increase in allocations for Ministry of Tribal Affairs from </w:t>
                      </w:r>
                      <w:proofErr w:type="spellStart"/>
                      <w:r>
                        <w:t>Rs</w:t>
                      </w:r>
                      <w:proofErr w:type="spellEnd"/>
                      <w:r>
                        <w:t xml:space="preserve">. 4,827 crore in 2016-17 (BE) to </w:t>
                      </w:r>
                      <w:proofErr w:type="spellStart"/>
                      <w:r>
                        <w:t>Rs</w:t>
                      </w:r>
                      <w:proofErr w:type="spellEnd"/>
                      <w:r>
                        <w:t>. 5,329 crore in 2017-18 (BE)</w:t>
                      </w:r>
                    </w:p>
                    <w:p w:rsidR="00EF4F18" w:rsidRDefault="00EF4F18" w:rsidP="00EF4F18">
                      <w:pPr>
                        <w:pStyle w:val="ListParagraph"/>
                        <w:numPr>
                          <w:ilvl w:val="0"/>
                          <w:numId w:val="1"/>
                        </w:numPr>
                      </w:pPr>
                      <w:r>
                        <w:t xml:space="preserve">The lending target of </w:t>
                      </w:r>
                      <w:r w:rsidRPr="00780FEC">
                        <w:rPr>
                          <w:i/>
                        </w:rPr>
                        <w:t xml:space="preserve">Pradhan </w:t>
                      </w:r>
                      <w:proofErr w:type="spellStart"/>
                      <w:r w:rsidR="0006046B" w:rsidRPr="00780FEC">
                        <w:rPr>
                          <w:i/>
                        </w:rPr>
                        <w:t>Mantri</w:t>
                      </w:r>
                      <w:proofErr w:type="spellEnd"/>
                      <w:r w:rsidRPr="00780FEC">
                        <w:rPr>
                          <w:i/>
                        </w:rPr>
                        <w:t xml:space="preserve"> Mudra </w:t>
                      </w:r>
                      <w:proofErr w:type="spellStart"/>
                      <w:r w:rsidRPr="00780FEC">
                        <w:rPr>
                          <w:i/>
                        </w:rPr>
                        <w:t>Yojana</w:t>
                      </w:r>
                      <w:proofErr w:type="spellEnd"/>
                      <w:r>
                        <w:t xml:space="preserve">, which gives priority to </w:t>
                      </w:r>
                      <w:proofErr w:type="spellStart"/>
                      <w:r w:rsidR="00EA1DD7">
                        <w:t>Tribals</w:t>
                      </w:r>
                      <w:proofErr w:type="spellEnd"/>
                      <w:r w:rsidR="0006046B">
                        <w:t>,</w:t>
                      </w:r>
                      <w:r>
                        <w:t xml:space="preserve"> among other socially disadvantaged groups, has been doubled to </w:t>
                      </w:r>
                      <w:proofErr w:type="spellStart"/>
                      <w:r>
                        <w:t>Rs</w:t>
                      </w:r>
                      <w:proofErr w:type="spellEnd"/>
                      <w:r>
                        <w:t xml:space="preserve">. 2.44 lakh crore in 2017-18 (BE). This was </w:t>
                      </w:r>
                      <w:proofErr w:type="spellStart"/>
                      <w:r>
                        <w:t>Rs</w:t>
                      </w:r>
                      <w:proofErr w:type="spellEnd"/>
                      <w:r>
                        <w:t>. 1</w:t>
                      </w:r>
                      <w:r w:rsidR="00364D47">
                        <w:t>.22 lakh crore in 2016-17 (BE)</w:t>
                      </w:r>
                    </w:p>
                    <w:p w:rsidR="00C258B7" w:rsidRDefault="00C258B7" w:rsidP="00C258B7"/>
                  </w:txbxContent>
                </v:textbox>
              </v:shape>
            </w:pict>
          </mc:Fallback>
        </mc:AlternateContent>
      </w:r>
    </w:p>
    <w:p w:rsidR="00C258B7" w:rsidRPr="004F1D51" w:rsidRDefault="00C258B7" w:rsidP="00B64A5B">
      <w:pPr>
        <w:jc w:val="both"/>
        <w:rPr>
          <w:sz w:val="24"/>
          <w:szCs w:val="24"/>
        </w:rPr>
      </w:pPr>
    </w:p>
    <w:p w:rsidR="00C258B7" w:rsidRPr="004F1D51" w:rsidRDefault="00C258B7" w:rsidP="00B64A5B">
      <w:pPr>
        <w:jc w:val="both"/>
        <w:rPr>
          <w:sz w:val="24"/>
          <w:szCs w:val="24"/>
        </w:rPr>
      </w:pPr>
    </w:p>
    <w:p w:rsidR="00C258B7" w:rsidRPr="004F1D51" w:rsidRDefault="00C258B7" w:rsidP="00B64A5B">
      <w:pPr>
        <w:jc w:val="both"/>
        <w:rPr>
          <w:sz w:val="24"/>
          <w:szCs w:val="24"/>
        </w:rPr>
      </w:pPr>
    </w:p>
    <w:p w:rsidR="00C258B7" w:rsidRPr="004F1D51" w:rsidRDefault="00C258B7" w:rsidP="00B64A5B">
      <w:pPr>
        <w:jc w:val="both"/>
        <w:rPr>
          <w:sz w:val="24"/>
          <w:szCs w:val="24"/>
        </w:rPr>
      </w:pPr>
    </w:p>
    <w:p w:rsidR="00C258B7" w:rsidRPr="004F1D51" w:rsidRDefault="00C258B7" w:rsidP="00B64A5B">
      <w:pPr>
        <w:jc w:val="both"/>
        <w:rPr>
          <w:sz w:val="24"/>
          <w:szCs w:val="24"/>
        </w:rPr>
      </w:pPr>
    </w:p>
    <w:p w:rsidR="00C258B7" w:rsidRPr="004F1D51" w:rsidRDefault="00C258B7" w:rsidP="00B64A5B">
      <w:pPr>
        <w:jc w:val="both"/>
        <w:rPr>
          <w:sz w:val="24"/>
          <w:szCs w:val="24"/>
        </w:rPr>
      </w:pPr>
    </w:p>
    <w:p w:rsidR="00694B21" w:rsidRPr="004F1D51" w:rsidRDefault="006E4B44" w:rsidP="00B64A5B">
      <w:pPr>
        <w:jc w:val="both"/>
      </w:pPr>
      <w:proofErr w:type="spellStart"/>
      <w:r w:rsidRPr="004F1D51">
        <w:rPr>
          <w:i/>
          <w:iCs/>
        </w:rPr>
        <w:t>Adivasis</w:t>
      </w:r>
      <w:proofErr w:type="spellEnd"/>
      <w:r w:rsidR="0006138B" w:rsidRPr="004F1D51">
        <w:t xml:space="preserve"> remain among the most deprived sections of our society, facing significant development deficits owing to their economic and educational backwardness, low resource base, historical injustice, geographical isolation, and increasingly reduced access to natural resources.</w:t>
      </w:r>
      <w:r w:rsidR="000A38D7" w:rsidRPr="004F1D51">
        <w:t xml:space="preserve"> A host of measures have </w:t>
      </w:r>
      <w:r w:rsidR="00780FEC">
        <w:t xml:space="preserve">been </w:t>
      </w:r>
      <w:r w:rsidR="000A38D7" w:rsidRPr="004F1D51">
        <w:t>instituted by the government for their overall development</w:t>
      </w:r>
      <w:r w:rsidR="000C23FD" w:rsidRPr="004F1D51">
        <w:t>,</w:t>
      </w:r>
      <w:r w:rsidR="000A38D7" w:rsidRPr="004F1D51">
        <w:t xml:space="preserve"> of which</w:t>
      </w:r>
      <w:r w:rsidR="000C23FD" w:rsidRPr="004F1D51">
        <w:t>,</w:t>
      </w:r>
      <w:r w:rsidR="000A38D7" w:rsidRPr="004F1D51">
        <w:t xml:space="preserve"> Tribal Sub-Plan (TSP) is an important one. The strategy of TSP stipulates earmarking </w:t>
      </w:r>
      <w:r w:rsidR="00780FEC">
        <w:t>P</w:t>
      </w:r>
      <w:r w:rsidR="00780FEC" w:rsidRPr="004F1D51">
        <w:t xml:space="preserve">lan </w:t>
      </w:r>
      <w:r w:rsidR="000A38D7" w:rsidRPr="004F1D51">
        <w:t xml:space="preserve">allocations across sectors for </w:t>
      </w:r>
      <w:proofErr w:type="spellStart"/>
      <w:r w:rsidRPr="004F1D51">
        <w:rPr>
          <w:i/>
          <w:iCs/>
        </w:rPr>
        <w:t>Adivasis</w:t>
      </w:r>
      <w:proofErr w:type="spellEnd"/>
      <w:r w:rsidR="000A38D7" w:rsidRPr="004F1D51">
        <w:t xml:space="preserve">, </w:t>
      </w:r>
      <w:r w:rsidR="00D516DA" w:rsidRPr="004F1D51">
        <w:t xml:space="preserve">in proportion to their share in the total populations in the country (which was 8.6 percent as per Census 2011). Given that this strategy is based on </w:t>
      </w:r>
      <w:r w:rsidR="00780FEC">
        <w:t>P</w:t>
      </w:r>
      <w:r w:rsidR="00780FEC" w:rsidRPr="004F1D51">
        <w:t xml:space="preserve">lan </w:t>
      </w:r>
      <w:r w:rsidR="00D516DA" w:rsidRPr="004F1D51">
        <w:t xml:space="preserve">allocations only, the merger of Plan and Non-Plan heads of expenditure in </w:t>
      </w:r>
      <w:r w:rsidR="000A38D7" w:rsidRPr="004F1D51">
        <w:t xml:space="preserve">Union Budget 2017-18 </w:t>
      </w:r>
      <w:r w:rsidR="00D516DA" w:rsidRPr="004F1D51">
        <w:t xml:space="preserve">poses a question regarding how the allocations would be </w:t>
      </w:r>
      <w:r w:rsidR="00780FEC">
        <w:t xml:space="preserve">made with effect from this budget. </w:t>
      </w:r>
      <w:r w:rsidR="00D516DA" w:rsidRPr="004F1D51">
        <w:t xml:space="preserve">   </w:t>
      </w:r>
      <w:r w:rsidR="000A38D7" w:rsidRPr="004F1D51">
        <w:t xml:space="preserve"> </w:t>
      </w:r>
    </w:p>
    <w:p w:rsidR="00694B21" w:rsidRPr="004F1D51" w:rsidRDefault="00694B21" w:rsidP="00B64A5B">
      <w:pPr>
        <w:jc w:val="both"/>
      </w:pPr>
      <w:r w:rsidRPr="004F1D51">
        <w:t xml:space="preserve">While the discussion regarding the merger of Plan and Non-Plan heads had started from the last Union Budget, a revised framework for earmarking </w:t>
      </w:r>
      <w:r w:rsidR="00780FEC" w:rsidRPr="004F1D51">
        <w:t>f</w:t>
      </w:r>
      <w:r w:rsidR="00780FEC">
        <w:t>u</w:t>
      </w:r>
      <w:r w:rsidR="00780FEC" w:rsidRPr="004F1D51">
        <w:t xml:space="preserve">nds </w:t>
      </w:r>
      <w:r w:rsidRPr="004F1D51">
        <w:t xml:space="preserve">under TSP has not been developed yet. The Guidance Note on </w:t>
      </w:r>
      <w:r w:rsidR="000C23FD" w:rsidRPr="004F1D51">
        <w:t>M</w:t>
      </w:r>
      <w:r w:rsidRPr="004F1D51">
        <w:t xml:space="preserve">erger of Plan and Non Plan </w:t>
      </w:r>
      <w:r w:rsidR="000C23FD" w:rsidRPr="004F1D51">
        <w:t>C</w:t>
      </w:r>
      <w:r w:rsidRPr="004F1D51">
        <w:t xml:space="preserve">lassification and Budget Circular 2017-18 indicated that for Union Budget 2017-18 schemes’ allocations under TSP should be maintained at least at average of the allocations in 2015-16 (BE) and 2016-17 (BE). The Budget Circular also referred to the Narendra </w:t>
      </w:r>
      <w:proofErr w:type="spellStart"/>
      <w:r w:rsidRPr="004F1D51">
        <w:t>Jadhav</w:t>
      </w:r>
      <w:proofErr w:type="spellEnd"/>
      <w:r w:rsidRPr="004F1D51">
        <w:t xml:space="preserve"> Task Force report as a guiding note for earmarking by various ministries. </w:t>
      </w:r>
    </w:p>
    <w:p w:rsidR="005E67B4" w:rsidRPr="004F1D51" w:rsidRDefault="00B11B18" w:rsidP="00B64A5B">
      <w:pPr>
        <w:jc w:val="both"/>
      </w:pPr>
      <w:r w:rsidRPr="004F1D51">
        <w:t>In Union Budget 2017-18, TSP which was earlier Statement 21</w:t>
      </w:r>
      <w:r w:rsidR="000C23FD" w:rsidRPr="004F1D51">
        <w:t xml:space="preserve"> </w:t>
      </w:r>
      <w:r w:rsidRPr="004F1D51">
        <w:t xml:space="preserve">A ‘Tribal Sub Plan’, has </w:t>
      </w:r>
      <w:r w:rsidR="00780FEC">
        <w:t xml:space="preserve">been re-named as </w:t>
      </w:r>
      <w:r w:rsidRPr="004F1D51">
        <w:t xml:space="preserve"> Statement 10</w:t>
      </w:r>
      <w:r w:rsidR="0006046B">
        <w:t xml:space="preserve"> </w:t>
      </w:r>
      <w:r w:rsidRPr="004F1D51">
        <w:t>B, ‘Allocation for Welfare of Scheduled Tribes’</w:t>
      </w:r>
      <w:r w:rsidR="002A4B7C" w:rsidRPr="004F1D51">
        <w:t xml:space="preserve"> and t</w:t>
      </w:r>
      <w:r w:rsidRPr="004F1D51">
        <w:t xml:space="preserve">he allocations are divided as Revenue and Capital expenditure. </w:t>
      </w:r>
      <w:r w:rsidR="002A4B7C" w:rsidRPr="004F1D51">
        <w:t>However, in absence of any reference to TSP, parameters for assessing allocations reported under Statement 10</w:t>
      </w:r>
      <w:r w:rsidR="000C23FD" w:rsidRPr="004F1D51">
        <w:t xml:space="preserve"> </w:t>
      </w:r>
      <w:r w:rsidR="002A4B7C" w:rsidRPr="004F1D51">
        <w:t xml:space="preserve">B remain unclear. It is </w:t>
      </w:r>
      <w:r w:rsidR="0006046B">
        <w:t xml:space="preserve">also </w:t>
      </w:r>
      <w:r w:rsidR="002A4B7C" w:rsidRPr="004F1D51">
        <w:t xml:space="preserve">not clear as </w:t>
      </w:r>
      <w:r w:rsidR="00780FEC">
        <w:t xml:space="preserve">to </w:t>
      </w:r>
      <w:r w:rsidR="002A4B7C" w:rsidRPr="004F1D51">
        <w:t xml:space="preserve">what criteria </w:t>
      </w:r>
      <w:r w:rsidR="00780FEC" w:rsidRPr="004F1D51">
        <w:t>ha</w:t>
      </w:r>
      <w:r w:rsidR="00780FEC">
        <w:t>ve</w:t>
      </w:r>
      <w:r w:rsidR="00780FEC" w:rsidRPr="004F1D51">
        <w:t xml:space="preserve"> </w:t>
      </w:r>
      <w:r w:rsidR="002A4B7C" w:rsidRPr="004F1D51">
        <w:t xml:space="preserve">been followed by various ministries </w:t>
      </w:r>
      <w:r w:rsidR="0006046B">
        <w:t>while</w:t>
      </w:r>
      <w:r w:rsidR="002A4B7C" w:rsidRPr="004F1D51">
        <w:t xml:space="preserve"> reporting </w:t>
      </w:r>
      <w:r w:rsidR="0006046B">
        <w:t xml:space="preserve">budget </w:t>
      </w:r>
      <w:r w:rsidR="002A4B7C" w:rsidRPr="004F1D51">
        <w:t>allocations in this statement. Thus, what is inherently missing in Statement 10</w:t>
      </w:r>
      <w:r w:rsidR="000C23FD" w:rsidRPr="004F1D51">
        <w:t xml:space="preserve"> </w:t>
      </w:r>
      <w:r w:rsidR="002A4B7C" w:rsidRPr="004F1D51">
        <w:t>B is a framework for earmarking funds, which was provided in the earlier TSP statement. Nevertheless, this statement remains important as an instrument for ensuring dedicated funds for Scheduled Tribes across sectors. What is required is greater clarity on how the reporting should now be undertaken for a meaningful TSP</w:t>
      </w:r>
      <w:r w:rsidR="000C23FD" w:rsidRPr="004F1D51">
        <w:t>,</w:t>
      </w:r>
      <w:r w:rsidR="002A4B7C" w:rsidRPr="004F1D51">
        <w:t xml:space="preserve"> which requires developing new norms for the same. Also, while NITI </w:t>
      </w:r>
      <w:proofErr w:type="spellStart"/>
      <w:r w:rsidR="002A4B7C" w:rsidRPr="004F1D51">
        <w:t>Aayog</w:t>
      </w:r>
      <w:proofErr w:type="spellEnd"/>
      <w:r w:rsidR="002A4B7C" w:rsidRPr="004F1D51">
        <w:t xml:space="preserve"> has now been given the role of </w:t>
      </w:r>
      <w:r w:rsidR="000C23FD" w:rsidRPr="004F1D51">
        <w:t>undertaking</w:t>
      </w:r>
      <w:r w:rsidR="002A4B7C" w:rsidRPr="004F1D51">
        <w:t xml:space="preserve"> outcome-based monitoring </w:t>
      </w:r>
      <w:r w:rsidR="002A4B7C" w:rsidRPr="004F1D51">
        <w:lastRenderedPageBreak/>
        <w:t>under Statement 10</w:t>
      </w:r>
      <w:r w:rsidR="000C23FD" w:rsidRPr="004F1D51">
        <w:t xml:space="preserve"> </w:t>
      </w:r>
      <w:r w:rsidR="002A4B7C" w:rsidRPr="004F1D51">
        <w:t xml:space="preserve">B, its role in revising the norms for TSP and that of </w:t>
      </w:r>
      <w:proofErr w:type="spellStart"/>
      <w:r w:rsidR="002A4B7C" w:rsidRPr="004F1D51">
        <w:t>MoTA</w:t>
      </w:r>
      <w:proofErr w:type="spellEnd"/>
      <w:r w:rsidR="000C23FD" w:rsidRPr="004F1D51">
        <w:t>,</w:t>
      </w:r>
      <w:r w:rsidR="002A4B7C" w:rsidRPr="004F1D51">
        <w:t xml:space="preserve"> needs to be spelt out more clearly. </w:t>
      </w:r>
    </w:p>
    <w:p w:rsidR="00035CBE" w:rsidRPr="004F1D51" w:rsidRDefault="005E67B4" w:rsidP="00B64A5B">
      <w:pPr>
        <w:jc w:val="both"/>
        <w:rPr>
          <w:sz w:val="24"/>
          <w:szCs w:val="24"/>
          <w:lang w:val="en-IN"/>
        </w:rPr>
      </w:pPr>
      <w:r w:rsidRPr="004F1D51">
        <w:t xml:space="preserve">Figure 14.1 shows that the allocations for TSP have increased from 2016-17 (BE) to 2017-18 (BE) by almost </w:t>
      </w:r>
      <w:r w:rsidR="00035CBE" w:rsidRPr="004F1D51">
        <w:t>33</w:t>
      </w:r>
      <w:r w:rsidRPr="004F1D51">
        <w:t xml:space="preserve"> percent. </w:t>
      </w:r>
      <w:r w:rsidR="001D79D5" w:rsidRPr="004F1D51">
        <w:t>This increase is largely driven by (</w:t>
      </w:r>
      <w:proofErr w:type="spellStart"/>
      <w:r w:rsidR="001D79D5" w:rsidRPr="004F1D51">
        <w:t>i</w:t>
      </w:r>
      <w:proofErr w:type="spellEnd"/>
      <w:r w:rsidR="001D79D5" w:rsidRPr="004F1D51">
        <w:t xml:space="preserve">) inclusion of schemes like </w:t>
      </w:r>
      <w:proofErr w:type="spellStart"/>
      <w:r w:rsidR="001D79D5" w:rsidRPr="00056639">
        <w:rPr>
          <w:i/>
          <w:iCs/>
        </w:rPr>
        <w:t>Rashtriya</w:t>
      </w:r>
      <w:proofErr w:type="spellEnd"/>
      <w:r w:rsidR="001D79D5" w:rsidRPr="00056639">
        <w:rPr>
          <w:i/>
          <w:iCs/>
        </w:rPr>
        <w:t xml:space="preserve"> </w:t>
      </w:r>
      <w:proofErr w:type="spellStart"/>
      <w:r w:rsidR="001D79D5" w:rsidRPr="00056639">
        <w:rPr>
          <w:i/>
          <w:iCs/>
        </w:rPr>
        <w:t>Krishsi</w:t>
      </w:r>
      <w:proofErr w:type="spellEnd"/>
      <w:r w:rsidR="001D79D5" w:rsidRPr="00056639">
        <w:rPr>
          <w:i/>
          <w:iCs/>
        </w:rPr>
        <w:t xml:space="preserve"> </w:t>
      </w:r>
      <w:proofErr w:type="spellStart"/>
      <w:r w:rsidR="001D79D5" w:rsidRPr="00056639">
        <w:rPr>
          <w:i/>
          <w:iCs/>
        </w:rPr>
        <w:t>Vikas</w:t>
      </w:r>
      <w:proofErr w:type="spellEnd"/>
      <w:r w:rsidR="001D79D5" w:rsidRPr="00056639">
        <w:rPr>
          <w:i/>
          <w:iCs/>
        </w:rPr>
        <w:t xml:space="preserve"> </w:t>
      </w:r>
      <w:proofErr w:type="spellStart"/>
      <w:r w:rsidR="001D79D5" w:rsidRPr="00056639">
        <w:rPr>
          <w:i/>
          <w:iCs/>
        </w:rPr>
        <w:t>Yojana</w:t>
      </w:r>
      <w:proofErr w:type="spellEnd"/>
      <w:r w:rsidR="001D79D5" w:rsidRPr="00056639">
        <w:rPr>
          <w:i/>
          <w:iCs/>
        </w:rPr>
        <w:t xml:space="preserve">, Pradhan </w:t>
      </w:r>
      <w:proofErr w:type="spellStart"/>
      <w:r w:rsidR="001D79D5" w:rsidRPr="00056639">
        <w:rPr>
          <w:i/>
          <w:iCs/>
        </w:rPr>
        <w:t>Mantri</w:t>
      </w:r>
      <w:proofErr w:type="spellEnd"/>
      <w:r w:rsidR="001D79D5" w:rsidRPr="00056639">
        <w:rPr>
          <w:i/>
          <w:iCs/>
        </w:rPr>
        <w:t xml:space="preserve"> Kaushal </w:t>
      </w:r>
      <w:proofErr w:type="spellStart"/>
      <w:r w:rsidR="001D79D5" w:rsidRPr="00056639">
        <w:rPr>
          <w:i/>
          <w:iCs/>
        </w:rPr>
        <w:t>Vikas</w:t>
      </w:r>
      <w:proofErr w:type="spellEnd"/>
      <w:r w:rsidR="001D79D5" w:rsidRPr="00056639">
        <w:rPr>
          <w:i/>
          <w:iCs/>
        </w:rPr>
        <w:t xml:space="preserve"> </w:t>
      </w:r>
      <w:proofErr w:type="spellStart"/>
      <w:r w:rsidR="001D79D5" w:rsidRPr="00056639">
        <w:rPr>
          <w:i/>
          <w:iCs/>
        </w:rPr>
        <w:t>Yojana</w:t>
      </w:r>
      <w:proofErr w:type="spellEnd"/>
      <w:r w:rsidR="001D79D5" w:rsidRPr="004F1D51">
        <w:t xml:space="preserve"> etc. under Statement 10</w:t>
      </w:r>
      <w:r w:rsidR="000C23FD" w:rsidRPr="004F1D51">
        <w:t xml:space="preserve"> </w:t>
      </w:r>
      <w:r w:rsidR="001D79D5" w:rsidRPr="004F1D51">
        <w:t>B, which were not report</w:t>
      </w:r>
      <w:r w:rsidR="000C23FD" w:rsidRPr="004F1D51">
        <w:t>ed</w:t>
      </w:r>
      <w:r w:rsidR="001D79D5" w:rsidRPr="004F1D51">
        <w:t xml:space="preserve"> under TSP earlier; (ii) inclusion of certain new ministries such as Ministry of Development of North Eastern Region</w:t>
      </w:r>
      <w:r w:rsidR="000C23FD" w:rsidRPr="004F1D51">
        <w:t>,</w:t>
      </w:r>
      <w:r w:rsidR="001D79D5" w:rsidRPr="004F1D51">
        <w:t xml:space="preserve"> which were not reporting under TSP till last year; and (iii)</w:t>
      </w:r>
      <w:r w:rsidR="002A4B7C" w:rsidRPr="004F1D51">
        <w:t xml:space="preserve"> </w:t>
      </w:r>
      <w:r w:rsidR="001D79D5" w:rsidRPr="004F1D51">
        <w:t xml:space="preserve">inclusion of schemes which were largely Non-Plan and hence excluded from the ambit of TSP such as Interest Subsidy for Short Term Credit to Farmers etc. </w:t>
      </w:r>
    </w:p>
    <w:p w:rsidR="00B64A5B" w:rsidRPr="004F1D51" w:rsidRDefault="00B64A5B" w:rsidP="00B64A5B">
      <w:pPr>
        <w:spacing w:after="0" w:line="264" w:lineRule="exact"/>
        <w:ind w:left="2154" w:right="2153"/>
        <w:jc w:val="center"/>
        <w:rPr>
          <w:rFonts w:eastAsia="Calibri" w:cs="Calibri"/>
        </w:rPr>
      </w:pPr>
      <w:r w:rsidRPr="004F1D51">
        <w:rPr>
          <w:rFonts w:eastAsia="Calibri" w:cs="Calibri"/>
          <w:b/>
          <w:bCs/>
        </w:rPr>
        <w:t>Figu</w:t>
      </w:r>
      <w:r w:rsidRPr="004F1D51">
        <w:rPr>
          <w:rFonts w:eastAsia="Calibri" w:cs="Calibri"/>
          <w:b/>
          <w:bCs/>
          <w:spacing w:val="-3"/>
        </w:rPr>
        <w:t>r</w:t>
      </w:r>
      <w:r w:rsidRPr="004F1D51">
        <w:rPr>
          <w:rFonts w:eastAsia="Calibri" w:cs="Calibri"/>
          <w:b/>
          <w:bCs/>
        </w:rPr>
        <w:t>e 14.1 Bud</w:t>
      </w:r>
      <w:r w:rsidRPr="004F1D51">
        <w:rPr>
          <w:rFonts w:eastAsia="Calibri" w:cs="Calibri"/>
          <w:b/>
          <w:bCs/>
          <w:spacing w:val="-3"/>
        </w:rPr>
        <w:t>g</w:t>
      </w:r>
      <w:r w:rsidRPr="004F1D51">
        <w:rPr>
          <w:rFonts w:eastAsia="Calibri" w:cs="Calibri"/>
          <w:b/>
          <w:bCs/>
          <w:spacing w:val="-1"/>
        </w:rPr>
        <w:t>e</w:t>
      </w:r>
      <w:r w:rsidRPr="004F1D51">
        <w:rPr>
          <w:rFonts w:eastAsia="Calibri" w:cs="Calibri"/>
          <w:b/>
          <w:bCs/>
          <w:spacing w:val="-2"/>
        </w:rPr>
        <w:t>t</w:t>
      </w:r>
      <w:r w:rsidRPr="004F1D51">
        <w:rPr>
          <w:rFonts w:eastAsia="Calibri" w:cs="Calibri"/>
          <w:b/>
          <w:bCs/>
        </w:rPr>
        <w:t>a</w:t>
      </w:r>
      <w:r w:rsidRPr="004F1D51">
        <w:rPr>
          <w:rFonts w:eastAsia="Calibri" w:cs="Calibri"/>
          <w:b/>
          <w:bCs/>
          <w:spacing w:val="1"/>
        </w:rPr>
        <w:t>r</w:t>
      </w:r>
      <w:r w:rsidRPr="004F1D51">
        <w:rPr>
          <w:rFonts w:eastAsia="Calibri" w:cs="Calibri"/>
          <w:b/>
          <w:bCs/>
        </w:rPr>
        <w:t>y Outl</w:t>
      </w:r>
      <w:r w:rsidRPr="004F1D51">
        <w:rPr>
          <w:rFonts w:eastAsia="Calibri" w:cs="Calibri"/>
          <w:b/>
          <w:bCs/>
          <w:spacing w:val="-4"/>
        </w:rPr>
        <w:t>a</w:t>
      </w:r>
      <w:r w:rsidRPr="004F1D51">
        <w:rPr>
          <w:rFonts w:eastAsia="Calibri" w:cs="Calibri"/>
          <w:b/>
          <w:bCs/>
          <w:spacing w:val="-1"/>
        </w:rPr>
        <w:t>y</w:t>
      </w:r>
      <w:r w:rsidRPr="004F1D51">
        <w:rPr>
          <w:rFonts w:eastAsia="Calibri" w:cs="Calibri"/>
          <w:b/>
          <w:bCs/>
        </w:rPr>
        <w:t xml:space="preserve">s </w:t>
      </w:r>
      <w:r w:rsidRPr="004F1D51">
        <w:rPr>
          <w:rFonts w:eastAsia="Calibri" w:cs="Calibri"/>
          <w:b/>
          <w:bCs/>
          <w:spacing w:val="-3"/>
        </w:rPr>
        <w:t>f</w:t>
      </w:r>
      <w:r w:rsidRPr="004F1D51">
        <w:rPr>
          <w:rFonts w:eastAsia="Calibri" w:cs="Calibri"/>
          <w:b/>
          <w:bCs/>
        </w:rPr>
        <w:t xml:space="preserve">or </w:t>
      </w:r>
      <w:proofErr w:type="spellStart"/>
      <w:r w:rsidR="006E4B44" w:rsidRPr="004F1D51">
        <w:rPr>
          <w:rFonts w:eastAsia="Calibri" w:cs="Calibri"/>
          <w:b/>
          <w:bCs/>
          <w:i/>
          <w:iCs/>
        </w:rPr>
        <w:t>Adivasis</w:t>
      </w:r>
      <w:proofErr w:type="spellEnd"/>
      <w:r w:rsidRPr="004F1D51">
        <w:rPr>
          <w:rFonts w:eastAsia="Calibri" w:cs="Calibri"/>
          <w:b/>
          <w:bCs/>
        </w:rPr>
        <w:t xml:space="preserve"> (</w:t>
      </w:r>
      <w:proofErr w:type="spellStart"/>
      <w:r w:rsidRPr="004F1D51">
        <w:rPr>
          <w:rFonts w:eastAsia="Calibri" w:cs="Calibri"/>
          <w:b/>
          <w:bCs/>
        </w:rPr>
        <w:t>Rs</w:t>
      </w:r>
      <w:proofErr w:type="spellEnd"/>
      <w:r w:rsidRPr="004F1D51">
        <w:rPr>
          <w:rFonts w:eastAsia="Calibri" w:cs="Calibri"/>
          <w:b/>
          <w:bCs/>
        </w:rPr>
        <w:t>. C</w:t>
      </w:r>
      <w:r w:rsidRPr="004F1D51">
        <w:rPr>
          <w:rFonts w:eastAsia="Calibri" w:cs="Calibri"/>
          <w:b/>
          <w:bCs/>
          <w:spacing w:val="-3"/>
        </w:rPr>
        <w:t>r</w:t>
      </w:r>
      <w:r w:rsidRPr="004F1D51">
        <w:rPr>
          <w:rFonts w:eastAsia="Calibri" w:cs="Calibri"/>
          <w:b/>
          <w:bCs/>
        </w:rPr>
        <w:t>o</w:t>
      </w:r>
      <w:r w:rsidRPr="004F1D51">
        <w:rPr>
          <w:rFonts w:eastAsia="Calibri" w:cs="Calibri"/>
          <w:b/>
          <w:bCs/>
          <w:spacing w:val="-2"/>
        </w:rPr>
        <w:t>r</w:t>
      </w:r>
      <w:r w:rsidRPr="004F1D51">
        <w:rPr>
          <w:rFonts w:eastAsia="Calibri" w:cs="Calibri"/>
          <w:b/>
          <w:bCs/>
        </w:rPr>
        <w:t>e)</w:t>
      </w:r>
    </w:p>
    <w:p w:rsidR="00B64A5B" w:rsidRPr="004F1D51" w:rsidRDefault="00B64A5B" w:rsidP="00B64A5B">
      <w:pPr>
        <w:jc w:val="both"/>
        <w:rPr>
          <w:sz w:val="24"/>
          <w:szCs w:val="24"/>
        </w:rPr>
      </w:pPr>
      <w:r w:rsidRPr="004F1D51">
        <w:rPr>
          <w:noProof/>
          <w:lang w:val="en-IN" w:eastAsia="en-IN"/>
        </w:rPr>
        <w:drawing>
          <wp:inline distT="0" distB="0" distL="0" distR="0" wp14:anchorId="338BA8FF" wp14:editId="0FDF2059">
            <wp:extent cx="6038491" cy="2743200"/>
            <wp:effectExtent l="0" t="0" r="1968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E4B44" w:rsidRPr="004F1D51" w:rsidRDefault="006E4B44" w:rsidP="006E4B44">
      <w:pPr>
        <w:jc w:val="both"/>
        <w:rPr>
          <w:sz w:val="18"/>
          <w:szCs w:val="18"/>
          <w:lang w:val="en-IN"/>
        </w:rPr>
      </w:pPr>
      <w:r w:rsidRPr="004F1D51">
        <w:rPr>
          <w:i/>
          <w:iCs/>
          <w:sz w:val="18"/>
          <w:szCs w:val="18"/>
          <w:lang w:val="en-IN"/>
        </w:rPr>
        <w:t>Source:</w:t>
      </w:r>
      <w:r w:rsidRPr="004F1D51">
        <w:rPr>
          <w:sz w:val="18"/>
          <w:szCs w:val="18"/>
          <w:lang w:val="en-IN"/>
        </w:rPr>
        <w:t xml:space="preserve"> </w:t>
      </w:r>
      <w:r w:rsidRPr="004F1D51">
        <w:rPr>
          <w:rFonts w:eastAsia="Calibri" w:cs="Calibri"/>
          <w:position w:val="1"/>
          <w:sz w:val="18"/>
          <w:szCs w:val="18"/>
          <w:lang w:val="en-IN"/>
        </w:rPr>
        <w:t xml:space="preserve">Compiled </w:t>
      </w:r>
      <w:r w:rsidRPr="004F1D51">
        <w:rPr>
          <w:rFonts w:eastAsia="Calibri" w:cs="Calibri"/>
          <w:spacing w:val="-1"/>
          <w:position w:val="1"/>
          <w:sz w:val="18"/>
          <w:szCs w:val="18"/>
          <w:lang w:val="en-IN"/>
        </w:rPr>
        <w:t>b</w:t>
      </w:r>
      <w:r w:rsidRPr="004F1D51">
        <w:rPr>
          <w:rFonts w:eastAsia="Calibri" w:cs="Calibri"/>
          <w:position w:val="1"/>
          <w:sz w:val="18"/>
          <w:szCs w:val="18"/>
          <w:lang w:val="en-IN"/>
        </w:rPr>
        <w:t>y CBGA f</w:t>
      </w:r>
      <w:r w:rsidRPr="004F1D51">
        <w:rPr>
          <w:rFonts w:eastAsia="Calibri" w:cs="Calibri"/>
          <w:spacing w:val="-3"/>
          <w:position w:val="1"/>
          <w:sz w:val="18"/>
          <w:szCs w:val="18"/>
          <w:lang w:val="en-IN"/>
        </w:rPr>
        <w:t>r</w:t>
      </w:r>
      <w:r w:rsidRPr="004F1D51">
        <w:rPr>
          <w:rFonts w:eastAsia="Calibri" w:cs="Calibri"/>
          <w:position w:val="1"/>
          <w:sz w:val="18"/>
          <w:szCs w:val="18"/>
          <w:lang w:val="en-IN"/>
        </w:rPr>
        <w:t>om Union Bud</w:t>
      </w:r>
      <w:r w:rsidRPr="004F1D51">
        <w:rPr>
          <w:rFonts w:eastAsia="Calibri" w:cs="Calibri"/>
          <w:spacing w:val="-1"/>
          <w:position w:val="1"/>
          <w:sz w:val="18"/>
          <w:szCs w:val="18"/>
          <w:lang w:val="en-IN"/>
        </w:rPr>
        <w:t>ge</w:t>
      </w:r>
      <w:r w:rsidRPr="004F1D51">
        <w:rPr>
          <w:rFonts w:eastAsia="Calibri" w:cs="Calibri"/>
          <w:position w:val="1"/>
          <w:sz w:val="18"/>
          <w:szCs w:val="18"/>
          <w:lang w:val="en-IN"/>
        </w:rPr>
        <w:t xml:space="preserve">t, </w:t>
      </w:r>
      <w:r w:rsidRPr="004F1D51">
        <w:rPr>
          <w:rFonts w:eastAsia="Calibri" w:cs="Calibri"/>
          <w:spacing w:val="-3"/>
          <w:position w:val="1"/>
          <w:sz w:val="18"/>
          <w:szCs w:val="18"/>
          <w:lang w:val="en-IN"/>
        </w:rPr>
        <w:t>v</w:t>
      </w:r>
      <w:r w:rsidRPr="004F1D51">
        <w:rPr>
          <w:rFonts w:eastAsia="Calibri" w:cs="Calibri"/>
          <w:position w:val="1"/>
          <w:sz w:val="18"/>
          <w:szCs w:val="18"/>
          <w:lang w:val="en-IN"/>
        </w:rPr>
        <w:t xml:space="preserve">arious </w:t>
      </w:r>
      <w:r w:rsidRPr="004F1D51">
        <w:rPr>
          <w:rFonts w:eastAsia="Calibri" w:cs="Calibri"/>
          <w:spacing w:val="-2"/>
          <w:position w:val="1"/>
          <w:sz w:val="18"/>
          <w:szCs w:val="18"/>
          <w:lang w:val="en-IN"/>
        </w:rPr>
        <w:t>y</w:t>
      </w:r>
      <w:r w:rsidRPr="004F1D51">
        <w:rPr>
          <w:rFonts w:eastAsia="Calibri" w:cs="Calibri"/>
          <w:position w:val="1"/>
          <w:sz w:val="18"/>
          <w:szCs w:val="18"/>
          <w:lang w:val="en-IN"/>
        </w:rPr>
        <w:t>ea</w:t>
      </w:r>
      <w:r w:rsidRPr="004F1D51">
        <w:rPr>
          <w:rFonts w:eastAsia="Calibri" w:cs="Calibri"/>
          <w:spacing w:val="-3"/>
          <w:position w:val="1"/>
          <w:sz w:val="18"/>
          <w:szCs w:val="18"/>
          <w:lang w:val="en-IN"/>
        </w:rPr>
        <w:t>r</w:t>
      </w:r>
      <w:r w:rsidRPr="004F1D51">
        <w:rPr>
          <w:rFonts w:eastAsia="Calibri" w:cs="Calibri"/>
          <w:position w:val="1"/>
          <w:sz w:val="18"/>
          <w:szCs w:val="18"/>
          <w:lang w:val="en-IN"/>
        </w:rPr>
        <w:t>s</w:t>
      </w:r>
      <w:r w:rsidR="00780FEC">
        <w:rPr>
          <w:rFonts w:eastAsia="Calibri" w:cs="Calibri"/>
          <w:position w:val="1"/>
          <w:sz w:val="18"/>
          <w:szCs w:val="18"/>
          <w:lang w:val="en-IN"/>
        </w:rPr>
        <w:t>.</w:t>
      </w:r>
    </w:p>
    <w:p w:rsidR="006E4B44" w:rsidRPr="004F1D51" w:rsidRDefault="006E4B44" w:rsidP="006E4B44">
      <w:pPr>
        <w:jc w:val="both"/>
      </w:pPr>
      <w:r w:rsidRPr="004F1D51">
        <w:t xml:space="preserve">Figure 14.2 shows that just four ministries / departments </w:t>
      </w:r>
      <w:r w:rsidR="00F55F27" w:rsidRPr="004F1D51">
        <w:t xml:space="preserve">– Human Resource Development, Agriculture and Farmers Welfare, Rural Development and </w:t>
      </w:r>
      <w:proofErr w:type="spellStart"/>
      <w:r w:rsidR="00F55F27" w:rsidRPr="004F1D51">
        <w:t>MoTA</w:t>
      </w:r>
      <w:proofErr w:type="spellEnd"/>
      <w:r w:rsidR="00F55F27" w:rsidRPr="004F1D51">
        <w:t xml:space="preserve"> - c</w:t>
      </w:r>
      <w:r w:rsidRPr="004F1D51">
        <w:t>omprise over 67 percent of the total allocation under Statement 10</w:t>
      </w:r>
      <w:r w:rsidR="00F55F27" w:rsidRPr="004F1D51">
        <w:t xml:space="preserve"> </w:t>
      </w:r>
      <w:r w:rsidRPr="004F1D51">
        <w:t xml:space="preserve">B in 2017-18. Of this, </w:t>
      </w:r>
      <w:r w:rsidR="0006046B">
        <w:t xml:space="preserve">allocations for </w:t>
      </w:r>
      <w:proofErr w:type="spellStart"/>
      <w:r w:rsidRPr="004F1D51">
        <w:t>MoTA</w:t>
      </w:r>
      <w:proofErr w:type="spellEnd"/>
      <w:r w:rsidRPr="004F1D51">
        <w:t xml:space="preserve"> accounts for around 17 percent of the share</w:t>
      </w:r>
      <w:r w:rsidR="0006046B">
        <w:t xml:space="preserve"> in 2017-18</w:t>
      </w:r>
      <w:r w:rsidRPr="004F1D51">
        <w:t xml:space="preserve">. </w:t>
      </w:r>
    </w:p>
    <w:p w:rsidR="00056639" w:rsidRDefault="00056639" w:rsidP="006E4B44">
      <w:pPr>
        <w:jc w:val="center"/>
        <w:rPr>
          <w:b/>
          <w:bCs/>
          <w:sz w:val="24"/>
          <w:szCs w:val="24"/>
        </w:rPr>
      </w:pPr>
    </w:p>
    <w:p w:rsidR="00056639" w:rsidRDefault="00056639" w:rsidP="006E4B44">
      <w:pPr>
        <w:jc w:val="center"/>
        <w:rPr>
          <w:b/>
          <w:bCs/>
          <w:sz w:val="24"/>
          <w:szCs w:val="24"/>
        </w:rPr>
      </w:pPr>
    </w:p>
    <w:p w:rsidR="00056639" w:rsidRDefault="00056639" w:rsidP="006E4B44">
      <w:pPr>
        <w:jc w:val="center"/>
        <w:rPr>
          <w:b/>
          <w:bCs/>
          <w:sz w:val="24"/>
          <w:szCs w:val="24"/>
        </w:rPr>
      </w:pPr>
    </w:p>
    <w:p w:rsidR="00056639" w:rsidRDefault="00056639" w:rsidP="006E4B44">
      <w:pPr>
        <w:jc w:val="center"/>
        <w:rPr>
          <w:b/>
          <w:bCs/>
          <w:sz w:val="24"/>
          <w:szCs w:val="24"/>
        </w:rPr>
      </w:pPr>
    </w:p>
    <w:p w:rsidR="00056639" w:rsidRDefault="00056639" w:rsidP="006E4B44">
      <w:pPr>
        <w:jc w:val="center"/>
        <w:rPr>
          <w:b/>
          <w:bCs/>
          <w:sz w:val="24"/>
          <w:szCs w:val="24"/>
        </w:rPr>
      </w:pPr>
    </w:p>
    <w:p w:rsidR="00056639" w:rsidRDefault="00056639" w:rsidP="006E4B44">
      <w:pPr>
        <w:jc w:val="center"/>
        <w:rPr>
          <w:b/>
          <w:bCs/>
          <w:sz w:val="24"/>
          <w:szCs w:val="24"/>
        </w:rPr>
      </w:pPr>
    </w:p>
    <w:p w:rsidR="006E4B44" w:rsidRPr="004F1D51" w:rsidRDefault="006E4B44" w:rsidP="006E4B44">
      <w:pPr>
        <w:jc w:val="center"/>
        <w:rPr>
          <w:b/>
          <w:bCs/>
          <w:sz w:val="24"/>
          <w:szCs w:val="24"/>
        </w:rPr>
      </w:pPr>
      <w:r w:rsidRPr="004F1D51">
        <w:rPr>
          <w:b/>
          <w:bCs/>
          <w:sz w:val="24"/>
          <w:szCs w:val="24"/>
        </w:rPr>
        <w:lastRenderedPageBreak/>
        <w:t>Figure 14.2</w:t>
      </w:r>
      <w:r w:rsidRPr="004F1D51">
        <w:rPr>
          <w:b/>
          <w:bCs/>
        </w:rPr>
        <w:t xml:space="preserve"> </w:t>
      </w:r>
      <w:r w:rsidRPr="004F1D51">
        <w:rPr>
          <w:b/>
          <w:bCs/>
          <w:sz w:val="24"/>
          <w:szCs w:val="24"/>
        </w:rPr>
        <w:t xml:space="preserve">Ministry wise </w:t>
      </w:r>
      <w:r w:rsidR="00780FEC">
        <w:rPr>
          <w:b/>
          <w:bCs/>
          <w:sz w:val="24"/>
          <w:szCs w:val="24"/>
        </w:rPr>
        <w:t>A</w:t>
      </w:r>
      <w:r w:rsidR="00780FEC" w:rsidRPr="004F1D51">
        <w:rPr>
          <w:b/>
          <w:bCs/>
          <w:sz w:val="24"/>
          <w:szCs w:val="24"/>
        </w:rPr>
        <w:t xml:space="preserve">llocations </w:t>
      </w:r>
      <w:r w:rsidRPr="004F1D51">
        <w:rPr>
          <w:b/>
          <w:bCs/>
          <w:sz w:val="24"/>
          <w:szCs w:val="24"/>
        </w:rPr>
        <w:t>under Statement 10</w:t>
      </w:r>
      <w:r w:rsidR="00056639">
        <w:rPr>
          <w:b/>
          <w:bCs/>
          <w:sz w:val="24"/>
          <w:szCs w:val="24"/>
        </w:rPr>
        <w:t xml:space="preserve"> </w:t>
      </w:r>
      <w:r w:rsidRPr="004F1D51">
        <w:rPr>
          <w:b/>
          <w:bCs/>
          <w:sz w:val="24"/>
          <w:szCs w:val="24"/>
        </w:rPr>
        <w:t>B in 2017-18 (BE)</w:t>
      </w:r>
    </w:p>
    <w:p w:rsidR="006E4B44" w:rsidRPr="004F1D51" w:rsidRDefault="006E4B44" w:rsidP="006E4B44">
      <w:pPr>
        <w:jc w:val="both"/>
        <w:rPr>
          <w:sz w:val="24"/>
          <w:szCs w:val="24"/>
        </w:rPr>
      </w:pPr>
      <w:r w:rsidRPr="004F1D51">
        <w:rPr>
          <w:noProof/>
          <w:lang w:val="en-IN" w:eastAsia="en-IN"/>
        </w:rPr>
        <w:drawing>
          <wp:inline distT="0" distB="0" distL="0" distR="0" wp14:anchorId="28CA48C7" wp14:editId="7356C7EA">
            <wp:extent cx="5943600" cy="3873260"/>
            <wp:effectExtent l="0" t="0" r="1905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E4B44" w:rsidRPr="004F1D51" w:rsidRDefault="006E4B44" w:rsidP="006E4B44">
      <w:pPr>
        <w:jc w:val="both"/>
        <w:rPr>
          <w:sz w:val="18"/>
          <w:szCs w:val="18"/>
          <w:lang w:val="en-IN"/>
        </w:rPr>
      </w:pPr>
      <w:r w:rsidRPr="004F1D51">
        <w:rPr>
          <w:i/>
          <w:iCs/>
          <w:sz w:val="18"/>
          <w:szCs w:val="18"/>
          <w:lang w:val="en-IN"/>
        </w:rPr>
        <w:t>Source:</w:t>
      </w:r>
      <w:r w:rsidRPr="004F1D51">
        <w:rPr>
          <w:sz w:val="18"/>
          <w:szCs w:val="18"/>
          <w:lang w:val="en-IN"/>
        </w:rPr>
        <w:t xml:space="preserve"> </w:t>
      </w:r>
      <w:r w:rsidRPr="004F1D51">
        <w:rPr>
          <w:rFonts w:eastAsia="Calibri" w:cs="Calibri"/>
          <w:position w:val="1"/>
          <w:sz w:val="18"/>
          <w:szCs w:val="18"/>
          <w:lang w:val="en-IN"/>
        </w:rPr>
        <w:t xml:space="preserve">Compiled </w:t>
      </w:r>
      <w:r w:rsidRPr="004F1D51">
        <w:rPr>
          <w:rFonts w:eastAsia="Calibri" w:cs="Calibri"/>
          <w:spacing w:val="-1"/>
          <w:position w:val="1"/>
          <w:sz w:val="18"/>
          <w:szCs w:val="18"/>
          <w:lang w:val="en-IN"/>
        </w:rPr>
        <w:t>b</w:t>
      </w:r>
      <w:r w:rsidRPr="004F1D51">
        <w:rPr>
          <w:rFonts w:eastAsia="Calibri" w:cs="Calibri"/>
          <w:position w:val="1"/>
          <w:sz w:val="18"/>
          <w:szCs w:val="18"/>
          <w:lang w:val="en-IN"/>
        </w:rPr>
        <w:t>y CBGA f</w:t>
      </w:r>
      <w:r w:rsidRPr="004F1D51">
        <w:rPr>
          <w:rFonts w:eastAsia="Calibri" w:cs="Calibri"/>
          <w:spacing w:val="-3"/>
          <w:position w:val="1"/>
          <w:sz w:val="18"/>
          <w:szCs w:val="18"/>
          <w:lang w:val="en-IN"/>
        </w:rPr>
        <w:t>r</w:t>
      </w:r>
      <w:r w:rsidRPr="004F1D51">
        <w:rPr>
          <w:rFonts w:eastAsia="Calibri" w:cs="Calibri"/>
          <w:position w:val="1"/>
          <w:sz w:val="18"/>
          <w:szCs w:val="18"/>
          <w:lang w:val="en-IN"/>
        </w:rPr>
        <w:t>om Union Bud</w:t>
      </w:r>
      <w:r w:rsidRPr="004F1D51">
        <w:rPr>
          <w:rFonts w:eastAsia="Calibri" w:cs="Calibri"/>
          <w:spacing w:val="-1"/>
          <w:position w:val="1"/>
          <w:sz w:val="18"/>
          <w:szCs w:val="18"/>
          <w:lang w:val="en-IN"/>
        </w:rPr>
        <w:t>ge</w:t>
      </w:r>
      <w:r w:rsidRPr="004F1D51">
        <w:rPr>
          <w:rFonts w:eastAsia="Calibri" w:cs="Calibri"/>
          <w:position w:val="1"/>
          <w:sz w:val="18"/>
          <w:szCs w:val="18"/>
          <w:lang w:val="en-IN"/>
        </w:rPr>
        <w:t>t 2017-18</w:t>
      </w:r>
    </w:p>
    <w:p w:rsidR="00F55F27" w:rsidRPr="004F1D51" w:rsidRDefault="00035CBE" w:rsidP="00D0007D">
      <w:pPr>
        <w:jc w:val="both"/>
        <w:rPr>
          <w:lang w:val="en-IN"/>
        </w:rPr>
      </w:pPr>
      <w:r w:rsidRPr="004F1D51">
        <w:rPr>
          <w:lang w:val="en-IN"/>
        </w:rPr>
        <w:t xml:space="preserve">The allocations for the </w:t>
      </w:r>
      <w:proofErr w:type="spellStart"/>
      <w:r w:rsidRPr="004F1D51">
        <w:rPr>
          <w:lang w:val="en-IN"/>
        </w:rPr>
        <w:t>MoTA</w:t>
      </w:r>
      <w:proofErr w:type="spellEnd"/>
      <w:r w:rsidRPr="004F1D51">
        <w:rPr>
          <w:lang w:val="en-IN"/>
        </w:rPr>
        <w:t xml:space="preserve"> have increased from </w:t>
      </w:r>
      <w:proofErr w:type="spellStart"/>
      <w:r w:rsidR="0006046B">
        <w:rPr>
          <w:lang w:val="en-IN"/>
        </w:rPr>
        <w:t>Rs</w:t>
      </w:r>
      <w:proofErr w:type="spellEnd"/>
      <w:r w:rsidR="0006046B">
        <w:rPr>
          <w:lang w:val="en-IN"/>
        </w:rPr>
        <w:t>. 4</w:t>
      </w:r>
      <w:r w:rsidR="00780FEC">
        <w:rPr>
          <w:lang w:val="en-IN"/>
        </w:rPr>
        <w:t>,</w:t>
      </w:r>
      <w:r w:rsidR="0006046B">
        <w:rPr>
          <w:lang w:val="en-IN"/>
        </w:rPr>
        <w:t xml:space="preserve">827 crore in </w:t>
      </w:r>
      <w:r w:rsidRPr="004F1D51">
        <w:rPr>
          <w:lang w:val="en-IN"/>
        </w:rPr>
        <w:t xml:space="preserve">2016-17 (BE) to </w:t>
      </w:r>
      <w:proofErr w:type="spellStart"/>
      <w:r w:rsidR="0006046B">
        <w:rPr>
          <w:lang w:val="en-IN"/>
        </w:rPr>
        <w:t>Rs</w:t>
      </w:r>
      <w:proofErr w:type="spellEnd"/>
      <w:r w:rsidR="0006046B">
        <w:rPr>
          <w:lang w:val="en-IN"/>
        </w:rPr>
        <w:t>. 5</w:t>
      </w:r>
      <w:r w:rsidR="00780FEC">
        <w:rPr>
          <w:lang w:val="en-IN"/>
        </w:rPr>
        <w:t>,</w:t>
      </w:r>
      <w:r w:rsidR="0006046B">
        <w:rPr>
          <w:lang w:val="en-IN"/>
        </w:rPr>
        <w:t xml:space="preserve">329 crore in </w:t>
      </w:r>
      <w:r w:rsidRPr="004F1D51">
        <w:rPr>
          <w:lang w:val="en-IN"/>
        </w:rPr>
        <w:t xml:space="preserve">2017-18 (BE) </w:t>
      </w:r>
      <w:r w:rsidR="0006046B">
        <w:rPr>
          <w:lang w:val="en-IN"/>
        </w:rPr>
        <w:t>(</w:t>
      </w:r>
      <w:r w:rsidRPr="004F1D51">
        <w:rPr>
          <w:lang w:val="en-IN"/>
        </w:rPr>
        <w:t>almost 10 percent</w:t>
      </w:r>
      <w:r w:rsidR="0006046B">
        <w:rPr>
          <w:lang w:val="en-IN"/>
        </w:rPr>
        <w:t>)</w:t>
      </w:r>
      <w:r w:rsidRPr="004F1D51">
        <w:rPr>
          <w:lang w:val="en-IN"/>
        </w:rPr>
        <w:t xml:space="preserve"> (Figure 14.1). Over the years (from 2012-13), the budgets for </w:t>
      </w:r>
      <w:proofErr w:type="spellStart"/>
      <w:r w:rsidRPr="004F1D51">
        <w:rPr>
          <w:lang w:val="en-IN"/>
        </w:rPr>
        <w:t>MoTA</w:t>
      </w:r>
      <w:proofErr w:type="spellEnd"/>
      <w:r w:rsidRPr="004F1D51">
        <w:rPr>
          <w:lang w:val="en-IN"/>
        </w:rPr>
        <w:t xml:space="preserve"> have not seen </w:t>
      </w:r>
      <w:r w:rsidR="0006046B">
        <w:rPr>
          <w:lang w:val="en-IN"/>
        </w:rPr>
        <w:t xml:space="preserve">any </w:t>
      </w:r>
      <w:r w:rsidRPr="004F1D51">
        <w:rPr>
          <w:lang w:val="en-IN"/>
        </w:rPr>
        <w:t xml:space="preserve">significant increase. </w:t>
      </w:r>
      <w:r w:rsidR="00F87CDB" w:rsidRPr="004F1D51">
        <w:rPr>
          <w:lang w:val="en-IN"/>
        </w:rPr>
        <w:t>The same is also visible in the allocations for various s</w:t>
      </w:r>
      <w:r w:rsidR="0006046B">
        <w:rPr>
          <w:lang w:val="en-IN"/>
        </w:rPr>
        <w:t xml:space="preserve">chemes implemented by the </w:t>
      </w:r>
      <w:proofErr w:type="spellStart"/>
      <w:r w:rsidR="0006046B">
        <w:rPr>
          <w:lang w:val="en-IN"/>
        </w:rPr>
        <w:t>MoTA</w:t>
      </w:r>
      <w:proofErr w:type="spellEnd"/>
      <w:r w:rsidR="0006046B">
        <w:rPr>
          <w:lang w:val="en-IN"/>
        </w:rPr>
        <w:t xml:space="preserve"> over the years.</w:t>
      </w:r>
    </w:p>
    <w:p w:rsidR="00035CBE" w:rsidRPr="004F1D51" w:rsidRDefault="001514C9" w:rsidP="00D0007D">
      <w:pPr>
        <w:jc w:val="both"/>
        <w:rPr>
          <w:lang w:val="en-IN"/>
        </w:rPr>
      </w:pPr>
      <w:r w:rsidRPr="004F1D51">
        <w:rPr>
          <w:lang w:val="en-IN"/>
        </w:rPr>
        <w:t xml:space="preserve">The Departmentally Related Standing Committee Report on Demand for Grants 2016-17 for </w:t>
      </w:r>
      <w:proofErr w:type="spellStart"/>
      <w:r w:rsidRPr="004F1D51">
        <w:rPr>
          <w:lang w:val="en-IN"/>
        </w:rPr>
        <w:t>MoTA</w:t>
      </w:r>
      <w:proofErr w:type="spellEnd"/>
      <w:r w:rsidRPr="004F1D51">
        <w:rPr>
          <w:lang w:val="en-IN"/>
        </w:rPr>
        <w:t xml:space="preserve"> notes that for several schemes (such as Development of Particularly Vulnerable Tribal Groups, Minimum Support Price for Minor Forest Produce (MSP) for MFP, National Fellowship and Scholarship for Higher Education of ST Children etc.)</w:t>
      </w:r>
      <w:r w:rsidR="00D0007D" w:rsidRPr="004F1D51">
        <w:rPr>
          <w:lang w:val="en-IN"/>
        </w:rPr>
        <w:t xml:space="preserve"> there are issues pertaining to utilisation of funds allocated. This </w:t>
      </w:r>
      <w:r w:rsidR="00E835F4" w:rsidRPr="004F1D51">
        <w:rPr>
          <w:lang w:val="en-IN"/>
        </w:rPr>
        <w:t xml:space="preserve">is </w:t>
      </w:r>
      <w:r w:rsidR="00D0007D" w:rsidRPr="004F1D51">
        <w:rPr>
          <w:lang w:val="en-IN"/>
        </w:rPr>
        <w:t xml:space="preserve">largely due to “non- receipt of complete proposals, non-submission of Utilization Certificates in time and non-receipt Physical Progress Report.” </w:t>
      </w:r>
      <w:r w:rsidR="00090080" w:rsidRPr="004F1D51">
        <w:rPr>
          <w:lang w:val="en-IN"/>
        </w:rPr>
        <w:t>The standing committee has also raised concerns regarding insufficient funds and mounting dues to state governments for Post Matric Scholarship scheme for ST students</w:t>
      </w:r>
      <w:r w:rsidR="00F55F27" w:rsidRPr="004F1D51">
        <w:rPr>
          <w:lang w:val="en-IN"/>
        </w:rPr>
        <w:t xml:space="preserve"> which </w:t>
      </w:r>
      <w:proofErr w:type="gramStart"/>
      <w:r w:rsidR="00F55F27" w:rsidRPr="004F1D51">
        <w:rPr>
          <w:lang w:val="en-IN"/>
        </w:rPr>
        <w:t>has</w:t>
      </w:r>
      <w:proofErr w:type="gramEnd"/>
      <w:r w:rsidR="00F55F27" w:rsidRPr="004F1D51">
        <w:rPr>
          <w:lang w:val="en-IN"/>
        </w:rPr>
        <w:t xml:space="preserve"> an allocation of </w:t>
      </w:r>
      <w:proofErr w:type="spellStart"/>
      <w:r w:rsidR="00F55F27" w:rsidRPr="004F1D51">
        <w:rPr>
          <w:lang w:val="en-IN"/>
        </w:rPr>
        <w:t>Rs</w:t>
      </w:r>
      <w:proofErr w:type="spellEnd"/>
      <w:r w:rsidR="00F55F27" w:rsidRPr="004F1D51">
        <w:rPr>
          <w:lang w:val="en-IN"/>
        </w:rPr>
        <w:t>. 1,347 crore in 2017-18 (BE)</w:t>
      </w:r>
      <w:r w:rsidR="00090080" w:rsidRPr="004F1D51">
        <w:rPr>
          <w:lang w:val="en-IN"/>
        </w:rPr>
        <w:t xml:space="preserve">. </w:t>
      </w:r>
    </w:p>
    <w:p w:rsidR="00780FEC" w:rsidRDefault="00780FEC" w:rsidP="00B64A5B">
      <w:pPr>
        <w:jc w:val="both"/>
      </w:pPr>
    </w:p>
    <w:p w:rsidR="00780FEC" w:rsidRDefault="00780FEC" w:rsidP="00B64A5B">
      <w:pPr>
        <w:jc w:val="both"/>
      </w:pPr>
    </w:p>
    <w:p w:rsidR="00A33473" w:rsidRDefault="00A33473" w:rsidP="00B64A5B">
      <w:pPr>
        <w:jc w:val="both"/>
      </w:pPr>
    </w:p>
    <w:p w:rsidR="001D79D5" w:rsidRPr="004F1D51" w:rsidRDefault="000860CB" w:rsidP="00B64A5B">
      <w:pPr>
        <w:jc w:val="both"/>
        <w:rPr>
          <w:b/>
          <w:bCs/>
        </w:rPr>
      </w:pPr>
      <w:r w:rsidRPr="004F1D51">
        <w:lastRenderedPageBreak/>
        <w:t xml:space="preserve"> </w:t>
      </w:r>
      <w:r w:rsidRPr="004F1D51">
        <w:rPr>
          <w:lang w:val="en-IN"/>
        </w:rPr>
        <w:t xml:space="preserve"> </w:t>
      </w:r>
      <w:r w:rsidR="001D79D5" w:rsidRPr="004F1D51">
        <w:rPr>
          <w:b/>
          <w:bCs/>
          <w:lang w:val="en-IN"/>
        </w:rPr>
        <w:t>Table 14.1 Budgetary Outlays for Major Schemes under Ministry of Tribal Affairs (</w:t>
      </w:r>
      <w:proofErr w:type="spellStart"/>
      <w:r w:rsidR="001D79D5" w:rsidRPr="004F1D51">
        <w:rPr>
          <w:b/>
          <w:bCs/>
          <w:lang w:val="en-IN"/>
        </w:rPr>
        <w:t>Rs</w:t>
      </w:r>
      <w:proofErr w:type="spellEnd"/>
      <w:r w:rsidR="001D79D5" w:rsidRPr="004F1D51">
        <w:rPr>
          <w:b/>
          <w:bCs/>
          <w:lang w:val="en-IN"/>
        </w:rPr>
        <w:t>. Crore)</w:t>
      </w:r>
    </w:p>
    <w:tbl>
      <w:tblPr>
        <w:tblW w:w="110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990"/>
        <w:gridCol w:w="1080"/>
        <w:gridCol w:w="990"/>
        <w:gridCol w:w="1080"/>
        <w:gridCol w:w="1080"/>
        <w:gridCol w:w="990"/>
        <w:gridCol w:w="1080"/>
      </w:tblGrid>
      <w:tr w:rsidR="00B64A5B" w:rsidRPr="004F1D51" w:rsidTr="00F87CDB">
        <w:trPr>
          <w:trHeight w:val="300"/>
        </w:trPr>
        <w:tc>
          <w:tcPr>
            <w:tcW w:w="3780" w:type="dxa"/>
            <w:shd w:val="clear" w:color="auto" w:fill="auto"/>
            <w:vAlign w:val="bottom"/>
            <w:hideMark/>
          </w:tcPr>
          <w:p w:rsidR="00B64A5B" w:rsidRPr="004F1D51" w:rsidRDefault="00B64A5B" w:rsidP="005D6E99">
            <w:pPr>
              <w:spacing w:after="0" w:line="240" w:lineRule="auto"/>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Major schemes</w:t>
            </w:r>
          </w:p>
        </w:tc>
        <w:tc>
          <w:tcPr>
            <w:tcW w:w="990" w:type="dxa"/>
            <w:shd w:val="clear" w:color="auto" w:fill="auto"/>
            <w:vAlign w:val="bottom"/>
            <w:hideMark/>
          </w:tcPr>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2012-13 A</w:t>
            </w:r>
          </w:p>
        </w:tc>
        <w:tc>
          <w:tcPr>
            <w:tcW w:w="1080" w:type="dxa"/>
            <w:shd w:val="clear" w:color="auto" w:fill="auto"/>
            <w:vAlign w:val="bottom"/>
            <w:hideMark/>
          </w:tcPr>
          <w:p w:rsidR="005D6E99"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2013-14</w:t>
            </w:r>
          </w:p>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A</w:t>
            </w:r>
          </w:p>
        </w:tc>
        <w:tc>
          <w:tcPr>
            <w:tcW w:w="990" w:type="dxa"/>
            <w:shd w:val="clear" w:color="auto" w:fill="auto"/>
            <w:vAlign w:val="bottom"/>
            <w:hideMark/>
          </w:tcPr>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2014-15 A</w:t>
            </w:r>
          </w:p>
        </w:tc>
        <w:tc>
          <w:tcPr>
            <w:tcW w:w="1080" w:type="dxa"/>
            <w:shd w:val="clear" w:color="auto" w:fill="auto"/>
            <w:vAlign w:val="bottom"/>
            <w:hideMark/>
          </w:tcPr>
          <w:p w:rsidR="005D6E99"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2015-16</w:t>
            </w:r>
          </w:p>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A</w:t>
            </w:r>
          </w:p>
        </w:tc>
        <w:tc>
          <w:tcPr>
            <w:tcW w:w="1080" w:type="dxa"/>
            <w:shd w:val="clear" w:color="auto" w:fill="auto"/>
            <w:vAlign w:val="bottom"/>
            <w:hideMark/>
          </w:tcPr>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2016-17 BE</w:t>
            </w:r>
          </w:p>
        </w:tc>
        <w:tc>
          <w:tcPr>
            <w:tcW w:w="990" w:type="dxa"/>
            <w:shd w:val="clear" w:color="auto" w:fill="auto"/>
            <w:vAlign w:val="bottom"/>
            <w:hideMark/>
          </w:tcPr>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2016-17 RE</w:t>
            </w:r>
          </w:p>
        </w:tc>
        <w:tc>
          <w:tcPr>
            <w:tcW w:w="1080" w:type="dxa"/>
            <w:shd w:val="clear" w:color="auto" w:fill="auto"/>
            <w:vAlign w:val="bottom"/>
            <w:hideMark/>
          </w:tcPr>
          <w:p w:rsidR="005D6E99"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2017-18</w:t>
            </w:r>
          </w:p>
          <w:p w:rsidR="00B64A5B" w:rsidRPr="004F1D51" w:rsidRDefault="00B64A5B" w:rsidP="00F87CDB">
            <w:pPr>
              <w:spacing w:after="0" w:line="240" w:lineRule="auto"/>
              <w:jc w:val="center"/>
              <w:rPr>
                <w:rFonts w:eastAsia="Times New Roman" w:cs="Times New Roman"/>
                <w:b/>
                <w:bCs/>
                <w:color w:val="000000"/>
                <w:sz w:val="20"/>
                <w:szCs w:val="20"/>
                <w:lang w:bidi="hi-IN"/>
              </w:rPr>
            </w:pPr>
            <w:r w:rsidRPr="004F1D51">
              <w:rPr>
                <w:rFonts w:eastAsia="Times New Roman" w:cs="Times New Roman"/>
                <w:b/>
                <w:bCs/>
                <w:color w:val="000000"/>
                <w:sz w:val="20"/>
                <w:szCs w:val="20"/>
                <w:lang w:bidi="hi-IN"/>
              </w:rPr>
              <w:t>BE</w:t>
            </w:r>
          </w:p>
        </w:tc>
      </w:tr>
      <w:tr w:rsidR="005C671B" w:rsidRPr="004F1D51" w:rsidTr="00F87CDB">
        <w:trPr>
          <w:trHeight w:val="300"/>
        </w:trPr>
        <w:tc>
          <w:tcPr>
            <w:tcW w:w="3780" w:type="dxa"/>
            <w:shd w:val="clear" w:color="auto" w:fill="auto"/>
            <w:vAlign w:val="bottom"/>
            <w:hideMark/>
          </w:tcPr>
          <w:p w:rsidR="005C671B" w:rsidRPr="004F1D51" w:rsidRDefault="005C671B" w:rsidP="005D6E99">
            <w:pPr>
              <w:spacing w:after="0" w:line="240" w:lineRule="auto"/>
              <w:rPr>
                <w:rFonts w:eastAsia="Times New Roman" w:cs="Times New Roman"/>
                <w:color w:val="000000"/>
                <w:sz w:val="20"/>
                <w:szCs w:val="20"/>
                <w:lang w:bidi="hi-IN"/>
              </w:rPr>
            </w:pPr>
            <w:r w:rsidRPr="004F1D51">
              <w:rPr>
                <w:rFonts w:eastAsia="Times New Roman" w:cs="Times New Roman"/>
                <w:color w:val="000000"/>
                <w:sz w:val="20"/>
                <w:szCs w:val="20"/>
                <w:lang w:bidi="hi-IN"/>
              </w:rPr>
              <w:t>National Commission for Scheduled Tribes</w:t>
            </w:r>
          </w:p>
        </w:tc>
        <w:tc>
          <w:tcPr>
            <w:tcW w:w="990" w:type="dxa"/>
            <w:shd w:val="clear" w:color="auto" w:fill="auto"/>
            <w:vAlign w:val="bottom"/>
          </w:tcPr>
          <w:p w:rsidR="005C671B" w:rsidRPr="004F1D51" w:rsidRDefault="005C671B" w:rsidP="00F87CDB">
            <w:pPr>
              <w:jc w:val="center"/>
              <w:rPr>
                <w:color w:val="000000"/>
                <w:sz w:val="20"/>
                <w:szCs w:val="20"/>
              </w:rPr>
            </w:pPr>
          </w:p>
        </w:tc>
        <w:tc>
          <w:tcPr>
            <w:tcW w:w="1080" w:type="dxa"/>
            <w:shd w:val="clear" w:color="auto" w:fill="auto"/>
            <w:vAlign w:val="bottom"/>
          </w:tcPr>
          <w:p w:rsidR="005C671B" w:rsidRPr="004F1D51" w:rsidRDefault="005C671B" w:rsidP="00F87CDB">
            <w:pPr>
              <w:jc w:val="center"/>
              <w:rPr>
                <w:color w:val="000000"/>
                <w:sz w:val="20"/>
                <w:szCs w:val="20"/>
              </w:rPr>
            </w:pPr>
          </w:p>
        </w:tc>
        <w:tc>
          <w:tcPr>
            <w:tcW w:w="990" w:type="dxa"/>
            <w:shd w:val="clear" w:color="auto" w:fill="auto"/>
            <w:vAlign w:val="bottom"/>
          </w:tcPr>
          <w:p w:rsidR="005C671B" w:rsidRPr="004F1D51" w:rsidRDefault="005C671B" w:rsidP="00F87CDB">
            <w:pPr>
              <w:jc w:val="center"/>
              <w:rPr>
                <w:color w:val="000000"/>
                <w:sz w:val="20"/>
                <w:szCs w:val="20"/>
              </w:rPr>
            </w:pP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6.3</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8.5</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9.0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10.0</w:t>
            </w:r>
          </w:p>
        </w:tc>
      </w:tr>
      <w:tr w:rsidR="005C671B" w:rsidRPr="004F1D51" w:rsidTr="00F87CDB">
        <w:trPr>
          <w:trHeight w:val="300"/>
        </w:trPr>
        <w:tc>
          <w:tcPr>
            <w:tcW w:w="3780" w:type="dxa"/>
            <w:shd w:val="clear" w:color="auto" w:fill="auto"/>
            <w:vAlign w:val="bottom"/>
            <w:hideMark/>
          </w:tcPr>
          <w:p w:rsidR="005C671B" w:rsidRPr="004F1D51" w:rsidRDefault="005C671B" w:rsidP="005D6E99">
            <w:pPr>
              <w:spacing w:after="0" w:line="240" w:lineRule="auto"/>
              <w:rPr>
                <w:rFonts w:eastAsia="Times New Roman" w:cs="Times New Roman"/>
                <w:color w:val="000000"/>
                <w:sz w:val="20"/>
                <w:szCs w:val="20"/>
                <w:lang w:bidi="hi-IN"/>
              </w:rPr>
            </w:pPr>
            <w:r w:rsidRPr="004F1D51">
              <w:rPr>
                <w:rFonts w:eastAsia="Times New Roman" w:cs="Times New Roman"/>
                <w:color w:val="000000"/>
                <w:sz w:val="20"/>
                <w:szCs w:val="20"/>
                <w:lang w:bidi="hi-IN"/>
              </w:rPr>
              <w:t>SCA to TSP</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853</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050</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040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132</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250</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200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350</w:t>
            </w:r>
          </w:p>
        </w:tc>
      </w:tr>
      <w:tr w:rsidR="005C671B" w:rsidRPr="004F1D51" w:rsidTr="00F87CDB">
        <w:trPr>
          <w:trHeight w:val="530"/>
        </w:trPr>
        <w:tc>
          <w:tcPr>
            <w:tcW w:w="3780" w:type="dxa"/>
            <w:shd w:val="clear" w:color="auto" w:fill="auto"/>
            <w:vAlign w:val="bottom"/>
            <w:hideMark/>
          </w:tcPr>
          <w:p w:rsidR="005C671B" w:rsidRPr="004F1D51" w:rsidRDefault="005C671B" w:rsidP="005D6E99">
            <w:pPr>
              <w:spacing w:after="0" w:line="240" w:lineRule="auto"/>
              <w:rPr>
                <w:rFonts w:eastAsia="Times New Roman" w:cs="Times New Roman"/>
                <w:color w:val="000000"/>
                <w:sz w:val="20"/>
                <w:szCs w:val="20"/>
                <w:lang w:bidi="hi-IN"/>
              </w:rPr>
            </w:pPr>
            <w:r w:rsidRPr="004F1D51">
              <w:rPr>
                <w:rFonts w:eastAsia="Times New Roman" w:cs="Times New Roman"/>
                <w:color w:val="000000"/>
                <w:sz w:val="20"/>
                <w:szCs w:val="20"/>
                <w:lang w:bidi="hi-IN"/>
              </w:rPr>
              <w:t xml:space="preserve">Scheme under </w:t>
            </w:r>
            <w:r w:rsidR="00F87CDB" w:rsidRPr="004F1D51">
              <w:rPr>
                <w:rFonts w:eastAsia="Times New Roman" w:cs="Times New Roman"/>
                <w:color w:val="000000"/>
                <w:sz w:val="20"/>
                <w:szCs w:val="20"/>
                <w:lang w:bidi="hi-IN"/>
              </w:rPr>
              <w:t>provision</w:t>
            </w:r>
            <w:r w:rsidRPr="004F1D51">
              <w:rPr>
                <w:rFonts w:eastAsia="Times New Roman" w:cs="Times New Roman"/>
                <w:color w:val="000000"/>
                <w:sz w:val="20"/>
                <w:szCs w:val="20"/>
                <w:lang w:bidi="hi-IN"/>
              </w:rPr>
              <w:t xml:space="preserve"> to Article 275(1) of the Constitution</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820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097</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133</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392</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400</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260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500</w:t>
            </w:r>
          </w:p>
        </w:tc>
      </w:tr>
      <w:tr w:rsidR="005C671B" w:rsidRPr="004F1D51" w:rsidTr="00F87CDB">
        <w:trPr>
          <w:trHeight w:val="600"/>
        </w:trPr>
        <w:tc>
          <w:tcPr>
            <w:tcW w:w="3780" w:type="dxa"/>
            <w:shd w:val="clear" w:color="auto" w:fill="auto"/>
            <w:vAlign w:val="bottom"/>
            <w:hideMark/>
          </w:tcPr>
          <w:p w:rsidR="005C671B" w:rsidRPr="004F1D51" w:rsidRDefault="005C671B" w:rsidP="005D6E99">
            <w:pPr>
              <w:spacing w:after="0" w:line="240" w:lineRule="auto"/>
              <w:rPr>
                <w:rFonts w:eastAsia="Times New Roman" w:cs="Times New Roman"/>
                <w:color w:val="000000"/>
                <w:sz w:val="20"/>
                <w:szCs w:val="20"/>
                <w:lang w:bidi="hi-IN"/>
              </w:rPr>
            </w:pPr>
            <w:r w:rsidRPr="004F1D51">
              <w:rPr>
                <w:rFonts w:eastAsia="Times New Roman" w:cs="Times New Roman"/>
                <w:color w:val="000000"/>
                <w:sz w:val="20"/>
                <w:szCs w:val="20"/>
                <w:lang w:bidi="hi-IN"/>
              </w:rPr>
              <w:t xml:space="preserve">Umbrella Scheme for Development of STs: </w:t>
            </w:r>
            <w:proofErr w:type="spellStart"/>
            <w:r w:rsidRPr="004F1D51">
              <w:rPr>
                <w:rFonts w:eastAsia="Times New Roman" w:cs="Times New Roman"/>
                <w:i/>
                <w:iCs/>
                <w:color w:val="000000"/>
                <w:sz w:val="20"/>
                <w:szCs w:val="20"/>
                <w:lang w:bidi="hi-IN"/>
              </w:rPr>
              <w:t>Vanbandhu</w:t>
            </w:r>
            <w:proofErr w:type="spellEnd"/>
            <w:r w:rsidRPr="004F1D51">
              <w:rPr>
                <w:rFonts w:eastAsia="Times New Roman" w:cs="Times New Roman"/>
                <w:i/>
                <w:iCs/>
                <w:color w:val="000000"/>
                <w:sz w:val="20"/>
                <w:szCs w:val="20"/>
                <w:lang w:bidi="hi-IN"/>
              </w:rPr>
              <w:t xml:space="preserve"> </w:t>
            </w:r>
            <w:proofErr w:type="spellStart"/>
            <w:r w:rsidRPr="004F1D51">
              <w:rPr>
                <w:rFonts w:eastAsia="Times New Roman" w:cs="Times New Roman"/>
                <w:i/>
                <w:iCs/>
                <w:color w:val="000000"/>
                <w:sz w:val="20"/>
                <w:szCs w:val="20"/>
                <w:lang w:bidi="hi-IN"/>
              </w:rPr>
              <w:t>Kalyan</w:t>
            </w:r>
            <w:proofErr w:type="spellEnd"/>
            <w:r w:rsidRPr="004F1D51">
              <w:rPr>
                <w:rFonts w:eastAsia="Times New Roman" w:cs="Times New Roman"/>
                <w:i/>
                <w:iCs/>
                <w:color w:val="000000"/>
                <w:sz w:val="20"/>
                <w:szCs w:val="20"/>
                <w:lang w:bidi="hi-IN"/>
              </w:rPr>
              <w:t xml:space="preserve"> </w:t>
            </w:r>
            <w:proofErr w:type="spellStart"/>
            <w:r w:rsidRPr="004F1D51">
              <w:rPr>
                <w:rFonts w:eastAsia="Times New Roman" w:cs="Times New Roman"/>
                <w:i/>
                <w:iCs/>
                <w:color w:val="000000"/>
                <w:sz w:val="20"/>
                <w:szCs w:val="20"/>
                <w:lang w:bidi="hi-IN"/>
              </w:rPr>
              <w:t>Yojana</w:t>
            </w:r>
            <w:proofErr w:type="spellEnd"/>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112</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100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629</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505</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472</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505</w:t>
            </w:r>
          </w:p>
        </w:tc>
      </w:tr>
      <w:tr w:rsidR="005C671B" w:rsidRPr="004F1D51" w:rsidTr="00F87CDB">
        <w:trPr>
          <w:trHeight w:val="585"/>
        </w:trPr>
        <w:tc>
          <w:tcPr>
            <w:tcW w:w="3780" w:type="dxa"/>
            <w:shd w:val="clear" w:color="auto" w:fill="auto"/>
            <w:vAlign w:val="bottom"/>
            <w:hideMark/>
          </w:tcPr>
          <w:p w:rsidR="005C671B" w:rsidRPr="004F1D51" w:rsidRDefault="005C671B" w:rsidP="005D6E99">
            <w:pPr>
              <w:spacing w:after="0" w:line="240" w:lineRule="auto"/>
              <w:rPr>
                <w:rFonts w:eastAsia="Times New Roman" w:cs="Times New Roman"/>
                <w:color w:val="000000"/>
                <w:sz w:val="20"/>
                <w:szCs w:val="20"/>
                <w:lang w:bidi="hi-IN"/>
              </w:rPr>
            </w:pPr>
            <w:r w:rsidRPr="004F1D51">
              <w:rPr>
                <w:rFonts w:eastAsia="Times New Roman" w:cs="Times New Roman"/>
                <w:color w:val="000000"/>
                <w:sz w:val="20"/>
                <w:szCs w:val="20"/>
                <w:lang w:bidi="hi-IN"/>
              </w:rPr>
              <w:t>Umbrella Scheme for Education of ST children*</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981</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213</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059</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221</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505</w:t>
            </w:r>
          </w:p>
        </w:tc>
        <w:tc>
          <w:tcPr>
            <w:tcW w:w="99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740</w:t>
            </w:r>
          </w:p>
        </w:tc>
        <w:tc>
          <w:tcPr>
            <w:tcW w:w="1080" w:type="dxa"/>
            <w:shd w:val="clear" w:color="auto" w:fill="auto"/>
            <w:vAlign w:val="bottom"/>
          </w:tcPr>
          <w:p w:rsidR="005C671B" w:rsidRPr="004F1D51" w:rsidRDefault="005C671B" w:rsidP="00F87CDB">
            <w:pPr>
              <w:jc w:val="center"/>
              <w:rPr>
                <w:color w:val="000000"/>
                <w:sz w:val="20"/>
                <w:szCs w:val="20"/>
              </w:rPr>
            </w:pPr>
            <w:r w:rsidRPr="004F1D51">
              <w:rPr>
                <w:color w:val="000000"/>
                <w:sz w:val="20"/>
                <w:szCs w:val="20"/>
              </w:rPr>
              <w:t>1</w:t>
            </w:r>
            <w:r w:rsidR="00780FEC">
              <w:rPr>
                <w:color w:val="000000"/>
                <w:sz w:val="20"/>
                <w:szCs w:val="20"/>
              </w:rPr>
              <w:t>,</w:t>
            </w:r>
            <w:r w:rsidRPr="004F1D51">
              <w:rPr>
                <w:color w:val="000000"/>
                <w:sz w:val="20"/>
                <w:szCs w:val="20"/>
              </w:rPr>
              <w:t>756</w:t>
            </w:r>
          </w:p>
        </w:tc>
      </w:tr>
    </w:tbl>
    <w:p w:rsidR="00B64A5B" w:rsidRPr="004F1D51" w:rsidRDefault="00B64A5B" w:rsidP="00B64A5B">
      <w:pPr>
        <w:spacing w:after="0" w:line="240" w:lineRule="auto"/>
        <w:jc w:val="both"/>
        <w:rPr>
          <w:rFonts w:eastAsia="Times New Roman" w:cs="Times New Roman"/>
          <w:color w:val="000000"/>
          <w:sz w:val="18"/>
          <w:szCs w:val="18"/>
          <w:lang w:bidi="hi-IN"/>
        </w:rPr>
      </w:pPr>
      <w:r w:rsidRPr="004F1D51">
        <w:rPr>
          <w:rFonts w:eastAsia="Times New Roman" w:cs="Times New Roman"/>
          <w:i/>
          <w:iCs/>
          <w:color w:val="000000"/>
          <w:sz w:val="18"/>
          <w:szCs w:val="18"/>
          <w:lang w:bidi="hi-IN"/>
        </w:rPr>
        <w:t>Note:</w:t>
      </w:r>
      <w:r w:rsidRPr="004F1D51">
        <w:rPr>
          <w:rFonts w:eastAsia="Times New Roman" w:cs="Times New Roman"/>
          <w:color w:val="000000"/>
          <w:sz w:val="18"/>
          <w:szCs w:val="18"/>
          <w:lang w:bidi="hi-IN"/>
        </w:rPr>
        <w:t xml:space="preserve"> *Umbrella Scheme for Education of ST children includes National fellowship and Scholarship for higher education of ST students and scholarship to the ST students for studies abroad</w:t>
      </w:r>
      <w:r w:rsidR="00780FEC">
        <w:rPr>
          <w:rFonts w:eastAsia="Times New Roman" w:cs="Times New Roman"/>
          <w:color w:val="000000"/>
          <w:sz w:val="18"/>
          <w:szCs w:val="18"/>
          <w:lang w:bidi="hi-IN"/>
        </w:rPr>
        <w:t>,</w:t>
      </w:r>
    </w:p>
    <w:p w:rsidR="00B64A5B" w:rsidRPr="004F1D51" w:rsidRDefault="00B64A5B" w:rsidP="006E4B44">
      <w:pPr>
        <w:spacing w:after="0" w:line="240" w:lineRule="auto"/>
        <w:jc w:val="both"/>
        <w:rPr>
          <w:rFonts w:eastAsia="Calibri" w:cs="Calibri"/>
          <w:sz w:val="18"/>
          <w:szCs w:val="18"/>
        </w:rPr>
      </w:pPr>
      <w:r w:rsidRPr="004F1D51">
        <w:rPr>
          <w:rFonts w:eastAsia="Times New Roman" w:cs="Times New Roman"/>
          <w:i/>
          <w:iCs/>
          <w:color w:val="000000"/>
          <w:sz w:val="18"/>
          <w:szCs w:val="18"/>
          <w:lang w:bidi="hi-IN"/>
        </w:rPr>
        <w:t>Source:</w:t>
      </w:r>
      <w:r w:rsidRPr="004F1D51">
        <w:rPr>
          <w:rFonts w:eastAsia="Times New Roman" w:cs="Times New Roman"/>
          <w:color w:val="000000"/>
          <w:sz w:val="18"/>
          <w:szCs w:val="18"/>
          <w:lang w:bidi="hi-IN"/>
        </w:rPr>
        <w:t xml:space="preserve"> </w:t>
      </w:r>
      <w:r w:rsidRPr="004F1D51">
        <w:rPr>
          <w:rFonts w:eastAsia="Calibri" w:cs="Calibri"/>
          <w:position w:val="1"/>
          <w:sz w:val="18"/>
          <w:szCs w:val="18"/>
        </w:rPr>
        <w:t xml:space="preserve">Compiled </w:t>
      </w:r>
      <w:r w:rsidRPr="004F1D51">
        <w:rPr>
          <w:rFonts w:eastAsia="Calibri" w:cs="Calibri"/>
          <w:spacing w:val="-1"/>
          <w:position w:val="1"/>
          <w:sz w:val="18"/>
          <w:szCs w:val="18"/>
        </w:rPr>
        <w:t>b</w:t>
      </w:r>
      <w:r w:rsidRPr="004F1D51">
        <w:rPr>
          <w:rFonts w:eastAsia="Calibri" w:cs="Calibri"/>
          <w:position w:val="1"/>
          <w:sz w:val="18"/>
          <w:szCs w:val="18"/>
        </w:rPr>
        <w:t>y CBGA f</w:t>
      </w:r>
      <w:r w:rsidRPr="004F1D51">
        <w:rPr>
          <w:rFonts w:eastAsia="Calibri" w:cs="Calibri"/>
          <w:spacing w:val="-3"/>
          <w:position w:val="1"/>
          <w:sz w:val="18"/>
          <w:szCs w:val="18"/>
        </w:rPr>
        <w:t>r</w:t>
      </w:r>
      <w:r w:rsidRPr="004F1D51">
        <w:rPr>
          <w:rFonts w:eastAsia="Calibri" w:cs="Calibri"/>
          <w:position w:val="1"/>
          <w:sz w:val="18"/>
          <w:szCs w:val="18"/>
        </w:rPr>
        <w:t>om Union Bud</w:t>
      </w:r>
      <w:r w:rsidRPr="004F1D51">
        <w:rPr>
          <w:rFonts w:eastAsia="Calibri" w:cs="Calibri"/>
          <w:spacing w:val="-1"/>
          <w:position w:val="1"/>
          <w:sz w:val="18"/>
          <w:szCs w:val="18"/>
        </w:rPr>
        <w:t>ge</w:t>
      </w:r>
      <w:r w:rsidRPr="004F1D51">
        <w:rPr>
          <w:rFonts w:eastAsia="Calibri" w:cs="Calibri"/>
          <w:position w:val="1"/>
          <w:sz w:val="18"/>
          <w:szCs w:val="18"/>
        </w:rPr>
        <w:t xml:space="preserve">t, </w:t>
      </w:r>
      <w:r w:rsidRPr="004F1D51">
        <w:rPr>
          <w:rFonts w:eastAsia="Calibri" w:cs="Calibri"/>
          <w:spacing w:val="-3"/>
          <w:position w:val="1"/>
          <w:sz w:val="18"/>
          <w:szCs w:val="18"/>
        </w:rPr>
        <w:t>v</w:t>
      </w:r>
      <w:r w:rsidRPr="004F1D51">
        <w:rPr>
          <w:rFonts w:eastAsia="Calibri" w:cs="Calibri"/>
          <w:position w:val="1"/>
          <w:sz w:val="18"/>
          <w:szCs w:val="18"/>
        </w:rPr>
        <w:t xml:space="preserve">arious </w:t>
      </w:r>
      <w:r w:rsidRPr="004F1D51">
        <w:rPr>
          <w:rFonts w:eastAsia="Calibri" w:cs="Calibri"/>
          <w:spacing w:val="-2"/>
          <w:position w:val="1"/>
          <w:sz w:val="18"/>
          <w:szCs w:val="18"/>
        </w:rPr>
        <w:t>y</w:t>
      </w:r>
      <w:r w:rsidRPr="004F1D51">
        <w:rPr>
          <w:rFonts w:eastAsia="Calibri" w:cs="Calibri"/>
          <w:position w:val="1"/>
          <w:sz w:val="18"/>
          <w:szCs w:val="18"/>
        </w:rPr>
        <w:t>ea</w:t>
      </w:r>
      <w:r w:rsidRPr="004F1D51">
        <w:rPr>
          <w:rFonts w:eastAsia="Calibri" w:cs="Calibri"/>
          <w:spacing w:val="-3"/>
          <w:position w:val="1"/>
          <w:sz w:val="18"/>
          <w:szCs w:val="18"/>
        </w:rPr>
        <w:t>r</w:t>
      </w:r>
      <w:r w:rsidRPr="004F1D51">
        <w:rPr>
          <w:rFonts w:eastAsia="Calibri" w:cs="Calibri"/>
          <w:position w:val="1"/>
          <w:sz w:val="18"/>
          <w:szCs w:val="18"/>
        </w:rPr>
        <w:t>s</w:t>
      </w:r>
      <w:r w:rsidR="00780FEC">
        <w:rPr>
          <w:rFonts w:eastAsia="Calibri" w:cs="Calibri"/>
          <w:position w:val="1"/>
          <w:sz w:val="18"/>
          <w:szCs w:val="18"/>
        </w:rPr>
        <w:t>,</w:t>
      </w:r>
    </w:p>
    <w:p w:rsidR="00B64A5B" w:rsidRPr="004F1D51" w:rsidRDefault="00B64A5B" w:rsidP="00B64A5B">
      <w:pPr>
        <w:jc w:val="both"/>
        <w:rPr>
          <w:sz w:val="24"/>
          <w:szCs w:val="24"/>
        </w:rPr>
      </w:pPr>
    </w:p>
    <w:p w:rsidR="000860CB" w:rsidRPr="004F1D51" w:rsidRDefault="00F55F27" w:rsidP="00B64A5B">
      <w:pPr>
        <w:jc w:val="both"/>
      </w:pPr>
      <w:r w:rsidRPr="004F1D51">
        <w:t xml:space="preserve">As </w:t>
      </w:r>
      <w:r w:rsidR="0006046B">
        <w:t>is the case for</w:t>
      </w:r>
      <w:r w:rsidRPr="004F1D51">
        <w:t xml:space="preserve"> Scheduled </w:t>
      </w:r>
      <w:r w:rsidR="0006046B">
        <w:t>C</w:t>
      </w:r>
      <w:r w:rsidRPr="004F1D51">
        <w:t xml:space="preserve">aste Plan, there is lack of clarity regarding earmarking </w:t>
      </w:r>
      <w:r w:rsidR="0006046B">
        <w:t>funds for</w:t>
      </w:r>
      <w:r w:rsidRPr="004F1D51">
        <w:t xml:space="preserve"> TSP as well. Also, while budgets under Statement 10 B have increased, this is not indicative of any significant changes in the approach towards TSP by various ministries. The allocations for </w:t>
      </w:r>
      <w:proofErr w:type="spellStart"/>
      <w:r w:rsidRPr="004F1D51">
        <w:t>MoTA</w:t>
      </w:r>
      <w:proofErr w:type="spellEnd"/>
      <w:r w:rsidRPr="004F1D51">
        <w:t xml:space="preserve"> too, have remained almost stagnant, with only marginal increases over the years. </w:t>
      </w:r>
      <w:r w:rsidR="002C5D75" w:rsidRPr="004F1D51">
        <w:t>Thus, a revised roadmap for earmarking allocations under TSP needs to be developed</w:t>
      </w:r>
      <w:r w:rsidR="0006046B">
        <w:t xml:space="preserve"> at the earliest</w:t>
      </w:r>
      <w:r w:rsidR="004F1D51" w:rsidRPr="004F1D51">
        <w:t>. The</w:t>
      </w:r>
      <w:r w:rsidR="002C5D75" w:rsidRPr="004F1D51">
        <w:t xml:space="preserve"> focus</w:t>
      </w:r>
      <w:r w:rsidR="004F1D51" w:rsidRPr="004F1D51">
        <w:t xml:space="preserve"> should </w:t>
      </w:r>
      <w:r w:rsidR="002C5D75" w:rsidRPr="004F1D51">
        <w:t xml:space="preserve">not </w:t>
      </w:r>
      <w:r w:rsidR="004F1D51" w:rsidRPr="004F1D51">
        <w:t xml:space="preserve">be </w:t>
      </w:r>
      <w:r w:rsidR="0006046B">
        <w:t xml:space="preserve">only </w:t>
      </w:r>
      <w:r w:rsidR="002C5D75" w:rsidRPr="004F1D51">
        <w:t xml:space="preserve">on ‘protecting’ the existing allocations, but to rather </w:t>
      </w:r>
      <w:r w:rsidR="00BF065D" w:rsidRPr="004F1D51">
        <w:t xml:space="preserve">ensure more focused and enhanced resources for </w:t>
      </w:r>
      <w:r w:rsidR="00550F43">
        <w:t xml:space="preserve">the all-round </w:t>
      </w:r>
      <w:r w:rsidR="00BF065D" w:rsidRPr="004F1D51">
        <w:t xml:space="preserve">development of STs. </w:t>
      </w:r>
    </w:p>
    <w:p w:rsidR="009B168C" w:rsidRPr="004F1D51" w:rsidRDefault="009B168C" w:rsidP="00B64A5B">
      <w:pPr>
        <w:jc w:val="both"/>
      </w:pPr>
    </w:p>
    <w:sectPr w:rsidR="009B168C" w:rsidRPr="004F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119DD"/>
    <w:multiLevelType w:val="hybridMultilevel"/>
    <w:tmpl w:val="C312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02"/>
    <w:rsid w:val="00035CBE"/>
    <w:rsid w:val="00056639"/>
    <w:rsid w:val="0006046B"/>
    <w:rsid w:val="0006138B"/>
    <w:rsid w:val="000860CB"/>
    <w:rsid w:val="00090080"/>
    <w:rsid w:val="000A38D7"/>
    <w:rsid w:val="000A4470"/>
    <w:rsid w:val="000C23FD"/>
    <w:rsid w:val="001514C9"/>
    <w:rsid w:val="001D79D5"/>
    <w:rsid w:val="002337CA"/>
    <w:rsid w:val="00275341"/>
    <w:rsid w:val="002A4B7C"/>
    <w:rsid w:val="002C5D75"/>
    <w:rsid w:val="00364D47"/>
    <w:rsid w:val="00404D6E"/>
    <w:rsid w:val="00437067"/>
    <w:rsid w:val="0044029A"/>
    <w:rsid w:val="004F1D51"/>
    <w:rsid w:val="00550F43"/>
    <w:rsid w:val="005C671B"/>
    <w:rsid w:val="005D6E99"/>
    <w:rsid w:val="005E67B4"/>
    <w:rsid w:val="006018E5"/>
    <w:rsid w:val="00634720"/>
    <w:rsid w:val="00694B21"/>
    <w:rsid w:val="006D55ED"/>
    <w:rsid w:val="006E4B44"/>
    <w:rsid w:val="00780FEC"/>
    <w:rsid w:val="00874D85"/>
    <w:rsid w:val="00876267"/>
    <w:rsid w:val="009B168C"/>
    <w:rsid w:val="00A33473"/>
    <w:rsid w:val="00A335CA"/>
    <w:rsid w:val="00B11B18"/>
    <w:rsid w:val="00B12535"/>
    <w:rsid w:val="00B64A5B"/>
    <w:rsid w:val="00BF065D"/>
    <w:rsid w:val="00C163A8"/>
    <w:rsid w:val="00C258B7"/>
    <w:rsid w:val="00C81AEC"/>
    <w:rsid w:val="00C8677A"/>
    <w:rsid w:val="00C94F94"/>
    <w:rsid w:val="00D0007D"/>
    <w:rsid w:val="00D516DA"/>
    <w:rsid w:val="00E13302"/>
    <w:rsid w:val="00E32AED"/>
    <w:rsid w:val="00E835F4"/>
    <w:rsid w:val="00EA1DD7"/>
    <w:rsid w:val="00EF4F18"/>
    <w:rsid w:val="00F3299B"/>
    <w:rsid w:val="00F55F27"/>
    <w:rsid w:val="00F87C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5B"/>
    <w:rPr>
      <w:rFonts w:ascii="Tahoma" w:hAnsi="Tahoma" w:cs="Tahoma"/>
      <w:sz w:val="16"/>
      <w:szCs w:val="16"/>
    </w:rPr>
  </w:style>
  <w:style w:type="paragraph" w:styleId="ListParagraph">
    <w:name w:val="List Paragraph"/>
    <w:basedOn w:val="Normal"/>
    <w:uiPriority w:val="34"/>
    <w:qFormat/>
    <w:rsid w:val="00EF4F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5B"/>
    <w:rPr>
      <w:rFonts w:ascii="Tahoma" w:hAnsi="Tahoma" w:cs="Tahoma"/>
      <w:sz w:val="16"/>
      <w:szCs w:val="16"/>
    </w:rPr>
  </w:style>
  <w:style w:type="paragraph" w:styleId="ListParagraph">
    <w:name w:val="List Paragraph"/>
    <w:basedOn w:val="Normal"/>
    <w:uiPriority w:val="34"/>
    <w:qFormat/>
    <w:rsid w:val="00EF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37306">
      <w:bodyDiv w:val="1"/>
      <w:marLeft w:val="0"/>
      <w:marRight w:val="0"/>
      <w:marTop w:val="0"/>
      <w:marBottom w:val="0"/>
      <w:divBdr>
        <w:top w:val="none" w:sz="0" w:space="0" w:color="auto"/>
        <w:left w:val="none" w:sz="0" w:space="0" w:color="auto"/>
        <w:bottom w:val="none" w:sz="0" w:space="0" w:color="auto"/>
        <w:right w:val="none" w:sz="0" w:space="0" w:color="auto"/>
      </w:divBdr>
    </w:div>
    <w:div w:id="197100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E%20Drive\Desktop\RUB%202014-15\Budget%202017-18\Union%20Budget%202017-1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E%20Drive\Desktop\RUB%202014-15\Budget%202017-18\Union%20Budget%202017-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2.313491897230616E-2"/>
          <c:y val="2.3148148148148147E-2"/>
          <c:w val="0.95373016205538763"/>
          <c:h val="0.74937700495771364"/>
        </c:manualLayout>
      </c:layout>
      <c:barChart>
        <c:barDir val="col"/>
        <c:grouping val="clustered"/>
        <c:varyColors val="0"/>
        <c:ser>
          <c:idx val="0"/>
          <c:order val="0"/>
          <c:tx>
            <c:strRef>
              <c:f>'Total SC and ST'!$B$4</c:f>
              <c:strCache>
                <c:ptCount val="1"/>
                <c:pt idx="0">
                  <c:v>Allocations for Tribal Sub Plan</c:v>
                </c:pt>
              </c:strCache>
            </c:strRef>
          </c:tx>
          <c:invertIfNegative val="0"/>
          <c:dLbls>
            <c:dLbl>
              <c:idx val="0"/>
              <c:tx>
                <c:rich>
                  <a:bodyPr/>
                  <a:lstStyle/>
                  <a:p>
                    <a:r>
                      <a:rPr lang="en-US"/>
                      <a:t>16,724</a:t>
                    </a:r>
                  </a:p>
                </c:rich>
              </c:tx>
              <c:showLegendKey val="0"/>
              <c:showVal val="1"/>
              <c:showCatName val="0"/>
              <c:showSerName val="0"/>
              <c:showPercent val="0"/>
              <c:showBubbleSize val="0"/>
            </c:dLbl>
            <c:dLbl>
              <c:idx val="1"/>
              <c:tx>
                <c:rich>
                  <a:bodyPr/>
                  <a:lstStyle/>
                  <a:p>
                    <a:r>
                      <a:rPr lang="en-US"/>
                      <a:t>22,039</a:t>
                    </a:r>
                  </a:p>
                </c:rich>
              </c:tx>
              <c:showLegendKey val="0"/>
              <c:showVal val="1"/>
              <c:showCatName val="0"/>
              <c:showSerName val="0"/>
              <c:showPercent val="0"/>
              <c:showBubbleSize val="0"/>
            </c:dLbl>
            <c:dLbl>
              <c:idx val="2"/>
              <c:tx>
                <c:rich>
                  <a:bodyPr/>
                  <a:lstStyle/>
                  <a:p>
                    <a:r>
                      <a:rPr lang="en-US"/>
                      <a:t>19,921</a:t>
                    </a:r>
                  </a:p>
                </c:rich>
              </c:tx>
              <c:showLegendKey val="0"/>
              <c:showVal val="1"/>
              <c:showCatName val="0"/>
              <c:showSerName val="0"/>
              <c:showPercent val="0"/>
              <c:showBubbleSize val="0"/>
            </c:dLbl>
            <c:dLbl>
              <c:idx val="3"/>
              <c:tx>
                <c:rich>
                  <a:bodyPr/>
                  <a:lstStyle/>
                  <a:p>
                    <a:r>
                      <a:rPr lang="en-US"/>
                      <a:t>21,217</a:t>
                    </a:r>
                  </a:p>
                </c:rich>
              </c:tx>
              <c:showLegendKey val="0"/>
              <c:showVal val="1"/>
              <c:showCatName val="0"/>
              <c:showSerName val="0"/>
              <c:showPercent val="0"/>
              <c:showBubbleSize val="0"/>
            </c:dLbl>
            <c:dLbl>
              <c:idx val="4"/>
              <c:tx>
                <c:rich>
                  <a:bodyPr/>
                  <a:lstStyle/>
                  <a:p>
                    <a:r>
                      <a:rPr lang="en-US"/>
                      <a:t>24,005</a:t>
                    </a:r>
                  </a:p>
                </c:rich>
              </c:tx>
              <c:showLegendKey val="0"/>
              <c:showVal val="1"/>
              <c:showCatName val="0"/>
              <c:showSerName val="0"/>
              <c:showPercent val="0"/>
              <c:showBubbleSize val="0"/>
            </c:dLbl>
            <c:dLbl>
              <c:idx val="5"/>
              <c:tx>
                <c:rich>
                  <a:bodyPr/>
                  <a:lstStyle/>
                  <a:p>
                    <a:r>
                      <a:rPr lang="en-US"/>
                      <a:t>25,602</a:t>
                    </a:r>
                  </a:p>
                </c:rich>
              </c:tx>
              <c:showLegendKey val="0"/>
              <c:showVal val="1"/>
              <c:showCatName val="0"/>
              <c:showSerName val="0"/>
              <c:showPercent val="0"/>
              <c:showBubbleSize val="0"/>
            </c:dLbl>
            <c:dLbl>
              <c:idx val="6"/>
              <c:tx>
                <c:rich>
                  <a:bodyPr/>
                  <a:lstStyle/>
                  <a:p>
                    <a:r>
                      <a:rPr lang="en-US"/>
                      <a:t>31,920</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'Total SC and ST'!$C$2:$I$2</c:f>
              <c:strCache>
                <c:ptCount val="7"/>
                <c:pt idx="0">
                  <c:v>2012-13 A</c:v>
                </c:pt>
                <c:pt idx="1">
                  <c:v>2013-14 A</c:v>
                </c:pt>
                <c:pt idx="2">
                  <c:v>2014-15 A</c:v>
                </c:pt>
                <c:pt idx="3">
                  <c:v>2015-16 A</c:v>
                </c:pt>
                <c:pt idx="4">
                  <c:v>2016-17 BE</c:v>
                </c:pt>
                <c:pt idx="5">
                  <c:v>2016-17 RE</c:v>
                </c:pt>
                <c:pt idx="6">
                  <c:v>2017-18 BE</c:v>
                </c:pt>
              </c:strCache>
            </c:strRef>
          </c:cat>
          <c:val>
            <c:numRef>
              <c:f>'Total SC and ST'!$C$4:$I$4</c:f>
              <c:numCache>
                <c:formatCode>0</c:formatCode>
                <c:ptCount val="7"/>
                <c:pt idx="0">
                  <c:v>16723.73</c:v>
                </c:pt>
                <c:pt idx="1">
                  <c:v>22039.040000000001</c:v>
                </c:pt>
                <c:pt idx="2">
                  <c:v>19920.72</c:v>
                </c:pt>
                <c:pt idx="3">
                  <c:v>21216.54</c:v>
                </c:pt>
                <c:pt idx="4">
                  <c:v>24005.39</c:v>
                </c:pt>
                <c:pt idx="5">
                  <c:v>25602.080000000002</c:v>
                </c:pt>
                <c:pt idx="6">
                  <c:v>31919.51</c:v>
                </c:pt>
              </c:numCache>
            </c:numRef>
          </c:val>
        </c:ser>
        <c:ser>
          <c:idx val="1"/>
          <c:order val="1"/>
          <c:tx>
            <c:strRef>
              <c:f>'Total SC and ST'!$B$7</c:f>
              <c:strCache>
                <c:ptCount val="1"/>
                <c:pt idx="0">
                  <c:v>Ministry of Tribal Affairs</c:v>
                </c:pt>
              </c:strCache>
            </c:strRef>
          </c:tx>
          <c:invertIfNegative val="0"/>
          <c:dLbls>
            <c:dLbl>
              <c:idx val="0"/>
              <c:tx>
                <c:rich>
                  <a:bodyPr/>
                  <a:lstStyle/>
                  <a:p>
                    <a:r>
                      <a:rPr lang="en-US"/>
                      <a:t>3,073</a:t>
                    </a:r>
                  </a:p>
                </c:rich>
              </c:tx>
              <c:showLegendKey val="0"/>
              <c:showVal val="1"/>
              <c:showCatName val="0"/>
              <c:showSerName val="0"/>
              <c:showPercent val="0"/>
              <c:showBubbleSize val="0"/>
            </c:dLbl>
            <c:dLbl>
              <c:idx val="1"/>
              <c:tx>
                <c:rich>
                  <a:bodyPr/>
                  <a:lstStyle/>
                  <a:p>
                    <a:r>
                      <a:rPr lang="en-US"/>
                      <a:t>3,839</a:t>
                    </a:r>
                  </a:p>
                </c:rich>
              </c:tx>
              <c:showLegendKey val="0"/>
              <c:showVal val="1"/>
              <c:showCatName val="0"/>
              <c:showSerName val="0"/>
              <c:showPercent val="0"/>
              <c:showBubbleSize val="0"/>
            </c:dLbl>
            <c:dLbl>
              <c:idx val="2"/>
              <c:tx>
                <c:rich>
                  <a:bodyPr/>
                  <a:lstStyle/>
                  <a:p>
                    <a:r>
                      <a:rPr lang="en-US"/>
                      <a:t>3,852</a:t>
                    </a:r>
                  </a:p>
                </c:rich>
              </c:tx>
              <c:showLegendKey val="0"/>
              <c:showVal val="1"/>
              <c:showCatName val="0"/>
              <c:showSerName val="0"/>
              <c:showPercent val="0"/>
              <c:showBubbleSize val="0"/>
            </c:dLbl>
            <c:dLbl>
              <c:idx val="3"/>
              <c:tx>
                <c:rich>
                  <a:bodyPr/>
                  <a:lstStyle/>
                  <a:p>
                    <a:r>
                      <a:rPr lang="en-US"/>
                      <a:t>4,480</a:t>
                    </a:r>
                  </a:p>
                </c:rich>
              </c:tx>
              <c:showLegendKey val="0"/>
              <c:showVal val="1"/>
              <c:showCatName val="0"/>
              <c:showSerName val="0"/>
              <c:showPercent val="0"/>
              <c:showBubbleSize val="0"/>
            </c:dLbl>
            <c:dLbl>
              <c:idx val="4"/>
              <c:tx>
                <c:rich>
                  <a:bodyPr/>
                  <a:lstStyle/>
                  <a:p>
                    <a:r>
                      <a:rPr lang="en-US"/>
                      <a:t>4,827</a:t>
                    </a:r>
                  </a:p>
                </c:rich>
              </c:tx>
              <c:showLegendKey val="0"/>
              <c:showVal val="1"/>
              <c:showCatName val="0"/>
              <c:showSerName val="0"/>
              <c:showPercent val="0"/>
              <c:showBubbleSize val="0"/>
            </c:dLbl>
            <c:dLbl>
              <c:idx val="5"/>
              <c:tx>
                <c:rich>
                  <a:bodyPr/>
                  <a:lstStyle/>
                  <a:p>
                    <a:r>
                      <a:rPr lang="en-US"/>
                      <a:t>4,827</a:t>
                    </a:r>
                  </a:p>
                </c:rich>
              </c:tx>
              <c:showLegendKey val="0"/>
              <c:showVal val="1"/>
              <c:showCatName val="0"/>
              <c:showSerName val="0"/>
              <c:showPercent val="0"/>
              <c:showBubbleSize val="0"/>
            </c:dLbl>
            <c:dLbl>
              <c:idx val="6"/>
              <c:tx>
                <c:rich>
                  <a:bodyPr/>
                  <a:lstStyle/>
                  <a:p>
                    <a:r>
                      <a:rPr lang="en-US"/>
                      <a:t>5,329</a:t>
                    </a:r>
                  </a:p>
                </c:rich>
              </c:tx>
              <c:showLegendKey val="0"/>
              <c:showVal val="1"/>
              <c:showCatName val="0"/>
              <c:showSerName val="0"/>
              <c:showPercent val="0"/>
              <c:showBubbleSize val="0"/>
            </c:dLbl>
            <c:showLegendKey val="0"/>
            <c:showVal val="1"/>
            <c:showCatName val="0"/>
            <c:showSerName val="0"/>
            <c:showPercent val="0"/>
            <c:showBubbleSize val="0"/>
            <c:showLeaderLines val="0"/>
          </c:dLbls>
          <c:cat>
            <c:strRef>
              <c:f>'Total SC and ST'!$C$2:$I$2</c:f>
              <c:strCache>
                <c:ptCount val="7"/>
                <c:pt idx="0">
                  <c:v>2012-13 A</c:v>
                </c:pt>
                <c:pt idx="1">
                  <c:v>2013-14 A</c:v>
                </c:pt>
                <c:pt idx="2">
                  <c:v>2014-15 A</c:v>
                </c:pt>
                <c:pt idx="3">
                  <c:v>2015-16 A</c:v>
                </c:pt>
                <c:pt idx="4">
                  <c:v>2016-17 BE</c:v>
                </c:pt>
                <c:pt idx="5">
                  <c:v>2016-17 RE</c:v>
                </c:pt>
                <c:pt idx="6">
                  <c:v>2017-18 BE</c:v>
                </c:pt>
              </c:strCache>
            </c:strRef>
          </c:cat>
          <c:val>
            <c:numRef>
              <c:f>'Total SC and ST'!$C$7:$I$7</c:f>
              <c:numCache>
                <c:formatCode>0</c:formatCode>
                <c:ptCount val="7"/>
                <c:pt idx="0">
                  <c:v>3072.63</c:v>
                </c:pt>
                <c:pt idx="1">
                  <c:v>3839</c:v>
                </c:pt>
                <c:pt idx="2">
                  <c:v>3852.43</c:v>
                </c:pt>
                <c:pt idx="3">
                  <c:v>4479.88</c:v>
                </c:pt>
                <c:pt idx="4">
                  <c:v>4826.5</c:v>
                </c:pt>
                <c:pt idx="5">
                  <c:v>4826.5</c:v>
                </c:pt>
                <c:pt idx="6">
                  <c:v>5329.32</c:v>
                </c:pt>
              </c:numCache>
            </c:numRef>
          </c:val>
        </c:ser>
        <c:dLbls>
          <c:showLegendKey val="0"/>
          <c:showVal val="0"/>
          <c:showCatName val="0"/>
          <c:showSerName val="0"/>
          <c:showPercent val="0"/>
          <c:showBubbleSize val="0"/>
        </c:dLbls>
        <c:gapWidth val="75"/>
        <c:overlap val="-25"/>
        <c:axId val="71343104"/>
        <c:axId val="74695424"/>
      </c:barChart>
      <c:catAx>
        <c:axId val="71343104"/>
        <c:scaling>
          <c:orientation val="minMax"/>
        </c:scaling>
        <c:delete val="0"/>
        <c:axPos val="b"/>
        <c:majorTickMark val="none"/>
        <c:minorTickMark val="none"/>
        <c:tickLblPos val="nextTo"/>
        <c:crossAx val="74695424"/>
        <c:crosses val="autoZero"/>
        <c:auto val="1"/>
        <c:lblAlgn val="ctr"/>
        <c:lblOffset val="100"/>
        <c:noMultiLvlLbl val="0"/>
      </c:catAx>
      <c:valAx>
        <c:axId val="74695424"/>
        <c:scaling>
          <c:orientation val="minMax"/>
        </c:scaling>
        <c:delete val="1"/>
        <c:axPos val="l"/>
        <c:numFmt formatCode="0" sourceLinked="1"/>
        <c:majorTickMark val="none"/>
        <c:minorTickMark val="none"/>
        <c:tickLblPos val="nextTo"/>
        <c:crossAx val="7134310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22192829261726899"/>
          <c:y val="9.6597771062870083E-2"/>
          <c:w val="0.5326391412611885"/>
          <c:h val="0.77270650375150718"/>
        </c:manualLayout>
      </c:layout>
      <c:pieChart>
        <c:varyColors val="1"/>
        <c:ser>
          <c:idx val="0"/>
          <c:order val="0"/>
          <c:spPr>
            <a:pattFill prst="pct5">
              <a:fgClr>
                <a:schemeClr val="tx1"/>
              </a:fgClr>
              <a:bgClr>
                <a:schemeClr val="bg1"/>
              </a:bgClr>
            </a:pattFill>
          </c:spPr>
          <c:explosion val="25"/>
          <c:dPt>
            <c:idx val="0"/>
            <c:bubble3D val="0"/>
            <c:spPr>
              <a:pattFill prst="zigZag">
                <a:fgClr>
                  <a:schemeClr val="tx1"/>
                </a:fgClr>
                <a:bgClr>
                  <a:schemeClr val="bg1"/>
                </a:bgClr>
              </a:pattFill>
            </c:spPr>
          </c:dPt>
          <c:dPt>
            <c:idx val="1"/>
            <c:bubble3D val="0"/>
            <c:spPr>
              <a:pattFill prst="lgGrid">
                <a:fgClr>
                  <a:schemeClr val="tx1"/>
                </a:fgClr>
                <a:bgClr>
                  <a:schemeClr val="bg1"/>
                </a:bgClr>
              </a:pattFill>
            </c:spPr>
          </c:dPt>
          <c:dPt>
            <c:idx val="2"/>
            <c:bubble3D val="0"/>
            <c:spPr>
              <a:pattFill prst="lgCheck">
                <a:fgClr>
                  <a:schemeClr val="tx1"/>
                </a:fgClr>
                <a:bgClr>
                  <a:schemeClr val="bg1"/>
                </a:bgClr>
              </a:pattFill>
            </c:spPr>
          </c:dPt>
          <c:dPt>
            <c:idx val="3"/>
            <c:bubble3D val="0"/>
            <c:spPr>
              <a:pattFill prst="dkHorz">
                <a:fgClr>
                  <a:schemeClr val="tx1"/>
                </a:fgClr>
                <a:bgClr>
                  <a:schemeClr val="bg1"/>
                </a:bgClr>
              </a:pattFill>
            </c:spPr>
          </c:dPt>
          <c:dPt>
            <c:idx val="4"/>
            <c:bubble3D val="0"/>
            <c:spPr>
              <a:pattFill prst="dashHorz">
                <a:fgClr>
                  <a:schemeClr val="tx1"/>
                </a:fgClr>
                <a:bgClr>
                  <a:schemeClr val="bg1"/>
                </a:bgClr>
              </a:pattFill>
            </c:spPr>
          </c:dPt>
          <c:dPt>
            <c:idx val="5"/>
            <c:bubble3D val="0"/>
            <c:spPr>
              <a:pattFill prst="pct80">
                <a:fgClr>
                  <a:schemeClr val="tx1"/>
                </a:fgClr>
                <a:bgClr>
                  <a:schemeClr val="bg1"/>
                </a:bgClr>
              </a:pattFill>
            </c:spPr>
          </c:dPt>
          <c:dPt>
            <c:idx val="6"/>
            <c:bubble3D val="0"/>
            <c:spPr>
              <a:pattFill prst="ltVert">
                <a:fgClr>
                  <a:schemeClr val="tx1"/>
                </a:fgClr>
                <a:bgClr>
                  <a:schemeClr val="bg1"/>
                </a:bgClr>
              </a:pattFill>
            </c:spPr>
          </c:dPt>
          <c:dPt>
            <c:idx val="7"/>
            <c:bubble3D val="0"/>
            <c:spPr>
              <a:solidFill>
                <a:schemeClr val="tx1"/>
              </a:solidFill>
            </c:spPr>
          </c:dPt>
          <c:dPt>
            <c:idx val="9"/>
            <c:bubble3D val="0"/>
            <c:spPr>
              <a:pattFill prst="solidDmnd">
                <a:fgClr>
                  <a:schemeClr val="tx1"/>
                </a:fgClr>
                <a:bgClr>
                  <a:schemeClr val="bg1"/>
                </a:bgClr>
              </a:pattFill>
            </c:spPr>
          </c:dPt>
          <c:dPt>
            <c:idx val="10"/>
            <c:bubble3D val="0"/>
            <c:spPr>
              <a:pattFill prst="ltVert">
                <a:fgClr>
                  <a:schemeClr val="tx1"/>
                </a:fgClr>
                <a:bgClr>
                  <a:schemeClr val="bg1"/>
                </a:bgClr>
              </a:pattFill>
            </c:spPr>
          </c:dPt>
          <c:dLbls>
            <c:dLbl>
              <c:idx val="4"/>
              <c:layout>
                <c:manualLayout>
                  <c:x val="-2.564102564102564E-2"/>
                  <c:y val="0"/>
                </c:manualLayout>
              </c:layout>
              <c:dLblPos val="bestFit"/>
              <c:showLegendKey val="0"/>
              <c:showVal val="0"/>
              <c:showCatName val="1"/>
              <c:showSerName val="0"/>
              <c:showPercent val="1"/>
              <c:showBubbleSize val="0"/>
            </c:dLbl>
            <c:dLbl>
              <c:idx val="6"/>
              <c:layout>
                <c:manualLayout>
                  <c:x val="0"/>
                  <c:y val="7.1602910860782826E-2"/>
                </c:manualLayout>
              </c:layout>
              <c:dLblPos val="bestFit"/>
              <c:showLegendKey val="0"/>
              <c:showVal val="0"/>
              <c:showCatName val="1"/>
              <c:showSerName val="0"/>
              <c:showPercent val="1"/>
              <c:showBubbleSize val="0"/>
            </c:dLbl>
            <c:dLbl>
              <c:idx val="8"/>
              <c:layout>
                <c:manualLayout>
                  <c:x val="0"/>
                  <c:y val="-8.8961192281578658E-2"/>
                </c:manualLayout>
              </c:layout>
              <c:dLblPos val="bestFit"/>
              <c:showLegendKey val="0"/>
              <c:showVal val="0"/>
              <c:showCatName val="1"/>
              <c:showSerName val="0"/>
              <c:showPercent val="1"/>
              <c:showBubbleSize val="0"/>
            </c:dLbl>
            <c:txPr>
              <a:bodyPr/>
              <a:lstStyle/>
              <a:p>
                <a:pPr>
                  <a:defRPr sz="900"/>
                </a:pPr>
                <a:endParaRPr lang="en-US"/>
              </a:p>
            </c:txPr>
            <c:dLblPos val="outEnd"/>
            <c:showLegendKey val="0"/>
            <c:showVal val="0"/>
            <c:showCatName val="1"/>
            <c:showSerName val="0"/>
            <c:showPercent val="1"/>
            <c:showBubbleSize val="0"/>
            <c:showLeaderLines val="1"/>
          </c:dLbls>
          <c:cat>
            <c:strRef>
              <c:f>'Total SC and ST'!$B$65:$B$74</c:f>
              <c:strCache>
                <c:ptCount val="10"/>
                <c:pt idx="0">
                  <c:v>M/o Agriculture and Farmers Welfare</c:v>
                </c:pt>
                <c:pt idx="1">
                  <c:v>M/o  Human Resource Development</c:v>
                </c:pt>
                <c:pt idx="2">
                  <c:v>M/o Health and Family Welfare and AYUSH</c:v>
                </c:pt>
                <c:pt idx="3">
                  <c:v>M/o Drinking Water and Sanitation</c:v>
                </c:pt>
                <c:pt idx="4">
                  <c:v>M/o Women and Child Development</c:v>
                </c:pt>
                <c:pt idx="5">
                  <c:v>M/o Rural Development</c:v>
                </c:pt>
                <c:pt idx="6">
                  <c:v>M/o Labour and Employment</c:v>
                </c:pt>
                <c:pt idx="7">
                  <c:v>M/o Micro, Small and Medium Enterprises</c:v>
                </c:pt>
                <c:pt idx="8">
                  <c:v>M/o Tribal Affairs </c:v>
                </c:pt>
                <c:pt idx="9">
                  <c:v>Others</c:v>
                </c:pt>
              </c:strCache>
            </c:strRef>
          </c:cat>
          <c:val>
            <c:numRef>
              <c:f>'Total SC and ST'!$C$65:$C$74</c:f>
              <c:numCache>
                <c:formatCode>General</c:formatCode>
                <c:ptCount val="10"/>
                <c:pt idx="0">
                  <c:v>3368.28</c:v>
                </c:pt>
                <c:pt idx="1">
                  <c:v>6345.03</c:v>
                </c:pt>
                <c:pt idx="2">
                  <c:v>2993.41</c:v>
                </c:pt>
                <c:pt idx="3">
                  <c:v>1999.83</c:v>
                </c:pt>
                <c:pt idx="4">
                  <c:v>1420</c:v>
                </c:pt>
                <c:pt idx="5">
                  <c:v>6156.69</c:v>
                </c:pt>
                <c:pt idx="6">
                  <c:v>564.03</c:v>
                </c:pt>
                <c:pt idx="7">
                  <c:v>497.92</c:v>
                </c:pt>
                <c:pt idx="8">
                  <c:v>5300.14</c:v>
                </c:pt>
                <c:pt idx="9">
                  <c:v>3274.18</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dc:creator>
  <cp:lastModifiedBy>Priyanka</cp:lastModifiedBy>
  <cp:revision>3</cp:revision>
  <dcterms:created xsi:type="dcterms:W3CDTF">2017-02-02T01:03:00Z</dcterms:created>
  <dcterms:modified xsi:type="dcterms:W3CDTF">2017-02-02T01:33:00Z</dcterms:modified>
</cp:coreProperties>
</file>