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816CD4" w:rsidRDefault="00065484" w:rsidP="006D6586">
      <w:pPr>
        <w:jc w:val="center"/>
        <w:rPr>
          <w:rFonts w:cstheme="minorHAnsi"/>
          <w:b/>
          <w:lang w:val="en-GB"/>
        </w:rPr>
      </w:pPr>
      <w:r w:rsidRPr="00065484">
        <w:rPr>
          <w:rFonts w:cstheme="minorHAnsi"/>
          <w:b/>
          <w:noProof/>
          <w:lang w:eastAsia="en-IN"/>
        </w:rPr>
        <mc:AlternateContent>
          <mc:Choice Requires="wps">
            <w:drawing>
              <wp:anchor distT="45720" distB="45720" distL="114300" distR="114300" simplePos="0" relativeHeight="251659264" behindDoc="0" locked="0" layoutInCell="1" allowOverlap="1">
                <wp:simplePos x="0" y="0"/>
                <wp:positionH relativeFrom="column">
                  <wp:posOffset>9525</wp:posOffset>
                </wp:positionH>
                <wp:positionV relativeFrom="paragraph">
                  <wp:posOffset>419100</wp:posOffset>
                </wp:positionV>
                <wp:extent cx="5876925" cy="26193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619375"/>
                        </a:xfrm>
                        <a:prstGeom prst="rect">
                          <a:avLst/>
                        </a:prstGeom>
                        <a:solidFill>
                          <a:srgbClr val="FFFFFF"/>
                        </a:solidFill>
                        <a:ln w="9525">
                          <a:solidFill>
                            <a:srgbClr val="000000"/>
                          </a:solidFill>
                          <a:miter lim="800000"/>
                          <a:headEnd/>
                          <a:tailEnd/>
                        </a:ln>
                      </wps:spPr>
                      <wps:txbx>
                        <w:txbxContent>
                          <w:p w:rsidR="00065484" w:rsidRDefault="00065484" w:rsidP="000211BC">
                            <w:pPr>
                              <w:jc w:val="center"/>
                              <w:rPr>
                                <w:rFonts w:cstheme="minorHAnsi"/>
                                <w:b/>
                                <w:lang w:val="en-GB"/>
                              </w:rPr>
                            </w:pPr>
                            <w:r>
                              <w:rPr>
                                <w:rFonts w:cstheme="minorHAnsi"/>
                                <w:b/>
                                <w:lang w:val="en-GB"/>
                              </w:rPr>
                              <w:t>Highlights</w:t>
                            </w:r>
                          </w:p>
                          <w:p w:rsidR="00065484" w:rsidRPr="000D06A7" w:rsidRDefault="00065484" w:rsidP="00065484">
                            <w:pPr>
                              <w:pStyle w:val="ListParagraph"/>
                              <w:numPr>
                                <w:ilvl w:val="0"/>
                                <w:numId w:val="7"/>
                              </w:numPr>
                              <w:spacing w:after="0"/>
                              <w:rPr>
                                <w:rFonts w:cstheme="minorHAnsi"/>
                                <w:lang w:val="en-GB"/>
                              </w:rPr>
                            </w:pPr>
                            <w:r w:rsidRPr="000D06A7">
                              <w:rPr>
                                <w:rFonts w:cstheme="minorHAnsi"/>
                                <w:lang w:val="en-GB"/>
                              </w:rPr>
                              <w:t xml:space="preserve">In absolute terms allocations for nutrition related schemes in the Union Budget increased from </w:t>
                            </w:r>
                            <w:proofErr w:type="spellStart"/>
                            <w:r w:rsidRPr="000D06A7">
                              <w:rPr>
                                <w:rFonts w:cstheme="minorHAnsi"/>
                                <w:lang w:val="en-GB"/>
                              </w:rPr>
                              <w:t>Rs</w:t>
                            </w:r>
                            <w:proofErr w:type="spellEnd"/>
                            <w:r w:rsidRPr="000D06A7">
                              <w:rPr>
                                <w:rFonts w:cstheme="minorHAnsi"/>
                                <w:lang w:val="en-GB"/>
                              </w:rPr>
                              <w:t>. 2</w:t>
                            </w:r>
                            <w:r>
                              <w:rPr>
                                <w:rFonts w:cstheme="minorHAnsi"/>
                                <w:lang w:val="en-GB"/>
                              </w:rPr>
                              <w:t>,</w:t>
                            </w:r>
                            <w:r w:rsidRPr="000D06A7">
                              <w:rPr>
                                <w:rFonts w:cstheme="minorHAnsi"/>
                                <w:lang w:val="en-GB"/>
                              </w:rPr>
                              <w:t>00</w:t>
                            </w:r>
                            <w:r>
                              <w:rPr>
                                <w:rFonts w:cstheme="minorHAnsi"/>
                                <w:lang w:val="en-GB"/>
                              </w:rPr>
                              <w:t>,</w:t>
                            </w:r>
                            <w:r w:rsidRPr="000D06A7">
                              <w:rPr>
                                <w:rFonts w:cstheme="minorHAnsi"/>
                                <w:lang w:val="en-GB"/>
                              </w:rPr>
                              <w:t xml:space="preserve">071 crore in 2012-13 to </w:t>
                            </w:r>
                            <w:proofErr w:type="spellStart"/>
                            <w:r w:rsidRPr="000D06A7">
                              <w:rPr>
                                <w:rFonts w:cstheme="minorHAnsi"/>
                                <w:lang w:val="en-GB"/>
                              </w:rPr>
                              <w:t>Rs</w:t>
                            </w:r>
                            <w:proofErr w:type="spellEnd"/>
                            <w:r w:rsidRPr="000D06A7">
                              <w:rPr>
                                <w:rFonts w:cstheme="minorHAnsi"/>
                                <w:lang w:val="en-GB"/>
                              </w:rPr>
                              <w:t>. 2</w:t>
                            </w:r>
                            <w:r>
                              <w:rPr>
                                <w:rFonts w:cstheme="minorHAnsi"/>
                                <w:lang w:val="en-GB"/>
                              </w:rPr>
                              <w:t>,</w:t>
                            </w:r>
                            <w:r w:rsidRPr="000D06A7">
                              <w:rPr>
                                <w:rFonts w:cstheme="minorHAnsi"/>
                                <w:lang w:val="en-GB"/>
                              </w:rPr>
                              <w:t>98</w:t>
                            </w:r>
                            <w:r>
                              <w:rPr>
                                <w:rFonts w:cstheme="minorHAnsi"/>
                                <w:lang w:val="en-GB"/>
                              </w:rPr>
                              <w:t>,</w:t>
                            </w:r>
                            <w:r w:rsidRPr="000D06A7">
                              <w:rPr>
                                <w:rFonts w:cstheme="minorHAnsi"/>
                                <w:lang w:val="en-GB"/>
                              </w:rPr>
                              <w:t xml:space="preserve">316 crore in 2017-18 </w:t>
                            </w:r>
                            <w:r>
                              <w:rPr>
                                <w:rFonts w:cstheme="minorHAnsi"/>
                                <w:lang w:val="en-GB"/>
                              </w:rPr>
                              <w:t>(</w:t>
                            </w:r>
                            <w:r w:rsidRPr="000D06A7">
                              <w:rPr>
                                <w:rFonts w:cstheme="minorHAnsi"/>
                                <w:lang w:val="en-GB"/>
                              </w:rPr>
                              <w:t>BE</w:t>
                            </w:r>
                            <w:r>
                              <w:rPr>
                                <w:rFonts w:cstheme="minorHAnsi"/>
                                <w:lang w:val="en-GB"/>
                              </w:rPr>
                              <w:t>)</w:t>
                            </w:r>
                            <w:r w:rsidRPr="000D06A7">
                              <w:rPr>
                                <w:rFonts w:cstheme="minorHAnsi"/>
                                <w:lang w:val="en-GB"/>
                              </w:rPr>
                              <w:t>.</w:t>
                            </w:r>
                          </w:p>
                          <w:p w:rsidR="00065484" w:rsidRPr="000D06A7" w:rsidRDefault="00065484" w:rsidP="00065484">
                            <w:pPr>
                              <w:pStyle w:val="ListParagraph"/>
                              <w:numPr>
                                <w:ilvl w:val="0"/>
                                <w:numId w:val="7"/>
                              </w:numPr>
                              <w:spacing w:after="0"/>
                              <w:rPr>
                                <w:rFonts w:cstheme="minorHAnsi"/>
                                <w:lang w:val="en-GB"/>
                              </w:rPr>
                            </w:pPr>
                            <w:r w:rsidRPr="000D06A7">
                              <w:rPr>
                                <w:rFonts w:cstheme="minorHAnsi"/>
                                <w:lang w:val="en-GB"/>
                              </w:rPr>
                              <w:t>There has been a consistent growth in allocation for nutrition related schemes in the Union Budget since 2012-13.</w:t>
                            </w:r>
                          </w:p>
                          <w:p w:rsidR="00065484" w:rsidRPr="000D06A7" w:rsidRDefault="00065484" w:rsidP="00065484">
                            <w:pPr>
                              <w:pStyle w:val="ListParagraph"/>
                              <w:numPr>
                                <w:ilvl w:val="0"/>
                                <w:numId w:val="7"/>
                              </w:numPr>
                              <w:spacing w:after="0"/>
                              <w:rPr>
                                <w:rFonts w:cstheme="minorHAnsi"/>
                                <w:lang w:val="en-GB"/>
                              </w:rPr>
                            </w:pPr>
                            <w:r w:rsidRPr="000D06A7">
                              <w:rPr>
                                <w:rFonts w:cstheme="minorHAnsi"/>
                                <w:lang w:val="en-GB"/>
                              </w:rPr>
                              <w:t xml:space="preserve">However, share of allocation / expenditure for nutrition related schemes in the total Union Budget declined from 14.2 percent in 2012-13 to 14.3 percent in 2015-16, declined to 13.9 percent in 2017-18 </w:t>
                            </w:r>
                            <w:r>
                              <w:rPr>
                                <w:rFonts w:cstheme="minorHAnsi"/>
                                <w:lang w:val="en-GB"/>
                              </w:rPr>
                              <w:t>(</w:t>
                            </w:r>
                            <w:r w:rsidRPr="000D06A7">
                              <w:rPr>
                                <w:rFonts w:cstheme="minorHAnsi"/>
                                <w:lang w:val="en-GB"/>
                              </w:rPr>
                              <w:t>BE</w:t>
                            </w:r>
                            <w:r>
                              <w:rPr>
                                <w:rFonts w:cstheme="minorHAnsi"/>
                                <w:lang w:val="en-GB"/>
                              </w:rPr>
                              <w:t>)</w:t>
                            </w:r>
                            <w:r w:rsidRPr="000D06A7">
                              <w:rPr>
                                <w:rFonts w:cstheme="minorHAnsi"/>
                                <w:lang w:val="en-GB"/>
                              </w:rPr>
                              <w:t>.</w:t>
                            </w:r>
                          </w:p>
                          <w:p w:rsidR="00065484" w:rsidRPr="000D06A7" w:rsidRDefault="00065484" w:rsidP="00065484">
                            <w:pPr>
                              <w:pStyle w:val="ListParagraph"/>
                              <w:numPr>
                                <w:ilvl w:val="0"/>
                                <w:numId w:val="7"/>
                              </w:numPr>
                              <w:spacing w:after="0"/>
                              <w:rPr>
                                <w:rFonts w:cstheme="minorHAnsi"/>
                                <w:lang w:val="en-GB"/>
                              </w:rPr>
                            </w:pPr>
                            <w:r w:rsidRPr="000D06A7">
                              <w:rPr>
                                <w:rFonts w:cstheme="minorHAnsi"/>
                                <w:lang w:val="en-GB"/>
                              </w:rPr>
                              <w:t xml:space="preserve">The share of allocation / expenditure for nutrition related schemes in the GDP declined from 2 percent in 2012-13 to 1.8 percent in 2017-18 </w:t>
                            </w:r>
                            <w:r w:rsidR="00897F9C">
                              <w:rPr>
                                <w:rFonts w:cstheme="minorHAnsi"/>
                                <w:lang w:val="en-GB"/>
                              </w:rPr>
                              <w:t>(</w:t>
                            </w:r>
                            <w:r w:rsidRPr="000D06A7">
                              <w:rPr>
                                <w:rFonts w:cstheme="minorHAnsi"/>
                                <w:lang w:val="en-GB"/>
                              </w:rPr>
                              <w:t>BE</w:t>
                            </w:r>
                            <w:r w:rsidR="00897F9C">
                              <w:rPr>
                                <w:rFonts w:cstheme="minorHAnsi"/>
                                <w:lang w:val="en-GB"/>
                              </w:rPr>
                              <w:t>)</w:t>
                            </w:r>
                            <w:r w:rsidRPr="000D06A7">
                              <w:rPr>
                                <w:rFonts w:cstheme="minorHAnsi"/>
                                <w:lang w:val="en-GB"/>
                              </w:rPr>
                              <w:t>.</w:t>
                            </w:r>
                          </w:p>
                          <w:p w:rsidR="00065484" w:rsidRPr="000D06A7" w:rsidRDefault="00065484" w:rsidP="00065484">
                            <w:pPr>
                              <w:pStyle w:val="ListParagraph"/>
                              <w:numPr>
                                <w:ilvl w:val="0"/>
                                <w:numId w:val="7"/>
                              </w:numPr>
                              <w:spacing w:after="0"/>
                              <w:rPr>
                                <w:rFonts w:cstheme="minorHAnsi"/>
                                <w:lang w:val="en-GB"/>
                              </w:rPr>
                            </w:pPr>
                            <w:r w:rsidRPr="000D06A7">
                              <w:rPr>
                                <w:rFonts w:cstheme="minorHAnsi"/>
                                <w:lang w:val="en-GB"/>
                              </w:rPr>
                              <w:t>The highest increase in allocation for MBP seen in the current budget compared to Union Budget allocations for earlier years.</w:t>
                            </w:r>
                          </w:p>
                          <w:p w:rsidR="00065484" w:rsidRDefault="000654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left:0;text-align:left;margin-left:.75pt;margin-top:33pt;width:462.75pt;height:206.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">
                <v:textbox>
                  <w:txbxContent>
                    <w:p w:rsidR="00065484" w:rsidRDefault="00065484" w:rsidP="000211BC">
                      <w:pPr>
                        <w:jc w:val="center"/>
                        <w:rPr>
                          <w:rFonts w:cstheme="minorHAnsi"/>
                          <w:b/>
                          <w:lang w:val="en-GB"/>
                        </w:rPr>
                      </w:pPr>
                      <w:r>
                        <w:rPr>
                          <w:rFonts w:cstheme="minorHAnsi"/>
                          <w:b/>
                          <w:lang w:val="en-GB"/>
                        </w:rPr>
                        <w:t>Highlights</w:t>
                      </w:r>
                    </w:p>
                    <w:p w:rsidR="00065484" w:rsidRPr="000D06A7" w:rsidRDefault="00065484" w:rsidP="00065484">
                      <w:pPr>
                        <w:pStyle w:val="ListParagraph"/>
                        <w:numPr>
                          <w:ilvl w:val="0"/>
                          <w:numId w:val="7"/>
                        </w:numPr>
                        <w:spacing w:after="0"/>
                        <w:rPr>
                          <w:rFonts w:cstheme="minorHAnsi"/>
                          <w:lang w:val="en-GB"/>
                        </w:rPr>
                      </w:pPr>
                      <w:r w:rsidRPr="000D06A7">
                        <w:rPr>
                          <w:rFonts w:cstheme="minorHAnsi"/>
                          <w:lang w:val="en-GB"/>
                        </w:rPr>
                        <w:t xml:space="preserve">In absolute terms allocations for nutrition related schemes in the Union Budget increased from </w:t>
                      </w:r>
                      <w:proofErr w:type="spellStart"/>
                      <w:r w:rsidRPr="000D06A7">
                        <w:rPr>
                          <w:rFonts w:cstheme="minorHAnsi"/>
                          <w:lang w:val="en-GB"/>
                        </w:rPr>
                        <w:t>Rs</w:t>
                      </w:r>
                      <w:proofErr w:type="spellEnd"/>
                      <w:r w:rsidRPr="000D06A7">
                        <w:rPr>
                          <w:rFonts w:cstheme="minorHAnsi"/>
                          <w:lang w:val="en-GB"/>
                        </w:rPr>
                        <w:t>. 2</w:t>
                      </w:r>
                      <w:r>
                        <w:rPr>
                          <w:rFonts w:cstheme="minorHAnsi"/>
                          <w:lang w:val="en-GB"/>
                        </w:rPr>
                        <w:t>,</w:t>
                      </w:r>
                      <w:r w:rsidRPr="000D06A7">
                        <w:rPr>
                          <w:rFonts w:cstheme="minorHAnsi"/>
                          <w:lang w:val="en-GB"/>
                        </w:rPr>
                        <w:t>00</w:t>
                      </w:r>
                      <w:r>
                        <w:rPr>
                          <w:rFonts w:cstheme="minorHAnsi"/>
                          <w:lang w:val="en-GB"/>
                        </w:rPr>
                        <w:t>,</w:t>
                      </w:r>
                      <w:r w:rsidRPr="000D06A7">
                        <w:rPr>
                          <w:rFonts w:cstheme="minorHAnsi"/>
                          <w:lang w:val="en-GB"/>
                        </w:rPr>
                        <w:t xml:space="preserve">071 crore in 2012-13 to </w:t>
                      </w:r>
                      <w:proofErr w:type="spellStart"/>
                      <w:r w:rsidRPr="000D06A7">
                        <w:rPr>
                          <w:rFonts w:cstheme="minorHAnsi"/>
                          <w:lang w:val="en-GB"/>
                        </w:rPr>
                        <w:t>Rs</w:t>
                      </w:r>
                      <w:proofErr w:type="spellEnd"/>
                      <w:r w:rsidRPr="000D06A7">
                        <w:rPr>
                          <w:rFonts w:cstheme="minorHAnsi"/>
                          <w:lang w:val="en-GB"/>
                        </w:rPr>
                        <w:t>. 2</w:t>
                      </w:r>
                      <w:r>
                        <w:rPr>
                          <w:rFonts w:cstheme="minorHAnsi"/>
                          <w:lang w:val="en-GB"/>
                        </w:rPr>
                        <w:t>,</w:t>
                      </w:r>
                      <w:r w:rsidRPr="000D06A7">
                        <w:rPr>
                          <w:rFonts w:cstheme="minorHAnsi"/>
                          <w:lang w:val="en-GB"/>
                        </w:rPr>
                        <w:t>98</w:t>
                      </w:r>
                      <w:r>
                        <w:rPr>
                          <w:rFonts w:cstheme="minorHAnsi"/>
                          <w:lang w:val="en-GB"/>
                        </w:rPr>
                        <w:t>,</w:t>
                      </w:r>
                      <w:r w:rsidRPr="000D06A7">
                        <w:rPr>
                          <w:rFonts w:cstheme="minorHAnsi"/>
                          <w:lang w:val="en-GB"/>
                        </w:rPr>
                        <w:t xml:space="preserve">316 crore in 2017-18 </w:t>
                      </w:r>
                      <w:r>
                        <w:rPr>
                          <w:rFonts w:cstheme="minorHAnsi"/>
                          <w:lang w:val="en-GB"/>
                        </w:rPr>
                        <w:t>(</w:t>
                      </w:r>
                      <w:r w:rsidRPr="000D06A7">
                        <w:rPr>
                          <w:rFonts w:cstheme="minorHAnsi"/>
                          <w:lang w:val="en-GB"/>
                        </w:rPr>
                        <w:t>BE</w:t>
                      </w:r>
                      <w:r>
                        <w:rPr>
                          <w:rFonts w:cstheme="minorHAnsi"/>
                          <w:lang w:val="en-GB"/>
                        </w:rPr>
                        <w:t>)</w:t>
                      </w:r>
                      <w:r w:rsidRPr="000D06A7">
                        <w:rPr>
                          <w:rFonts w:cstheme="minorHAnsi"/>
                          <w:lang w:val="en-GB"/>
                        </w:rPr>
                        <w:t>.</w:t>
                      </w:r>
                    </w:p>
                    <w:p w:rsidR="00065484" w:rsidRPr="000D06A7" w:rsidRDefault="00065484" w:rsidP="00065484">
                      <w:pPr>
                        <w:pStyle w:val="ListParagraph"/>
                        <w:numPr>
                          <w:ilvl w:val="0"/>
                          <w:numId w:val="7"/>
                        </w:numPr>
                        <w:spacing w:after="0"/>
                        <w:rPr>
                          <w:rFonts w:cstheme="minorHAnsi"/>
                          <w:lang w:val="en-GB"/>
                        </w:rPr>
                      </w:pPr>
                      <w:r w:rsidRPr="000D06A7">
                        <w:rPr>
                          <w:rFonts w:cstheme="minorHAnsi"/>
                          <w:lang w:val="en-GB"/>
                        </w:rPr>
                        <w:t>There has been a consistent growth in allocation for nutrition related schemes in the Union Budget since 2012-13.</w:t>
                      </w:r>
                    </w:p>
                    <w:p w:rsidR="00065484" w:rsidRPr="000D06A7" w:rsidRDefault="00065484" w:rsidP="00065484">
                      <w:pPr>
                        <w:pStyle w:val="ListParagraph"/>
                        <w:numPr>
                          <w:ilvl w:val="0"/>
                          <w:numId w:val="7"/>
                        </w:numPr>
                        <w:spacing w:after="0"/>
                        <w:rPr>
                          <w:rFonts w:cstheme="minorHAnsi"/>
                          <w:lang w:val="en-GB"/>
                        </w:rPr>
                      </w:pPr>
                      <w:r w:rsidRPr="000D06A7">
                        <w:rPr>
                          <w:rFonts w:cstheme="minorHAnsi"/>
                          <w:lang w:val="en-GB"/>
                        </w:rPr>
                        <w:t xml:space="preserve">However, share of allocation / expenditure for nutrition related schemes in the total Union Budget declined from 14.2 percent in 2012-13 to 14.3 percent in 2015-16, declined to 13.9 percent in 2017-18 </w:t>
                      </w:r>
                      <w:r>
                        <w:rPr>
                          <w:rFonts w:cstheme="minorHAnsi"/>
                          <w:lang w:val="en-GB"/>
                        </w:rPr>
                        <w:t>(</w:t>
                      </w:r>
                      <w:r w:rsidRPr="000D06A7">
                        <w:rPr>
                          <w:rFonts w:cstheme="minorHAnsi"/>
                          <w:lang w:val="en-GB"/>
                        </w:rPr>
                        <w:t>BE</w:t>
                      </w:r>
                      <w:r>
                        <w:rPr>
                          <w:rFonts w:cstheme="minorHAnsi"/>
                          <w:lang w:val="en-GB"/>
                        </w:rPr>
                        <w:t>)</w:t>
                      </w:r>
                      <w:r w:rsidRPr="000D06A7">
                        <w:rPr>
                          <w:rFonts w:cstheme="minorHAnsi"/>
                          <w:lang w:val="en-GB"/>
                        </w:rPr>
                        <w:t>.</w:t>
                      </w:r>
                    </w:p>
                    <w:p w:rsidR="00065484" w:rsidRPr="000D06A7" w:rsidRDefault="00065484" w:rsidP="00065484">
                      <w:pPr>
                        <w:pStyle w:val="ListParagraph"/>
                        <w:numPr>
                          <w:ilvl w:val="0"/>
                          <w:numId w:val="7"/>
                        </w:numPr>
                        <w:spacing w:after="0"/>
                        <w:rPr>
                          <w:rFonts w:cstheme="minorHAnsi"/>
                          <w:lang w:val="en-GB"/>
                        </w:rPr>
                      </w:pPr>
                      <w:r w:rsidRPr="000D06A7">
                        <w:rPr>
                          <w:rFonts w:cstheme="minorHAnsi"/>
                          <w:lang w:val="en-GB"/>
                        </w:rPr>
                        <w:t xml:space="preserve">The share of allocation / expenditure for nutrition related schemes in the GDP declined from 2 percent in 2012-13 to 1.8 percent in 2017-18 </w:t>
                      </w:r>
                      <w:r w:rsidR="00897F9C">
                        <w:rPr>
                          <w:rFonts w:cstheme="minorHAnsi"/>
                          <w:lang w:val="en-GB"/>
                        </w:rPr>
                        <w:t>(</w:t>
                      </w:r>
                      <w:r w:rsidRPr="000D06A7">
                        <w:rPr>
                          <w:rFonts w:cstheme="minorHAnsi"/>
                          <w:lang w:val="en-GB"/>
                        </w:rPr>
                        <w:t>BE</w:t>
                      </w:r>
                      <w:r w:rsidR="00897F9C">
                        <w:rPr>
                          <w:rFonts w:cstheme="minorHAnsi"/>
                          <w:lang w:val="en-GB"/>
                        </w:rPr>
                        <w:t>)</w:t>
                      </w:r>
                      <w:r w:rsidRPr="000D06A7">
                        <w:rPr>
                          <w:rFonts w:cstheme="minorHAnsi"/>
                          <w:lang w:val="en-GB"/>
                        </w:rPr>
                        <w:t>.</w:t>
                      </w:r>
                    </w:p>
                    <w:p w:rsidR="00065484" w:rsidRPr="000D06A7" w:rsidRDefault="00065484" w:rsidP="00065484">
                      <w:pPr>
                        <w:pStyle w:val="ListParagraph"/>
                        <w:numPr>
                          <w:ilvl w:val="0"/>
                          <w:numId w:val="7"/>
                        </w:numPr>
                        <w:spacing w:after="0"/>
                        <w:rPr>
                          <w:rFonts w:cstheme="minorHAnsi"/>
                          <w:lang w:val="en-GB"/>
                        </w:rPr>
                      </w:pPr>
                      <w:r w:rsidRPr="000D06A7">
                        <w:rPr>
                          <w:rFonts w:cstheme="minorHAnsi"/>
                          <w:lang w:val="en-GB"/>
                        </w:rPr>
                        <w:t>The highest increase in allocation for MBP seen in the current budget compared to Union Budget allocations for earlier years.</w:t>
                      </w:r>
                    </w:p>
                    <w:p w:rsidR="00065484" w:rsidRDefault="00065484"/>
                  </w:txbxContent>
                </v:textbox>
                <w10:wrap type="square"/>
              </v:shape>
            </w:pict>
          </mc:Fallback>
        </mc:AlternateContent>
      </w:r>
      <w:r w:rsidR="00816CD4" w:rsidRPr="006D6586">
        <w:rPr>
          <w:rFonts w:cstheme="minorHAnsi"/>
          <w:b/>
          <w:lang w:val="en-GB"/>
        </w:rPr>
        <w:t>9</w:t>
      </w:r>
      <w:r w:rsidR="006D6586" w:rsidRPr="006D6586">
        <w:rPr>
          <w:rFonts w:cstheme="minorHAnsi"/>
          <w:b/>
          <w:lang w:val="en-GB"/>
        </w:rPr>
        <w:t>.</w:t>
      </w:r>
      <w:r w:rsidR="00816CD4" w:rsidRPr="006D6586">
        <w:rPr>
          <w:rFonts w:cstheme="minorHAnsi"/>
          <w:b/>
          <w:lang w:val="en-GB"/>
        </w:rPr>
        <w:t xml:space="preserve"> </w:t>
      </w:r>
      <w:r w:rsidR="000211BC" w:rsidRPr="006D6586">
        <w:rPr>
          <w:rFonts w:cstheme="minorHAnsi"/>
          <w:b/>
          <w:lang w:val="en-GB"/>
        </w:rPr>
        <w:t>NUTRITION AND FOOD SECURITY</w:t>
      </w:r>
    </w:p>
    <w:p w:rsidR="006D6586" w:rsidRDefault="00065484" w:rsidP="006D6586">
      <w:pPr>
        <w:jc w:val="both"/>
        <w:rPr>
          <w:rFonts w:cstheme="minorHAnsi"/>
          <w:lang w:val="en-GB"/>
        </w:rPr>
      </w:pPr>
      <w:r>
        <w:rPr>
          <w:rFonts w:cstheme="minorHAnsi"/>
          <w:b/>
          <w:lang w:val="en-GB"/>
        </w:rPr>
        <w:br/>
      </w:r>
      <w:r w:rsidR="006D6586">
        <w:rPr>
          <w:rFonts w:cstheme="minorHAnsi"/>
          <w:lang w:val="en-GB"/>
        </w:rPr>
        <w:t xml:space="preserve">Undernutrition </w:t>
      </w:r>
      <w:r w:rsidR="006D6586" w:rsidRPr="006D6586">
        <w:rPr>
          <w:rFonts w:cstheme="minorHAnsi"/>
          <w:lang w:val="en-GB"/>
        </w:rPr>
        <w:t xml:space="preserve">has </w:t>
      </w:r>
      <w:r>
        <w:rPr>
          <w:rFonts w:cstheme="minorHAnsi"/>
          <w:lang w:val="en-GB"/>
        </w:rPr>
        <w:t xml:space="preserve">a </w:t>
      </w:r>
      <w:r w:rsidR="006D6586" w:rsidRPr="006D6586">
        <w:rPr>
          <w:rFonts w:cstheme="minorHAnsi"/>
          <w:lang w:val="en-GB"/>
        </w:rPr>
        <w:t xml:space="preserve">lifelong impact on cognitive development, health, and future earnings. Investments in nutrition programmes will not only build human capital but would significantly contribute in economic growth as well. </w:t>
      </w:r>
      <w:r w:rsidR="006D6586">
        <w:rPr>
          <w:rFonts w:cstheme="minorHAnsi"/>
          <w:lang w:val="en-GB"/>
        </w:rPr>
        <w:t xml:space="preserve">However, </w:t>
      </w:r>
      <w:r w:rsidR="00B72BE7" w:rsidRPr="006D6586">
        <w:rPr>
          <w:rFonts w:cstheme="minorHAnsi"/>
          <w:lang w:val="en-GB"/>
        </w:rPr>
        <w:t>a</w:t>
      </w:r>
      <w:r w:rsidR="007D2A0F" w:rsidRPr="006D6586">
        <w:rPr>
          <w:rFonts w:cstheme="minorHAnsi"/>
          <w:lang w:val="en-GB"/>
        </w:rPr>
        <w:t>lmost 38.7</w:t>
      </w:r>
      <w:r w:rsidR="00A27C07" w:rsidRPr="006D6586">
        <w:rPr>
          <w:rFonts w:cstheme="minorHAnsi"/>
          <w:lang w:val="en-GB"/>
        </w:rPr>
        <w:t xml:space="preserve"> percent</w:t>
      </w:r>
      <w:r w:rsidR="007D2A0F" w:rsidRPr="006D6586">
        <w:rPr>
          <w:rFonts w:cstheme="minorHAnsi"/>
          <w:lang w:val="en-GB"/>
        </w:rPr>
        <w:t xml:space="preserve"> children </w:t>
      </w:r>
      <w:r w:rsidR="00B72BE7" w:rsidRPr="006D6586">
        <w:rPr>
          <w:rFonts w:cstheme="minorHAnsi"/>
          <w:lang w:val="en-GB"/>
        </w:rPr>
        <w:t xml:space="preserve">under-5 years of age </w:t>
      </w:r>
      <w:r w:rsidR="007D2A0F" w:rsidRPr="006D6586">
        <w:rPr>
          <w:rFonts w:cstheme="minorHAnsi"/>
          <w:lang w:val="en-GB"/>
        </w:rPr>
        <w:t xml:space="preserve">in India are stunted and </w:t>
      </w:r>
      <w:r w:rsidR="009F4C40" w:rsidRPr="006D6586">
        <w:rPr>
          <w:rFonts w:cstheme="minorHAnsi"/>
          <w:lang w:val="en-GB"/>
        </w:rPr>
        <w:t>73</w:t>
      </w:r>
      <w:r w:rsidR="00A27C07" w:rsidRPr="006D6586">
        <w:rPr>
          <w:rFonts w:cstheme="minorHAnsi"/>
          <w:lang w:val="en-GB"/>
        </w:rPr>
        <w:t xml:space="preserve"> percent</w:t>
      </w:r>
      <w:r w:rsidR="00E8234B" w:rsidRPr="006D6586">
        <w:rPr>
          <w:rFonts w:cstheme="minorHAnsi"/>
          <w:lang w:val="en-GB"/>
        </w:rPr>
        <w:t xml:space="preserve"> </w:t>
      </w:r>
      <w:r w:rsidR="009F4C40" w:rsidRPr="006D6586">
        <w:rPr>
          <w:rFonts w:cstheme="minorHAnsi"/>
          <w:lang w:val="en-GB"/>
        </w:rPr>
        <w:t>women in reproductive age are anaemic</w:t>
      </w:r>
      <w:r w:rsidR="006D6586">
        <w:rPr>
          <w:rFonts w:cstheme="minorHAnsi"/>
          <w:lang w:val="en-GB"/>
        </w:rPr>
        <w:t xml:space="preserve"> (Rapid Survey on Children, </w:t>
      </w:r>
      <w:r w:rsidR="006D6586" w:rsidRPr="006D6586">
        <w:rPr>
          <w:rFonts w:cstheme="minorHAnsi"/>
          <w:lang w:val="en-GB"/>
        </w:rPr>
        <w:t>2013-14)</w:t>
      </w:r>
      <w:r w:rsidR="009F4C40" w:rsidRPr="006D6586">
        <w:rPr>
          <w:rFonts w:cstheme="minorHAnsi"/>
          <w:lang w:val="en-GB"/>
        </w:rPr>
        <w:t xml:space="preserve">. These are not the numbers that a </w:t>
      </w:r>
      <w:r w:rsidR="006D6586">
        <w:rPr>
          <w:rFonts w:cstheme="minorHAnsi"/>
          <w:lang w:val="en-GB"/>
        </w:rPr>
        <w:t>country</w:t>
      </w:r>
      <w:r w:rsidR="007D7A8D" w:rsidRPr="006D6586">
        <w:rPr>
          <w:rFonts w:cstheme="minorHAnsi"/>
          <w:lang w:val="en-GB"/>
        </w:rPr>
        <w:t xml:space="preserve"> like India</w:t>
      </w:r>
      <w:r w:rsidR="009F4C40" w:rsidRPr="006D6586">
        <w:rPr>
          <w:rFonts w:cstheme="minorHAnsi"/>
          <w:lang w:val="en-GB"/>
        </w:rPr>
        <w:t xml:space="preserve">, which is </w:t>
      </w:r>
      <w:r w:rsidR="00B72BE7" w:rsidRPr="006D6586">
        <w:rPr>
          <w:rFonts w:cstheme="minorHAnsi"/>
          <w:lang w:val="en-GB"/>
        </w:rPr>
        <w:t>“seen as</w:t>
      </w:r>
      <w:r w:rsidR="009F4C40" w:rsidRPr="006D6586">
        <w:rPr>
          <w:rFonts w:cstheme="minorHAnsi"/>
          <w:lang w:val="en-GB"/>
        </w:rPr>
        <w:t xml:space="preserve"> an engine of global growth”, </w:t>
      </w:r>
      <w:r>
        <w:rPr>
          <w:rFonts w:cstheme="minorHAnsi"/>
          <w:lang w:val="en-GB"/>
        </w:rPr>
        <w:t>should be</w:t>
      </w:r>
      <w:r w:rsidR="007D7A8D" w:rsidRPr="006D6586">
        <w:rPr>
          <w:rFonts w:cstheme="minorHAnsi"/>
          <w:lang w:val="en-GB"/>
        </w:rPr>
        <w:t xml:space="preserve"> willing to reckon with. </w:t>
      </w:r>
      <w:r w:rsidR="006D6586">
        <w:rPr>
          <w:rFonts w:cstheme="minorHAnsi"/>
          <w:lang w:val="en-GB"/>
        </w:rPr>
        <w:t>The Finance Minister, while presenting the budget for 2017-18 mentioned that</w:t>
      </w:r>
      <w:r w:rsidR="006D6586" w:rsidRPr="006D6586">
        <w:rPr>
          <w:rFonts w:cstheme="minorHAnsi"/>
          <w:lang w:val="en-GB"/>
        </w:rPr>
        <w:t xml:space="preserve"> transform</w:t>
      </w:r>
      <w:r>
        <w:rPr>
          <w:rFonts w:cstheme="minorHAnsi"/>
          <w:lang w:val="en-GB"/>
        </w:rPr>
        <w:t>ation in</w:t>
      </w:r>
      <w:r w:rsidR="006D6586" w:rsidRPr="006D6586">
        <w:rPr>
          <w:rFonts w:cstheme="minorHAnsi"/>
          <w:lang w:val="en-GB"/>
        </w:rPr>
        <w:t xml:space="preserve"> the quality of </w:t>
      </w:r>
      <w:r w:rsidR="006D6586">
        <w:rPr>
          <w:rFonts w:cstheme="minorHAnsi"/>
          <w:lang w:val="en-GB"/>
        </w:rPr>
        <w:t xml:space="preserve">life of people and </w:t>
      </w:r>
      <w:r>
        <w:rPr>
          <w:rFonts w:cstheme="minorHAnsi"/>
          <w:lang w:val="en-GB"/>
        </w:rPr>
        <w:t>mobilising</w:t>
      </w:r>
      <w:r w:rsidR="006D6586" w:rsidRPr="006D6586">
        <w:rPr>
          <w:rFonts w:cstheme="minorHAnsi"/>
          <w:lang w:val="en-GB"/>
        </w:rPr>
        <w:t xml:space="preserve"> various sections of society, including </w:t>
      </w:r>
      <w:r w:rsidR="006D6586">
        <w:rPr>
          <w:rFonts w:cstheme="minorHAnsi"/>
          <w:lang w:val="en-GB"/>
        </w:rPr>
        <w:t xml:space="preserve">the </w:t>
      </w:r>
      <w:r w:rsidR="006D6586" w:rsidRPr="006D6586">
        <w:rPr>
          <w:rFonts w:cstheme="minorHAnsi"/>
          <w:lang w:val="en-GB"/>
        </w:rPr>
        <w:t>vulnerable</w:t>
      </w:r>
      <w:r w:rsidR="006D6586">
        <w:rPr>
          <w:rFonts w:cstheme="minorHAnsi"/>
          <w:lang w:val="en-GB"/>
        </w:rPr>
        <w:t xml:space="preserve"> communities</w:t>
      </w:r>
      <w:r w:rsidR="006D6586" w:rsidRPr="006D6586">
        <w:rPr>
          <w:rFonts w:cstheme="minorHAnsi"/>
          <w:lang w:val="en-GB"/>
        </w:rPr>
        <w:t>, to realise their true potential</w:t>
      </w:r>
      <w:r w:rsidR="006D6586">
        <w:rPr>
          <w:rFonts w:cstheme="minorHAnsi"/>
          <w:lang w:val="en-GB"/>
        </w:rPr>
        <w:t xml:space="preserve"> has been on the top priority</w:t>
      </w:r>
      <w:r w:rsidR="006D6586" w:rsidRPr="006D6586">
        <w:rPr>
          <w:rFonts w:cstheme="minorHAnsi"/>
          <w:lang w:val="en-GB"/>
        </w:rPr>
        <w:t>.</w:t>
      </w:r>
      <w:r w:rsidR="006D6586">
        <w:rPr>
          <w:rFonts w:cstheme="minorHAnsi"/>
          <w:lang w:val="en-GB"/>
        </w:rPr>
        <w:t xml:space="preserve"> </w:t>
      </w:r>
      <w:r>
        <w:rPr>
          <w:rFonts w:cstheme="minorHAnsi"/>
          <w:lang w:val="en-GB"/>
        </w:rPr>
        <w:t>However,</w:t>
      </w:r>
      <w:r w:rsidR="006D6586">
        <w:rPr>
          <w:rFonts w:cstheme="minorHAnsi"/>
          <w:lang w:val="en-GB"/>
        </w:rPr>
        <w:t xml:space="preserve"> no such commitment </w:t>
      </w:r>
      <w:r>
        <w:rPr>
          <w:rFonts w:cstheme="minorHAnsi"/>
          <w:lang w:val="en-GB"/>
        </w:rPr>
        <w:t xml:space="preserve">has been </w:t>
      </w:r>
      <w:r w:rsidR="006D6586">
        <w:rPr>
          <w:rFonts w:cstheme="minorHAnsi"/>
          <w:lang w:val="en-GB"/>
        </w:rPr>
        <w:t>seen</w:t>
      </w:r>
      <w:r>
        <w:rPr>
          <w:rFonts w:cstheme="minorHAnsi"/>
          <w:lang w:val="en-GB"/>
        </w:rPr>
        <w:t xml:space="preserve"> yet</w:t>
      </w:r>
      <w:r w:rsidR="006D6586">
        <w:rPr>
          <w:rFonts w:cstheme="minorHAnsi"/>
          <w:lang w:val="en-GB"/>
        </w:rPr>
        <w:t>, if one looks at the numbers presented in the budget document for the nutrition sector.</w:t>
      </w:r>
    </w:p>
    <w:p w:rsidR="006128A4" w:rsidRPr="006D6586" w:rsidRDefault="006D6586" w:rsidP="006D6586">
      <w:pPr>
        <w:jc w:val="both"/>
        <w:rPr>
          <w:rFonts w:cstheme="minorHAnsi"/>
          <w:lang w:val="en-GB"/>
        </w:rPr>
      </w:pPr>
      <w:r>
        <w:rPr>
          <w:rFonts w:cstheme="minorHAnsi"/>
          <w:lang w:val="en-GB"/>
        </w:rPr>
        <w:t xml:space="preserve">Data presented in </w:t>
      </w:r>
      <w:r w:rsidR="0037542E" w:rsidRPr="006D6586">
        <w:rPr>
          <w:rFonts w:cstheme="minorHAnsi"/>
          <w:lang w:val="en-GB"/>
        </w:rPr>
        <w:t xml:space="preserve">Table </w:t>
      </w:r>
      <w:r>
        <w:rPr>
          <w:rFonts w:cstheme="minorHAnsi"/>
          <w:lang w:val="en-GB"/>
        </w:rPr>
        <w:t>9.</w:t>
      </w:r>
      <w:r w:rsidR="0037542E" w:rsidRPr="006D6586">
        <w:rPr>
          <w:rFonts w:cstheme="minorHAnsi"/>
          <w:lang w:val="en-GB"/>
        </w:rPr>
        <w:t xml:space="preserve">1 lists </w:t>
      </w:r>
      <w:r w:rsidR="00065484">
        <w:rPr>
          <w:rFonts w:cstheme="minorHAnsi"/>
          <w:lang w:val="en-GB"/>
        </w:rPr>
        <w:t xml:space="preserve">the </w:t>
      </w:r>
      <w:r w:rsidR="0037542E" w:rsidRPr="006D6586">
        <w:rPr>
          <w:rFonts w:cstheme="minorHAnsi"/>
          <w:lang w:val="en-GB"/>
        </w:rPr>
        <w:t xml:space="preserve">outlays and </w:t>
      </w:r>
      <w:r w:rsidR="00065484">
        <w:rPr>
          <w:rFonts w:cstheme="minorHAnsi"/>
          <w:lang w:val="en-GB"/>
        </w:rPr>
        <w:t xml:space="preserve">the </w:t>
      </w:r>
      <w:r w:rsidR="0037542E" w:rsidRPr="006D6586">
        <w:rPr>
          <w:rFonts w:cstheme="minorHAnsi"/>
          <w:lang w:val="en-GB"/>
        </w:rPr>
        <w:t xml:space="preserve">expenditure for 20 </w:t>
      </w:r>
      <w:r w:rsidR="00DE7E93" w:rsidRPr="006D6586">
        <w:rPr>
          <w:rFonts w:cstheme="minorHAnsi"/>
          <w:lang w:val="en-GB"/>
        </w:rPr>
        <w:t>Centrally Sponsored Schemes (</w:t>
      </w:r>
      <w:r w:rsidR="0037542E" w:rsidRPr="006D6586">
        <w:rPr>
          <w:rFonts w:cstheme="minorHAnsi"/>
          <w:lang w:val="en-GB"/>
        </w:rPr>
        <w:t>CSSs</w:t>
      </w:r>
      <w:r w:rsidR="00DE7E93" w:rsidRPr="006D6586">
        <w:rPr>
          <w:rFonts w:cstheme="minorHAnsi"/>
          <w:lang w:val="en-GB"/>
        </w:rPr>
        <w:t>)</w:t>
      </w:r>
      <w:r w:rsidR="0037542E" w:rsidRPr="006D6586">
        <w:rPr>
          <w:rFonts w:cstheme="minorHAnsi"/>
          <w:lang w:val="en-GB"/>
        </w:rPr>
        <w:t xml:space="preserve"> of the Union Government that directly or indirectly impact nutrition</w:t>
      </w:r>
      <w:r>
        <w:rPr>
          <w:rFonts w:cstheme="minorHAnsi"/>
          <w:lang w:val="en-GB"/>
        </w:rPr>
        <w:t xml:space="preserve"> outcomes</w:t>
      </w:r>
      <w:r w:rsidR="0037542E" w:rsidRPr="006D6586">
        <w:rPr>
          <w:rFonts w:cstheme="minorHAnsi"/>
          <w:lang w:val="en-GB"/>
        </w:rPr>
        <w:t xml:space="preserve">. These are spread across </w:t>
      </w:r>
      <w:r w:rsidR="006128A4" w:rsidRPr="006D6586">
        <w:rPr>
          <w:rFonts w:cstheme="minorHAnsi"/>
          <w:lang w:val="en-GB"/>
        </w:rPr>
        <w:t xml:space="preserve">various </w:t>
      </w:r>
      <w:r w:rsidR="0037542E" w:rsidRPr="006D6586">
        <w:rPr>
          <w:rFonts w:cstheme="minorHAnsi"/>
          <w:lang w:val="en-GB"/>
        </w:rPr>
        <w:t>sectors</w:t>
      </w:r>
      <w:r w:rsidR="009A02CF" w:rsidRPr="006D6586">
        <w:rPr>
          <w:rFonts w:cstheme="minorHAnsi"/>
          <w:lang w:val="en-GB"/>
        </w:rPr>
        <w:t>, viz.</w:t>
      </w:r>
      <w:r w:rsidR="006128A4" w:rsidRPr="006D6586">
        <w:rPr>
          <w:rFonts w:cstheme="minorHAnsi"/>
          <w:lang w:val="en-GB"/>
        </w:rPr>
        <w:t xml:space="preserve"> women and child development, household food security, health, drinking water and sanitation, </w:t>
      </w:r>
      <w:r>
        <w:rPr>
          <w:rFonts w:cstheme="minorHAnsi"/>
          <w:lang w:val="en-GB"/>
        </w:rPr>
        <w:t xml:space="preserve">food and </w:t>
      </w:r>
      <w:r w:rsidR="006128A4" w:rsidRPr="006D6586">
        <w:rPr>
          <w:rFonts w:cstheme="minorHAnsi"/>
          <w:lang w:val="en-GB"/>
        </w:rPr>
        <w:t>social security</w:t>
      </w:r>
      <w:r>
        <w:rPr>
          <w:rFonts w:cstheme="minorHAnsi"/>
          <w:lang w:val="en-GB"/>
        </w:rPr>
        <w:t xml:space="preserve"> and safety nets, agriculture</w:t>
      </w:r>
      <w:r w:rsidR="0037542E" w:rsidRPr="006D6586">
        <w:rPr>
          <w:rFonts w:cstheme="minorHAnsi"/>
          <w:lang w:val="en-GB"/>
        </w:rPr>
        <w:t xml:space="preserve"> </w:t>
      </w:r>
      <w:r w:rsidR="006128A4" w:rsidRPr="006D6586">
        <w:rPr>
          <w:rFonts w:cstheme="minorHAnsi"/>
          <w:lang w:val="en-GB"/>
        </w:rPr>
        <w:t xml:space="preserve">and poverty alleviation. </w:t>
      </w:r>
      <w:r w:rsidR="00422039" w:rsidRPr="006D6586">
        <w:rPr>
          <w:rFonts w:cstheme="minorHAnsi"/>
          <w:lang w:val="en-GB"/>
        </w:rPr>
        <w:t xml:space="preserve">A few observations </w:t>
      </w:r>
      <w:r w:rsidR="0047236E" w:rsidRPr="006D6586">
        <w:rPr>
          <w:rFonts w:cstheme="minorHAnsi"/>
          <w:lang w:val="en-GB"/>
        </w:rPr>
        <w:t>regarding the</w:t>
      </w:r>
      <w:r w:rsidR="003F1249" w:rsidRPr="006D6586">
        <w:rPr>
          <w:rFonts w:cstheme="minorHAnsi"/>
          <w:lang w:val="en-GB"/>
        </w:rPr>
        <w:t>se</w:t>
      </w:r>
      <w:r w:rsidR="0047236E" w:rsidRPr="006D6586">
        <w:rPr>
          <w:rFonts w:cstheme="minorHAnsi"/>
          <w:lang w:val="en-GB"/>
        </w:rPr>
        <w:t xml:space="preserve"> schemes</w:t>
      </w:r>
      <w:r w:rsidR="00065484">
        <w:rPr>
          <w:rFonts w:cstheme="minorHAnsi"/>
          <w:lang w:val="en-GB"/>
        </w:rPr>
        <w:t xml:space="preserve"> are</w:t>
      </w:r>
      <w:r w:rsidR="0047236E" w:rsidRPr="006D6586">
        <w:rPr>
          <w:rFonts w:cstheme="minorHAnsi"/>
          <w:lang w:val="en-GB"/>
        </w:rPr>
        <w:t xml:space="preserve"> </w:t>
      </w:r>
      <w:r>
        <w:rPr>
          <w:rFonts w:cstheme="minorHAnsi"/>
          <w:lang w:val="en-GB"/>
        </w:rPr>
        <w:t>presented</w:t>
      </w:r>
      <w:r w:rsidR="001429DA" w:rsidRPr="006D6586">
        <w:rPr>
          <w:rFonts w:cstheme="minorHAnsi"/>
          <w:lang w:val="en-GB"/>
        </w:rPr>
        <w:t xml:space="preserve"> below</w:t>
      </w:r>
      <w:r w:rsidR="00422039" w:rsidRPr="006D6586">
        <w:rPr>
          <w:rFonts w:cstheme="minorHAnsi"/>
          <w:lang w:val="en-GB"/>
        </w:rPr>
        <w:t>:</w:t>
      </w:r>
    </w:p>
    <w:p w:rsidR="009A02CF" w:rsidRPr="006D6586" w:rsidRDefault="00065484" w:rsidP="006D6586">
      <w:pPr>
        <w:pStyle w:val="ListParagraph"/>
        <w:numPr>
          <w:ilvl w:val="0"/>
          <w:numId w:val="4"/>
        </w:numPr>
        <w:ind w:left="180" w:hanging="180"/>
        <w:jc w:val="both"/>
        <w:rPr>
          <w:rFonts w:cstheme="minorHAnsi"/>
          <w:lang w:val="en-GB"/>
        </w:rPr>
      </w:pPr>
      <w:r>
        <w:rPr>
          <w:rFonts w:cstheme="minorHAnsi"/>
          <w:b/>
          <w:lang w:val="en-GB"/>
        </w:rPr>
        <w:t xml:space="preserve"> </w:t>
      </w:r>
      <w:r w:rsidR="0047236E" w:rsidRPr="006D6586">
        <w:rPr>
          <w:rFonts w:cstheme="minorHAnsi"/>
          <w:b/>
          <w:lang w:val="en-GB"/>
        </w:rPr>
        <w:t xml:space="preserve">Nutrition and </w:t>
      </w:r>
      <w:r w:rsidR="006D6586">
        <w:rPr>
          <w:rFonts w:cstheme="minorHAnsi"/>
          <w:b/>
          <w:lang w:val="en-GB"/>
        </w:rPr>
        <w:t>M</w:t>
      </w:r>
      <w:r w:rsidR="00486BBE" w:rsidRPr="006D6586">
        <w:rPr>
          <w:rFonts w:cstheme="minorHAnsi"/>
          <w:b/>
          <w:lang w:val="en-GB"/>
        </w:rPr>
        <w:t xml:space="preserve">aternity </w:t>
      </w:r>
      <w:r w:rsidR="006D6586">
        <w:rPr>
          <w:rFonts w:cstheme="minorHAnsi"/>
          <w:b/>
          <w:lang w:val="en-GB"/>
        </w:rPr>
        <w:t>E</w:t>
      </w:r>
      <w:r w:rsidR="00486BBE" w:rsidRPr="006D6586">
        <w:rPr>
          <w:rFonts w:cstheme="minorHAnsi"/>
          <w:b/>
          <w:lang w:val="en-GB"/>
        </w:rPr>
        <w:t>ntitlement</w:t>
      </w:r>
      <w:r w:rsidR="006D6586">
        <w:rPr>
          <w:rFonts w:cstheme="minorHAnsi"/>
          <w:b/>
          <w:lang w:val="en-GB"/>
        </w:rPr>
        <w:t xml:space="preserve"> P</w:t>
      </w:r>
      <w:r w:rsidR="0047236E" w:rsidRPr="006D6586">
        <w:rPr>
          <w:rFonts w:cstheme="minorHAnsi"/>
          <w:b/>
          <w:lang w:val="en-GB"/>
        </w:rPr>
        <w:t>rogrammes</w:t>
      </w:r>
    </w:p>
    <w:p w:rsidR="00486BBE" w:rsidRPr="006D6586" w:rsidRDefault="005B28D1" w:rsidP="006D6586">
      <w:pPr>
        <w:jc w:val="both"/>
        <w:rPr>
          <w:rFonts w:cstheme="minorHAnsi"/>
          <w:lang w:val="en-GB"/>
        </w:rPr>
      </w:pPr>
      <w:r w:rsidRPr="006D6586">
        <w:rPr>
          <w:rFonts w:cstheme="minorHAnsi"/>
          <w:lang w:val="en-GB"/>
        </w:rPr>
        <w:t xml:space="preserve">Erstwhile </w:t>
      </w:r>
      <w:r w:rsidR="00D441BB" w:rsidRPr="006D6586">
        <w:rPr>
          <w:rFonts w:cstheme="minorHAnsi"/>
          <w:lang w:val="en-GB"/>
        </w:rPr>
        <w:t xml:space="preserve">‘core ICDS’ </w:t>
      </w:r>
      <w:r w:rsidR="003F1249" w:rsidRPr="006D6586">
        <w:rPr>
          <w:rFonts w:cstheme="minorHAnsi"/>
          <w:lang w:val="en-GB"/>
        </w:rPr>
        <w:t xml:space="preserve">is a major programme for providing supplementary nutrition to children below 6 years of age. It also provides </w:t>
      </w:r>
      <w:r w:rsidR="00EE2BA0" w:rsidRPr="006D6586">
        <w:rPr>
          <w:rFonts w:cstheme="minorHAnsi"/>
          <w:lang w:val="en-GB"/>
        </w:rPr>
        <w:t xml:space="preserve">other </w:t>
      </w:r>
      <w:r w:rsidR="003F1249" w:rsidRPr="006D6586">
        <w:rPr>
          <w:rFonts w:cstheme="minorHAnsi"/>
          <w:lang w:val="en-GB"/>
        </w:rPr>
        <w:t xml:space="preserve">important services pertaining to health and education. </w:t>
      </w:r>
      <w:r w:rsidR="00065484">
        <w:rPr>
          <w:rFonts w:cstheme="minorHAnsi"/>
          <w:lang w:val="en-GB"/>
        </w:rPr>
        <w:t>T</w:t>
      </w:r>
      <w:r w:rsidR="00EE2BA0" w:rsidRPr="006D6586">
        <w:rPr>
          <w:rFonts w:cstheme="minorHAnsi"/>
          <w:lang w:val="en-GB"/>
        </w:rPr>
        <w:t xml:space="preserve">he scheme had experienced cuts in the last two budgets, however </w:t>
      </w:r>
      <w:r w:rsidR="005E66F1" w:rsidRPr="006D6586">
        <w:rPr>
          <w:rFonts w:cstheme="minorHAnsi"/>
          <w:lang w:val="en-GB"/>
        </w:rPr>
        <w:t xml:space="preserve">in 2017-18 (BE) there has been an </w:t>
      </w:r>
      <w:r w:rsidRPr="006D6586">
        <w:rPr>
          <w:rFonts w:cstheme="minorHAnsi"/>
          <w:lang w:val="en-GB"/>
        </w:rPr>
        <w:t>increase of</w:t>
      </w:r>
      <w:r w:rsidR="00D441BB" w:rsidRPr="006D6586">
        <w:rPr>
          <w:rFonts w:cstheme="minorHAnsi"/>
          <w:lang w:val="en-GB"/>
        </w:rPr>
        <w:t xml:space="preserve"> 13</w:t>
      </w:r>
      <w:r w:rsidR="00A27C07" w:rsidRPr="006D6586">
        <w:rPr>
          <w:rFonts w:cstheme="minorHAnsi"/>
          <w:lang w:val="en-GB"/>
        </w:rPr>
        <w:t xml:space="preserve"> percent</w:t>
      </w:r>
      <w:r w:rsidRPr="006D6586">
        <w:rPr>
          <w:rFonts w:cstheme="minorHAnsi"/>
          <w:lang w:val="en-GB"/>
        </w:rPr>
        <w:t xml:space="preserve"> </w:t>
      </w:r>
      <w:r w:rsidR="00065484">
        <w:rPr>
          <w:rFonts w:cstheme="minorHAnsi"/>
          <w:lang w:val="en-GB"/>
        </w:rPr>
        <w:t xml:space="preserve">as </w:t>
      </w:r>
      <w:r w:rsidRPr="006D6586">
        <w:rPr>
          <w:rFonts w:cstheme="minorHAnsi"/>
          <w:lang w:val="en-GB"/>
        </w:rPr>
        <w:t xml:space="preserve">compared to </w:t>
      </w:r>
      <w:r w:rsidR="00065484">
        <w:rPr>
          <w:rFonts w:cstheme="minorHAnsi"/>
          <w:lang w:val="en-GB"/>
        </w:rPr>
        <w:t xml:space="preserve">the </w:t>
      </w:r>
      <w:r w:rsidRPr="006D6586">
        <w:rPr>
          <w:rFonts w:cstheme="minorHAnsi"/>
          <w:lang w:val="en-GB"/>
        </w:rPr>
        <w:t xml:space="preserve">2016-17 (RE). However, the </w:t>
      </w:r>
      <w:r w:rsidR="00C25183">
        <w:rPr>
          <w:rFonts w:cstheme="minorHAnsi"/>
          <w:lang w:val="en-GB"/>
        </w:rPr>
        <w:t xml:space="preserve">allocation for the scheme remains under-funded as </w:t>
      </w:r>
      <w:r w:rsidRPr="006D6586">
        <w:rPr>
          <w:rFonts w:cstheme="minorHAnsi"/>
          <w:lang w:val="en-GB"/>
        </w:rPr>
        <w:t xml:space="preserve">the cost norms have not been revised in the recent period as per the current market prices. </w:t>
      </w:r>
      <w:r w:rsidR="00C25183">
        <w:rPr>
          <w:rFonts w:cstheme="minorHAnsi"/>
          <w:lang w:val="en-GB"/>
        </w:rPr>
        <w:t xml:space="preserve">Allocations </w:t>
      </w:r>
      <w:r w:rsidRPr="006D6586">
        <w:rPr>
          <w:rFonts w:cstheme="minorHAnsi"/>
          <w:lang w:val="en-GB"/>
        </w:rPr>
        <w:t xml:space="preserve">for </w:t>
      </w:r>
      <w:r w:rsidR="00D441BB" w:rsidRPr="006D6586">
        <w:rPr>
          <w:rFonts w:cstheme="minorHAnsi"/>
          <w:lang w:val="en-GB"/>
        </w:rPr>
        <w:t xml:space="preserve">SABLA, which is the only scheme </w:t>
      </w:r>
      <w:r w:rsidR="00486BBE" w:rsidRPr="006D6586">
        <w:rPr>
          <w:rFonts w:cstheme="minorHAnsi"/>
          <w:lang w:val="en-GB"/>
        </w:rPr>
        <w:t>to address</w:t>
      </w:r>
      <w:r w:rsidR="00D441BB" w:rsidRPr="006D6586">
        <w:rPr>
          <w:rFonts w:cstheme="minorHAnsi"/>
          <w:lang w:val="en-GB"/>
        </w:rPr>
        <w:t xml:space="preserve"> the health and nutrition needs of girl child</w:t>
      </w:r>
      <w:r w:rsidRPr="006D6586">
        <w:rPr>
          <w:rFonts w:cstheme="minorHAnsi"/>
          <w:lang w:val="en-GB"/>
        </w:rPr>
        <w:t>,</w:t>
      </w:r>
      <w:r w:rsidR="00D441BB" w:rsidRPr="006D6586">
        <w:rPr>
          <w:rFonts w:cstheme="minorHAnsi"/>
          <w:lang w:val="en-GB"/>
        </w:rPr>
        <w:t xml:space="preserve"> remain unchanged and the scheme continues to be in pilot mode. </w:t>
      </w:r>
    </w:p>
    <w:p w:rsidR="00991A22" w:rsidRPr="00C25183" w:rsidRDefault="00486BBE" w:rsidP="00C25183">
      <w:pPr>
        <w:jc w:val="both"/>
        <w:rPr>
          <w:rFonts w:cstheme="minorHAnsi"/>
          <w:lang w:val="en-GB"/>
        </w:rPr>
      </w:pPr>
      <w:r w:rsidRPr="006D6586">
        <w:rPr>
          <w:rFonts w:cstheme="minorHAnsi"/>
          <w:lang w:val="en-GB"/>
        </w:rPr>
        <w:t>National Food Security Act, 2013 entitled</w:t>
      </w:r>
      <w:r w:rsidR="00991A22" w:rsidRPr="006D6586">
        <w:rPr>
          <w:rFonts w:cstheme="minorHAnsi"/>
          <w:lang w:val="en-GB"/>
        </w:rPr>
        <w:t xml:space="preserve"> pregnant women and lactating mothers a </w:t>
      </w:r>
      <w:r w:rsidRPr="006D6586">
        <w:rPr>
          <w:rFonts w:cstheme="minorHAnsi"/>
          <w:lang w:val="en-GB"/>
        </w:rPr>
        <w:t xml:space="preserve">minimum maternity benefit </w:t>
      </w:r>
      <w:r w:rsidR="00991A22" w:rsidRPr="006D6586">
        <w:rPr>
          <w:rFonts w:cstheme="minorHAnsi"/>
          <w:lang w:val="en-GB"/>
        </w:rPr>
        <w:t xml:space="preserve">of </w:t>
      </w:r>
      <w:proofErr w:type="spellStart"/>
      <w:r w:rsidR="00991A22" w:rsidRPr="006D6586">
        <w:rPr>
          <w:rFonts w:cstheme="minorHAnsi"/>
          <w:lang w:val="en-GB"/>
        </w:rPr>
        <w:t>Rs</w:t>
      </w:r>
      <w:proofErr w:type="spellEnd"/>
      <w:r w:rsidR="00A27C07" w:rsidRPr="006D6586">
        <w:rPr>
          <w:rFonts w:cstheme="minorHAnsi"/>
          <w:lang w:val="en-GB"/>
        </w:rPr>
        <w:t>.</w:t>
      </w:r>
      <w:r w:rsidR="00991A22" w:rsidRPr="006D6586">
        <w:rPr>
          <w:rFonts w:cstheme="minorHAnsi"/>
          <w:lang w:val="en-GB"/>
        </w:rPr>
        <w:t xml:space="preserve"> 6,000 per child birth</w:t>
      </w:r>
      <w:r w:rsidRPr="006D6586">
        <w:rPr>
          <w:rFonts w:cstheme="minorHAnsi"/>
          <w:lang w:val="en-GB"/>
        </w:rPr>
        <w:t xml:space="preserve">. The scheme was earlier implemented through IGMSY, </w:t>
      </w:r>
      <w:r w:rsidRPr="006D6586">
        <w:rPr>
          <w:rFonts w:cstheme="minorHAnsi"/>
          <w:lang w:val="en-GB"/>
        </w:rPr>
        <w:lastRenderedPageBreak/>
        <w:t xml:space="preserve">which has now been renamed as </w:t>
      </w:r>
      <w:r w:rsidR="00991A22" w:rsidRPr="006D6586">
        <w:rPr>
          <w:rFonts w:cstheme="minorHAnsi"/>
          <w:lang w:val="en-GB"/>
        </w:rPr>
        <w:t xml:space="preserve">Maternity </w:t>
      </w:r>
      <w:r w:rsidR="005B28D1" w:rsidRPr="006D6586">
        <w:rPr>
          <w:rFonts w:cstheme="minorHAnsi"/>
          <w:lang w:val="en-GB"/>
        </w:rPr>
        <w:t xml:space="preserve">Benefit </w:t>
      </w:r>
      <w:r w:rsidR="00991A22" w:rsidRPr="006D6586">
        <w:rPr>
          <w:rFonts w:cstheme="minorHAnsi"/>
          <w:lang w:val="en-GB"/>
        </w:rPr>
        <w:t>Programme (MBP)</w:t>
      </w:r>
      <w:r w:rsidRPr="006D6586">
        <w:rPr>
          <w:rFonts w:cstheme="minorHAnsi"/>
          <w:lang w:val="en-GB"/>
        </w:rPr>
        <w:t xml:space="preserve"> and </w:t>
      </w:r>
      <w:r w:rsidR="00EC2CEF" w:rsidRPr="006D6586">
        <w:rPr>
          <w:rFonts w:cstheme="minorHAnsi"/>
          <w:lang w:val="en-GB"/>
        </w:rPr>
        <w:t>has been expanded</w:t>
      </w:r>
      <w:r w:rsidRPr="006D6586">
        <w:rPr>
          <w:rFonts w:cstheme="minorHAnsi"/>
          <w:lang w:val="en-GB"/>
        </w:rPr>
        <w:t xml:space="preserve"> to </w:t>
      </w:r>
      <w:r w:rsidR="00991A22" w:rsidRPr="006D6586">
        <w:rPr>
          <w:rFonts w:cstheme="minorHAnsi"/>
          <w:lang w:val="en-GB"/>
        </w:rPr>
        <w:t xml:space="preserve">cover all districts in the country. </w:t>
      </w:r>
      <w:r w:rsidR="006128A4" w:rsidRPr="006D6586">
        <w:rPr>
          <w:rFonts w:cstheme="minorHAnsi"/>
          <w:lang w:val="en-GB"/>
        </w:rPr>
        <w:t>However, the allocated amount for MBP</w:t>
      </w:r>
      <w:r w:rsidR="00993B4B" w:rsidRPr="006D6586">
        <w:rPr>
          <w:rFonts w:cstheme="minorHAnsi"/>
          <w:lang w:val="en-GB"/>
        </w:rPr>
        <w:t>,</w:t>
      </w:r>
      <w:r w:rsidR="006128A4" w:rsidRPr="006D6586">
        <w:rPr>
          <w:rFonts w:cstheme="minorHAnsi"/>
          <w:lang w:val="en-GB"/>
        </w:rPr>
        <w:t xml:space="preserve"> although much higher than the previous year</w:t>
      </w:r>
      <w:r w:rsidR="00993B4B" w:rsidRPr="006D6586">
        <w:rPr>
          <w:rFonts w:cstheme="minorHAnsi"/>
          <w:lang w:val="en-GB"/>
        </w:rPr>
        <w:t>,</w:t>
      </w:r>
      <w:r w:rsidR="006128A4" w:rsidRPr="006D6586">
        <w:rPr>
          <w:rFonts w:cstheme="minorHAnsi"/>
          <w:lang w:val="en-GB"/>
        </w:rPr>
        <w:t xml:space="preserve"> is only a small portion of the amount </w:t>
      </w:r>
      <w:r w:rsidR="00993B4B" w:rsidRPr="006D6586">
        <w:rPr>
          <w:rFonts w:cstheme="minorHAnsi"/>
          <w:lang w:val="en-GB"/>
        </w:rPr>
        <w:t>required for universalising</w:t>
      </w:r>
      <w:r w:rsidR="006128A4" w:rsidRPr="006D6586">
        <w:rPr>
          <w:rFonts w:cstheme="minorHAnsi"/>
          <w:lang w:val="en-GB"/>
        </w:rPr>
        <w:t xml:space="preserve"> the scheme.  </w:t>
      </w:r>
    </w:p>
    <w:p w:rsidR="009A02CF" w:rsidRPr="006D6586" w:rsidRDefault="000D4881" w:rsidP="00C25183">
      <w:pPr>
        <w:pStyle w:val="ListParagraph"/>
        <w:numPr>
          <w:ilvl w:val="0"/>
          <w:numId w:val="4"/>
        </w:numPr>
        <w:ind w:left="180" w:hanging="180"/>
        <w:jc w:val="both"/>
        <w:rPr>
          <w:rFonts w:cstheme="minorHAnsi"/>
          <w:lang w:val="en-GB"/>
        </w:rPr>
      </w:pPr>
      <w:r>
        <w:rPr>
          <w:rFonts w:cstheme="minorHAnsi"/>
          <w:b/>
          <w:lang w:val="en-GB"/>
        </w:rPr>
        <w:t xml:space="preserve"> </w:t>
      </w:r>
      <w:r w:rsidR="009A02CF" w:rsidRPr="006D6586">
        <w:rPr>
          <w:rFonts w:cstheme="minorHAnsi"/>
          <w:b/>
          <w:lang w:val="en-GB"/>
        </w:rPr>
        <w:t>Access to Health</w:t>
      </w:r>
    </w:p>
    <w:p w:rsidR="006128A4" w:rsidRPr="00C25183" w:rsidRDefault="00486BBE" w:rsidP="00C25183">
      <w:pPr>
        <w:jc w:val="both"/>
        <w:rPr>
          <w:rFonts w:cstheme="minorHAnsi"/>
          <w:lang w:val="en-GB"/>
        </w:rPr>
      </w:pPr>
      <w:r w:rsidRPr="00C25183">
        <w:rPr>
          <w:rFonts w:cstheme="minorHAnsi"/>
          <w:lang w:val="en-GB"/>
        </w:rPr>
        <w:t>Finance Minister (FM) mentioned an</w:t>
      </w:r>
      <w:r w:rsidR="006128A4" w:rsidRPr="00C25183">
        <w:rPr>
          <w:rFonts w:cstheme="minorHAnsi"/>
          <w:lang w:val="en-GB"/>
        </w:rPr>
        <w:t xml:space="preserve"> action plan to eliminate number of chronic diseases in the next few years and also an action plan to reduce IMR and MMR by 2019 and 2020 respectively, from their current levels. However, we do not see translation of this plan in</w:t>
      </w:r>
      <w:r w:rsidR="00C36F06" w:rsidRPr="00C25183">
        <w:rPr>
          <w:rFonts w:cstheme="minorHAnsi"/>
          <w:lang w:val="en-GB"/>
        </w:rPr>
        <w:t xml:space="preserve">to action as fund </w:t>
      </w:r>
      <w:r w:rsidR="006128A4" w:rsidRPr="00C25183">
        <w:rPr>
          <w:rFonts w:cstheme="minorHAnsi"/>
          <w:lang w:val="en-GB"/>
        </w:rPr>
        <w:t>allocation</w:t>
      </w:r>
      <w:r w:rsidR="00C36F06" w:rsidRPr="00C25183">
        <w:rPr>
          <w:rFonts w:cstheme="minorHAnsi"/>
          <w:lang w:val="en-GB"/>
        </w:rPr>
        <w:t xml:space="preserve"> has not seen </w:t>
      </w:r>
      <w:r w:rsidRPr="00C25183">
        <w:rPr>
          <w:rFonts w:cstheme="minorHAnsi"/>
          <w:lang w:val="en-GB"/>
        </w:rPr>
        <w:t>the requisite growth</w:t>
      </w:r>
      <w:r w:rsidR="006128A4" w:rsidRPr="00C25183">
        <w:rPr>
          <w:rFonts w:cstheme="minorHAnsi"/>
          <w:lang w:val="en-GB"/>
        </w:rPr>
        <w:t xml:space="preserve">. </w:t>
      </w:r>
      <w:r w:rsidR="00C36F06" w:rsidRPr="00C25183">
        <w:rPr>
          <w:rFonts w:cstheme="minorHAnsi"/>
          <w:lang w:val="en-GB"/>
        </w:rPr>
        <w:t>The allocation for NH</w:t>
      </w:r>
      <w:r w:rsidR="00897F9C">
        <w:rPr>
          <w:rFonts w:cstheme="minorHAnsi"/>
          <w:lang w:val="en-GB"/>
        </w:rPr>
        <w:tab/>
      </w:r>
      <w:r w:rsidR="00C36F06" w:rsidRPr="00C25183">
        <w:rPr>
          <w:rFonts w:cstheme="minorHAnsi"/>
          <w:lang w:val="en-GB"/>
        </w:rPr>
        <w:t>M, which is the core scheme for health related interventions, although has increased by 9.5</w:t>
      </w:r>
      <w:r w:rsidR="00A27C07" w:rsidRPr="00C25183">
        <w:rPr>
          <w:rFonts w:cstheme="minorHAnsi"/>
          <w:lang w:val="en-GB"/>
        </w:rPr>
        <w:t xml:space="preserve"> percent</w:t>
      </w:r>
      <w:r w:rsidR="00C36F06" w:rsidRPr="00C25183">
        <w:rPr>
          <w:rFonts w:cstheme="minorHAnsi"/>
          <w:lang w:val="en-GB"/>
        </w:rPr>
        <w:t xml:space="preserve"> this year, it constitutes</w:t>
      </w:r>
      <w:r w:rsidR="006128A4" w:rsidRPr="00C25183">
        <w:rPr>
          <w:rFonts w:cstheme="minorHAnsi"/>
          <w:lang w:val="en-GB"/>
        </w:rPr>
        <w:t xml:space="preserve"> only 1</w:t>
      </w:r>
      <w:r w:rsidR="00A27C07" w:rsidRPr="00C25183">
        <w:rPr>
          <w:rFonts w:cstheme="minorHAnsi"/>
          <w:lang w:val="en-GB"/>
        </w:rPr>
        <w:t xml:space="preserve"> percent</w:t>
      </w:r>
      <w:r w:rsidR="006128A4" w:rsidRPr="00C25183">
        <w:rPr>
          <w:rFonts w:cstheme="minorHAnsi"/>
          <w:lang w:val="en-GB"/>
        </w:rPr>
        <w:t xml:space="preserve"> of the </w:t>
      </w:r>
      <w:r w:rsidR="00F408D7">
        <w:rPr>
          <w:rFonts w:cstheme="minorHAnsi"/>
          <w:lang w:val="en-GB"/>
        </w:rPr>
        <w:t>total Union Budget</w:t>
      </w:r>
      <w:r w:rsidR="006128A4" w:rsidRPr="00C25183">
        <w:rPr>
          <w:rFonts w:cstheme="minorHAnsi"/>
          <w:lang w:val="en-GB"/>
        </w:rPr>
        <w:t xml:space="preserve">. This is abysmally low when compared to </w:t>
      </w:r>
      <w:r w:rsidR="00C36F06" w:rsidRPr="00C25183">
        <w:rPr>
          <w:rFonts w:cstheme="minorHAnsi"/>
          <w:lang w:val="en-GB"/>
        </w:rPr>
        <w:t>5.99</w:t>
      </w:r>
      <w:r w:rsidR="00A27C07" w:rsidRPr="00C25183">
        <w:rPr>
          <w:rFonts w:cstheme="minorHAnsi"/>
          <w:lang w:val="en-GB"/>
        </w:rPr>
        <w:t xml:space="preserve"> percent</w:t>
      </w:r>
      <w:r w:rsidR="00C36F06" w:rsidRPr="00C25183">
        <w:rPr>
          <w:rFonts w:cstheme="minorHAnsi"/>
          <w:lang w:val="en-GB"/>
        </w:rPr>
        <w:t xml:space="preserve"> of GDP as </w:t>
      </w:r>
      <w:r w:rsidR="006128A4" w:rsidRPr="00C25183">
        <w:rPr>
          <w:rFonts w:cstheme="minorHAnsi"/>
          <w:lang w:val="en-GB"/>
        </w:rPr>
        <w:t xml:space="preserve">the </w:t>
      </w:r>
      <w:r w:rsidR="00C36F06" w:rsidRPr="00C25183">
        <w:rPr>
          <w:rFonts w:cstheme="minorHAnsi"/>
          <w:lang w:val="en-GB"/>
        </w:rPr>
        <w:t xml:space="preserve">average public spending on health in the </w:t>
      </w:r>
      <w:r w:rsidR="006128A4" w:rsidRPr="00C25183">
        <w:rPr>
          <w:rFonts w:cstheme="minorHAnsi"/>
          <w:lang w:val="en-GB"/>
        </w:rPr>
        <w:t xml:space="preserve">world </w:t>
      </w:r>
      <w:r w:rsidR="00422039" w:rsidRPr="00C25183">
        <w:rPr>
          <w:rFonts w:cstheme="minorHAnsi"/>
          <w:lang w:val="en-GB"/>
        </w:rPr>
        <w:t>(Economic Survey</w:t>
      </w:r>
      <w:r w:rsidR="00897F9C">
        <w:rPr>
          <w:rFonts w:cstheme="minorHAnsi"/>
          <w:lang w:val="en-GB"/>
        </w:rPr>
        <w:t>,</w:t>
      </w:r>
      <w:r w:rsidR="00422039" w:rsidRPr="00C25183">
        <w:rPr>
          <w:rFonts w:cstheme="minorHAnsi"/>
          <w:lang w:val="en-GB"/>
        </w:rPr>
        <w:t xml:space="preserve"> 2016)</w:t>
      </w:r>
      <w:r w:rsidR="006128A4" w:rsidRPr="00C25183">
        <w:rPr>
          <w:rFonts w:cstheme="minorHAnsi"/>
          <w:lang w:val="en-GB"/>
        </w:rPr>
        <w:t xml:space="preserve">. </w:t>
      </w:r>
      <w:r w:rsidR="004B4693" w:rsidRPr="00C25183">
        <w:rPr>
          <w:rFonts w:cstheme="minorHAnsi"/>
          <w:lang w:val="en-GB"/>
        </w:rPr>
        <w:t xml:space="preserve">The need for huge investment in health infrastructure is evident from the large </w:t>
      </w:r>
      <w:r w:rsidR="001E2575" w:rsidRPr="00C25183">
        <w:rPr>
          <w:rFonts w:cstheme="minorHAnsi"/>
          <w:lang w:val="en-GB"/>
        </w:rPr>
        <w:t>shortfall in health centres and skilled human resources (doctors, nurses, ANMs) in rural areas and increasing reliance on private doctors</w:t>
      </w:r>
      <w:r w:rsidR="004B4693" w:rsidRPr="00C25183">
        <w:rPr>
          <w:rFonts w:cstheme="minorHAnsi"/>
          <w:lang w:val="en-GB"/>
        </w:rPr>
        <w:t xml:space="preserve"> in both rural and urban areas</w:t>
      </w:r>
      <w:r w:rsidR="001E2575" w:rsidRPr="00C25183">
        <w:rPr>
          <w:rFonts w:cstheme="minorHAnsi"/>
          <w:lang w:val="en-GB"/>
        </w:rPr>
        <w:t xml:space="preserve">. </w:t>
      </w:r>
    </w:p>
    <w:p w:rsidR="00422039" w:rsidRPr="006D6586" w:rsidRDefault="00422039" w:rsidP="006D6586">
      <w:pPr>
        <w:pStyle w:val="ListParagraph"/>
        <w:jc w:val="both"/>
        <w:rPr>
          <w:rFonts w:cstheme="minorHAnsi"/>
          <w:lang w:val="en-GB"/>
        </w:rPr>
      </w:pPr>
    </w:p>
    <w:p w:rsidR="009A02CF" w:rsidRPr="00C25183" w:rsidRDefault="000D4881" w:rsidP="00C25183">
      <w:pPr>
        <w:pStyle w:val="ListParagraph"/>
        <w:numPr>
          <w:ilvl w:val="0"/>
          <w:numId w:val="4"/>
        </w:numPr>
        <w:ind w:left="180" w:hanging="180"/>
        <w:jc w:val="both"/>
        <w:rPr>
          <w:rFonts w:cstheme="minorHAnsi"/>
          <w:b/>
          <w:lang w:val="en-GB"/>
        </w:rPr>
      </w:pPr>
      <w:r>
        <w:rPr>
          <w:rFonts w:cstheme="minorHAnsi"/>
          <w:b/>
          <w:lang w:val="en-GB"/>
        </w:rPr>
        <w:t xml:space="preserve"> </w:t>
      </w:r>
      <w:r w:rsidR="009A02CF" w:rsidRPr="006D6586">
        <w:rPr>
          <w:rFonts w:cstheme="minorHAnsi"/>
          <w:b/>
          <w:lang w:val="en-GB"/>
        </w:rPr>
        <w:t xml:space="preserve">Drinking </w:t>
      </w:r>
      <w:r w:rsidR="00363E8D">
        <w:rPr>
          <w:rFonts w:cstheme="minorHAnsi"/>
          <w:b/>
          <w:lang w:val="en-GB"/>
        </w:rPr>
        <w:t>W</w:t>
      </w:r>
      <w:r w:rsidR="009A02CF" w:rsidRPr="006D6586">
        <w:rPr>
          <w:rFonts w:cstheme="minorHAnsi"/>
          <w:b/>
          <w:lang w:val="en-GB"/>
        </w:rPr>
        <w:t>ater and Sanitation</w:t>
      </w:r>
      <w:r w:rsidR="0047236E" w:rsidRPr="006D6586">
        <w:rPr>
          <w:rFonts w:cstheme="minorHAnsi"/>
          <w:b/>
          <w:lang w:val="en-GB"/>
        </w:rPr>
        <w:t xml:space="preserve"> facilities</w:t>
      </w:r>
    </w:p>
    <w:p w:rsidR="009E51F7" w:rsidRPr="00C25183" w:rsidRDefault="002451BA" w:rsidP="00C25183">
      <w:pPr>
        <w:jc w:val="both"/>
        <w:rPr>
          <w:rFonts w:cstheme="minorHAnsi"/>
          <w:lang w:val="en-GB"/>
        </w:rPr>
      </w:pPr>
      <w:r w:rsidRPr="00C25183">
        <w:rPr>
          <w:rFonts w:cstheme="minorHAnsi"/>
          <w:lang w:val="en-GB"/>
        </w:rPr>
        <w:t>There is now increasing evidence that WASH interventions have</w:t>
      </w:r>
      <w:r w:rsidR="000D4881">
        <w:rPr>
          <w:rFonts w:cstheme="minorHAnsi"/>
          <w:lang w:val="en-GB"/>
        </w:rPr>
        <w:t xml:space="preserve"> had</w:t>
      </w:r>
      <w:r w:rsidRPr="00C25183">
        <w:rPr>
          <w:rFonts w:cstheme="minorHAnsi"/>
          <w:lang w:val="en-GB"/>
        </w:rPr>
        <w:t xml:space="preserve"> positive </w:t>
      </w:r>
      <w:r w:rsidR="00EC2CEF" w:rsidRPr="00C25183">
        <w:rPr>
          <w:rFonts w:cstheme="minorHAnsi"/>
          <w:lang w:val="en-GB"/>
        </w:rPr>
        <w:t>e</w:t>
      </w:r>
      <w:r w:rsidRPr="00C25183">
        <w:rPr>
          <w:rFonts w:cstheme="minorHAnsi"/>
          <w:lang w:val="en-GB"/>
        </w:rPr>
        <w:t xml:space="preserve">ffect </w:t>
      </w:r>
      <w:r w:rsidR="00363E8D">
        <w:rPr>
          <w:rFonts w:cstheme="minorHAnsi"/>
          <w:lang w:val="en-GB"/>
        </w:rPr>
        <w:t>on nutrition outcomes</w:t>
      </w:r>
      <w:r w:rsidRPr="00C25183">
        <w:rPr>
          <w:rFonts w:cstheme="minorHAnsi"/>
          <w:lang w:val="en-GB"/>
        </w:rPr>
        <w:t xml:space="preserve">. </w:t>
      </w:r>
      <w:r w:rsidR="00C74733" w:rsidRPr="00C25183">
        <w:rPr>
          <w:rFonts w:cstheme="minorHAnsi"/>
          <w:lang w:val="en-GB"/>
        </w:rPr>
        <w:t>SBM has been one of the key programmes of this government</w:t>
      </w:r>
      <w:r w:rsidR="00486BBE" w:rsidRPr="00C25183">
        <w:rPr>
          <w:rFonts w:cstheme="minorHAnsi"/>
          <w:lang w:val="en-GB"/>
        </w:rPr>
        <w:t xml:space="preserve"> and there</w:t>
      </w:r>
      <w:r w:rsidR="00C74733" w:rsidRPr="00C25183">
        <w:rPr>
          <w:rFonts w:cstheme="minorHAnsi"/>
          <w:lang w:val="en-GB"/>
        </w:rPr>
        <w:t xml:space="preserve"> has been a substantial </w:t>
      </w:r>
      <w:r w:rsidR="00363E8D">
        <w:rPr>
          <w:rFonts w:cstheme="minorHAnsi"/>
          <w:lang w:val="en-GB"/>
        </w:rPr>
        <w:t>increase</w:t>
      </w:r>
      <w:r w:rsidR="00C74733" w:rsidRPr="00C25183">
        <w:rPr>
          <w:rFonts w:cstheme="minorHAnsi"/>
          <w:lang w:val="en-GB"/>
        </w:rPr>
        <w:t xml:space="preserve"> in </w:t>
      </w:r>
      <w:r w:rsidR="00E46025" w:rsidRPr="00C25183">
        <w:rPr>
          <w:rFonts w:cstheme="minorHAnsi"/>
          <w:lang w:val="en-GB"/>
        </w:rPr>
        <w:t>the budgets for the</w:t>
      </w:r>
      <w:r w:rsidR="00C74733" w:rsidRPr="00C25183">
        <w:rPr>
          <w:rFonts w:cstheme="minorHAnsi"/>
          <w:lang w:val="en-GB"/>
        </w:rPr>
        <w:t xml:space="preserve"> programme in the last three years.</w:t>
      </w:r>
      <w:r w:rsidR="00E46025" w:rsidRPr="00C25183">
        <w:rPr>
          <w:rFonts w:cstheme="minorHAnsi"/>
          <w:lang w:val="en-GB"/>
        </w:rPr>
        <w:t xml:space="preserve"> Although </w:t>
      </w:r>
      <w:r w:rsidR="009E51F7" w:rsidRPr="00C25183">
        <w:rPr>
          <w:rFonts w:cstheme="minorHAnsi"/>
          <w:lang w:val="en-GB"/>
        </w:rPr>
        <w:t>sanitation coverage</w:t>
      </w:r>
      <w:r w:rsidR="00527A1A" w:rsidRPr="00C25183">
        <w:rPr>
          <w:rFonts w:cstheme="minorHAnsi"/>
          <w:lang w:val="en-GB"/>
        </w:rPr>
        <w:t xml:space="preserve"> has</w:t>
      </w:r>
      <w:r w:rsidR="00E46025" w:rsidRPr="00C25183">
        <w:rPr>
          <w:rFonts w:cstheme="minorHAnsi"/>
          <w:lang w:val="en-GB"/>
        </w:rPr>
        <w:t xml:space="preserve"> increased in the last few years, there remains a huge gap </w:t>
      </w:r>
      <w:r w:rsidR="00527A1A" w:rsidRPr="00C25183">
        <w:rPr>
          <w:rFonts w:cstheme="minorHAnsi"/>
          <w:lang w:val="en-GB"/>
        </w:rPr>
        <w:t>in the</w:t>
      </w:r>
      <w:r w:rsidR="00E46025" w:rsidRPr="00C25183">
        <w:rPr>
          <w:rFonts w:cstheme="minorHAnsi"/>
          <w:lang w:val="en-GB"/>
        </w:rPr>
        <w:t xml:space="preserve"> </w:t>
      </w:r>
      <w:r w:rsidR="00527A1A" w:rsidRPr="00C25183">
        <w:rPr>
          <w:rFonts w:cstheme="minorHAnsi"/>
          <w:lang w:val="en-GB"/>
        </w:rPr>
        <w:t>us</w:t>
      </w:r>
      <w:r w:rsidR="00E8234B" w:rsidRPr="00C25183">
        <w:rPr>
          <w:rFonts w:cstheme="minorHAnsi"/>
          <w:lang w:val="en-GB"/>
        </w:rPr>
        <w:t>e</w:t>
      </w:r>
      <w:r w:rsidR="00527A1A" w:rsidRPr="00C25183">
        <w:rPr>
          <w:rFonts w:cstheme="minorHAnsi"/>
          <w:lang w:val="en-GB"/>
        </w:rPr>
        <w:t xml:space="preserve"> and maintenance</w:t>
      </w:r>
      <w:r w:rsidR="00486BBE" w:rsidRPr="00C25183">
        <w:rPr>
          <w:rFonts w:cstheme="minorHAnsi"/>
          <w:lang w:val="en-GB"/>
        </w:rPr>
        <w:t xml:space="preserve"> of the</w:t>
      </w:r>
      <w:r w:rsidR="00E8234B" w:rsidRPr="00C25183">
        <w:rPr>
          <w:rFonts w:cstheme="minorHAnsi"/>
          <w:lang w:val="en-GB"/>
        </w:rPr>
        <w:t xml:space="preserve"> toilets</w:t>
      </w:r>
      <w:r w:rsidR="00527A1A" w:rsidRPr="00C25183">
        <w:rPr>
          <w:rFonts w:cstheme="minorHAnsi"/>
          <w:lang w:val="en-GB"/>
        </w:rPr>
        <w:t xml:space="preserve">. </w:t>
      </w:r>
      <w:r w:rsidR="00363E8D">
        <w:rPr>
          <w:rFonts w:cstheme="minorHAnsi"/>
          <w:lang w:val="en-GB"/>
        </w:rPr>
        <w:t xml:space="preserve">Provisioning for </w:t>
      </w:r>
      <w:r w:rsidR="009E51F7" w:rsidRPr="00C25183">
        <w:rPr>
          <w:rFonts w:cstheme="minorHAnsi"/>
          <w:lang w:val="en-GB"/>
        </w:rPr>
        <w:t xml:space="preserve">safe drinking water </w:t>
      </w:r>
      <w:r w:rsidR="00E2285A" w:rsidRPr="00C25183">
        <w:rPr>
          <w:rFonts w:cstheme="minorHAnsi"/>
          <w:lang w:val="en-GB"/>
        </w:rPr>
        <w:t>continues to be a neglected sector</w:t>
      </w:r>
      <w:r w:rsidR="009E51F7" w:rsidRPr="00C25183">
        <w:rPr>
          <w:rFonts w:cstheme="minorHAnsi"/>
          <w:lang w:val="en-GB"/>
        </w:rPr>
        <w:t xml:space="preserve">. The funds for NRDWP have increased only marginally this year to </w:t>
      </w:r>
      <w:proofErr w:type="spellStart"/>
      <w:r w:rsidR="009E51F7" w:rsidRPr="00C25183">
        <w:rPr>
          <w:rFonts w:cstheme="minorHAnsi"/>
          <w:lang w:val="en-GB"/>
        </w:rPr>
        <w:t>Rs</w:t>
      </w:r>
      <w:proofErr w:type="spellEnd"/>
      <w:r w:rsidR="00A27C07" w:rsidRPr="00C25183">
        <w:rPr>
          <w:rFonts w:cstheme="minorHAnsi"/>
          <w:lang w:val="en-GB"/>
        </w:rPr>
        <w:t>.</w:t>
      </w:r>
      <w:r w:rsidR="009E51F7" w:rsidRPr="00C25183">
        <w:rPr>
          <w:rFonts w:cstheme="minorHAnsi"/>
          <w:lang w:val="en-GB"/>
        </w:rPr>
        <w:t xml:space="preserve"> 6</w:t>
      </w:r>
      <w:r w:rsidR="00E2285A" w:rsidRPr="00C25183">
        <w:rPr>
          <w:rFonts w:cstheme="minorHAnsi"/>
          <w:lang w:val="en-GB"/>
        </w:rPr>
        <w:t>,</w:t>
      </w:r>
      <w:r w:rsidR="009E51F7" w:rsidRPr="00C25183">
        <w:rPr>
          <w:rFonts w:cstheme="minorHAnsi"/>
          <w:lang w:val="en-GB"/>
        </w:rPr>
        <w:t xml:space="preserve">050 crore and remain much below </w:t>
      </w:r>
      <w:r w:rsidR="00363E8D">
        <w:rPr>
          <w:rFonts w:cstheme="minorHAnsi"/>
          <w:lang w:val="en-GB"/>
        </w:rPr>
        <w:t xml:space="preserve">compared to </w:t>
      </w:r>
      <w:r w:rsidR="009E51F7" w:rsidRPr="00C25183">
        <w:rPr>
          <w:rFonts w:cstheme="minorHAnsi"/>
          <w:lang w:val="en-GB"/>
        </w:rPr>
        <w:t xml:space="preserve">previous level of </w:t>
      </w:r>
      <w:proofErr w:type="spellStart"/>
      <w:r w:rsidR="009E51F7" w:rsidRPr="00C25183">
        <w:rPr>
          <w:rFonts w:cstheme="minorHAnsi"/>
          <w:lang w:val="en-GB"/>
        </w:rPr>
        <w:t>Rs</w:t>
      </w:r>
      <w:proofErr w:type="spellEnd"/>
      <w:r w:rsidR="00A27C07" w:rsidRPr="00C25183">
        <w:rPr>
          <w:rFonts w:cstheme="minorHAnsi"/>
          <w:lang w:val="en-GB"/>
        </w:rPr>
        <w:t>.</w:t>
      </w:r>
      <w:r w:rsidR="00F408D7">
        <w:rPr>
          <w:rFonts w:cstheme="minorHAnsi"/>
          <w:lang w:val="en-GB"/>
        </w:rPr>
        <w:t xml:space="preserve"> 10,490 crore in </w:t>
      </w:r>
      <w:r w:rsidR="009E51F7" w:rsidRPr="00C25183">
        <w:rPr>
          <w:rFonts w:cstheme="minorHAnsi"/>
          <w:lang w:val="en-GB"/>
        </w:rPr>
        <w:t>2012-13.</w:t>
      </w:r>
    </w:p>
    <w:p w:rsidR="009E51F7" w:rsidRPr="006D6586" w:rsidRDefault="009E51F7" w:rsidP="006D6586">
      <w:pPr>
        <w:pStyle w:val="ListParagraph"/>
        <w:jc w:val="both"/>
        <w:rPr>
          <w:rFonts w:cstheme="minorHAnsi"/>
          <w:lang w:val="en-GB"/>
        </w:rPr>
      </w:pPr>
      <w:r w:rsidRPr="006D6586">
        <w:rPr>
          <w:rFonts w:cstheme="minorHAnsi"/>
          <w:lang w:val="en-GB"/>
        </w:rPr>
        <w:t xml:space="preserve"> </w:t>
      </w:r>
    </w:p>
    <w:p w:rsidR="009A02CF" w:rsidRPr="00C25183" w:rsidRDefault="000D4881" w:rsidP="00C25183">
      <w:pPr>
        <w:pStyle w:val="ListParagraph"/>
        <w:numPr>
          <w:ilvl w:val="0"/>
          <w:numId w:val="4"/>
        </w:numPr>
        <w:ind w:left="180" w:hanging="180"/>
        <w:jc w:val="both"/>
        <w:rPr>
          <w:rFonts w:cstheme="minorHAnsi"/>
          <w:b/>
          <w:lang w:val="en-GB"/>
        </w:rPr>
      </w:pPr>
      <w:r>
        <w:rPr>
          <w:rFonts w:cstheme="minorHAnsi"/>
          <w:b/>
          <w:lang w:val="en-GB"/>
        </w:rPr>
        <w:t xml:space="preserve"> </w:t>
      </w:r>
      <w:r w:rsidR="009A02CF" w:rsidRPr="006D6586">
        <w:rPr>
          <w:rFonts w:cstheme="minorHAnsi"/>
          <w:b/>
          <w:lang w:val="en-GB"/>
        </w:rPr>
        <w:t xml:space="preserve">Agriculture and </w:t>
      </w:r>
      <w:r w:rsidR="000D706F" w:rsidRPr="006D6586">
        <w:rPr>
          <w:rFonts w:cstheme="minorHAnsi"/>
          <w:b/>
          <w:lang w:val="en-GB"/>
        </w:rPr>
        <w:t>poverty alleviation programmes</w:t>
      </w:r>
    </w:p>
    <w:p w:rsidR="00C36F06" w:rsidRPr="006D6586" w:rsidRDefault="000D706F" w:rsidP="00363E8D">
      <w:pPr>
        <w:jc w:val="both"/>
        <w:rPr>
          <w:rFonts w:cstheme="minorHAnsi"/>
          <w:lang w:val="en-GB"/>
        </w:rPr>
      </w:pPr>
      <w:r w:rsidRPr="00C25183">
        <w:rPr>
          <w:rFonts w:cstheme="minorHAnsi"/>
          <w:lang w:val="en-GB"/>
        </w:rPr>
        <w:t xml:space="preserve">MGNREGA is the largest scheme among agriculture and poverty alleviation programmes. </w:t>
      </w:r>
      <w:r w:rsidR="00E2285A" w:rsidRPr="00C25183">
        <w:rPr>
          <w:rFonts w:cstheme="minorHAnsi"/>
          <w:lang w:val="en-GB"/>
        </w:rPr>
        <w:t xml:space="preserve">Allocations for MGNREGA in 2017-18 </w:t>
      </w:r>
      <w:r w:rsidR="00803A35" w:rsidRPr="00C25183">
        <w:rPr>
          <w:rFonts w:cstheme="minorHAnsi"/>
          <w:lang w:val="en-GB"/>
        </w:rPr>
        <w:t xml:space="preserve">(BE) </w:t>
      </w:r>
      <w:r w:rsidR="00E2285A" w:rsidRPr="00C25183">
        <w:rPr>
          <w:rFonts w:cstheme="minorHAnsi"/>
          <w:lang w:val="en-GB"/>
        </w:rPr>
        <w:t xml:space="preserve">are </w:t>
      </w:r>
      <w:proofErr w:type="spellStart"/>
      <w:r w:rsidRPr="00C25183">
        <w:rPr>
          <w:rFonts w:cstheme="minorHAnsi"/>
          <w:lang w:val="en-GB"/>
        </w:rPr>
        <w:t>Rs</w:t>
      </w:r>
      <w:proofErr w:type="spellEnd"/>
      <w:r w:rsidR="00E2285A" w:rsidRPr="00C25183">
        <w:rPr>
          <w:rFonts w:cstheme="minorHAnsi"/>
          <w:lang w:val="en-GB"/>
        </w:rPr>
        <w:t>.</w:t>
      </w:r>
      <w:r w:rsidRPr="00C25183">
        <w:rPr>
          <w:rFonts w:cstheme="minorHAnsi"/>
          <w:lang w:val="en-GB"/>
        </w:rPr>
        <w:t xml:space="preserve"> 48,000 crore, </w:t>
      </w:r>
      <w:r w:rsidR="000D4881">
        <w:rPr>
          <w:rFonts w:cstheme="minorHAnsi"/>
          <w:lang w:val="en-GB"/>
        </w:rPr>
        <w:t xml:space="preserve">indicating an increase </w:t>
      </w:r>
      <w:r w:rsidRPr="00C25183">
        <w:rPr>
          <w:rFonts w:cstheme="minorHAnsi"/>
          <w:lang w:val="en-GB"/>
        </w:rPr>
        <w:t xml:space="preserve">only </w:t>
      </w:r>
      <w:proofErr w:type="spellStart"/>
      <w:r w:rsidR="00363E8D">
        <w:rPr>
          <w:rFonts w:cstheme="minorHAnsi"/>
          <w:lang w:val="en-GB"/>
        </w:rPr>
        <w:t>Rs</w:t>
      </w:r>
      <w:proofErr w:type="spellEnd"/>
      <w:r w:rsidR="00363E8D">
        <w:rPr>
          <w:rFonts w:cstheme="minorHAnsi"/>
          <w:lang w:val="en-GB"/>
        </w:rPr>
        <w:t>. 500 crore</w:t>
      </w:r>
      <w:r w:rsidRPr="00C25183">
        <w:rPr>
          <w:rFonts w:cstheme="minorHAnsi"/>
          <w:lang w:val="en-GB"/>
        </w:rPr>
        <w:t xml:space="preserve"> from 2016-17 </w:t>
      </w:r>
      <w:r w:rsidR="00803A35" w:rsidRPr="00C25183">
        <w:rPr>
          <w:rFonts w:cstheme="minorHAnsi"/>
          <w:lang w:val="en-GB"/>
        </w:rPr>
        <w:t>(</w:t>
      </w:r>
      <w:r w:rsidRPr="00C25183">
        <w:rPr>
          <w:rFonts w:cstheme="minorHAnsi"/>
          <w:lang w:val="en-GB"/>
        </w:rPr>
        <w:t>RE</w:t>
      </w:r>
      <w:r w:rsidR="00803A35" w:rsidRPr="00C25183">
        <w:rPr>
          <w:rFonts w:cstheme="minorHAnsi"/>
          <w:lang w:val="en-GB"/>
        </w:rPr>
        <w:t>)</w:t>
      </w:r>
      <w:r w:rsidRPr="00C25183">
        <w:rPr>
          <w:rFonts w:cstheme="minorHAnsi"/>
          <w:lang w:val="en-GB"/>
        </w:rPr>
        <w:t xml:space="preserve">. </w:t>
      </w:r>
      <w:r w:rsidR="0076120D" w:rsidRPr="00C25183">
        <w:rPr>
          <w:rFonts w:cstheme="minorHAnsi"/>
          <w:lang w:val="en-GB"/>
        </w:rPr>
        <w:t>The allocations for poverty alleviation schemes</w:t>
      </w:r>
      <w:r w:rsidR="00486BBE" w:rsidRPr="00C25183">
        <w:rPr>
          <w:rFonts w:cstheme="minorHAnsi"/>
          <w:lang w:val="en-GB"/>
        </w:rPr>
        <w:t xml:space="preserve"> related to nutrition</w:t>
      </w:r>
      <w:r w:rsidR="0076120D" w:rsidRPr="00C25183">
        <w:rPr>
          <w:rFonts w:cstheme="minorHAnsi"/>
          <w:lang w:val="en-GB"/>
        </w:rPr>
        <w:t xml:space="preserve"> have seen </w:t>
      </w:r>
      <w:r w:rsidR="00486BBE" w:rsidRPr="00C25183">
        <w:rPr>
          <w:rFonts w:cstheme="minorHAnsi"/>
          <w:lang w:val="en-GB"/>
        </w:rPr>
        <w:t xml:space="preserve">only </w:t>
      </w:r>
      <w:r w:rsidR="0076120D" w:rsidRPr="00C25183">
        <w:rPr>
          <w:rFonts w:cstheme="minorHAnsi"/>
          <w:lang w:val="en-GB"/>
        </w:rPr>
        <w:t>a modest increase of 3.3</w:t>
      </w:r>
      <w:r w:rsidR="00A27C07" w:rsidRPr="00C25183">
        <w:rPr>
          <w:rFonts w:cstheme="minorHAnsi"/>
          <w:lang w:val="en-GB"/>
        </w:rPr>
        <w:t xml:space="preserve"> percent</w:t>
      </w:r>
      <w:r w:rsidR="0076120D" w:rsidRPr="00C25183">
        <w:rPr>
          <w:rFonts w:cstheme="minorHAnsi"/>
          <w:lang w:val="en-GB"/>
        </w:rPr>
        <w:t xml:space="preserve">. </w:t>
      </w:r>
      <w:r w:rsidR="00A6580E" w:rsidRPr="00C25183">
        <w:rPr>
          <w:rFonts w:cstheme="minorHAnsi"/>
          <w:lang w:val="en-GB"/>
        </w:rPr>
        <w:t>Agriculture too has not receive</w:t>
      </w:r>
      <w:r w:rsidR="00E2285A" w:rsidRPr="00C25183">
        <w:rPr>
          <w:rFonts w:cstheme="minorHAnsi"/>
          <w:lang w:val="en-GB"/>
        </w:rPr>
        <w:t>d</w:t>
      </w:r>
      <w:r w:rsidR="00A6580E" w:rsidRPr="00C25183">
        <w:rPr>
          <w:rFonts w:cstheme="minorHAnsi"/>
          <w:lang w:val="en-GB"/>
        </w:rPr>
        <w:t xml:space="preserve"> the desired push, </w:t>
      </w:r>
      <w:r w:rsidR="00363E8D">
        <w:rPr>
          <w:rFonts w:cstheme="minorHAnsi"/>
          <w:lang w:val="en-GB"/>
        </w:rPr>
        <w:t>even though</w:t>
      </w:r>
      <w:r w:rsidR="0076120D" w:rsidRPr="00C25183">
        <w:rPr>
          <w:rFonts w:cstheme="minorHAnsi"/>
          <w:lang w:val="en-GB"/>
        </w:rPr>
        <w:t xml:space="preserve"> the </w:t>
      </w:r>
      <w:r w:rsidR="00363E8D">
        <w:rPr>
          <w:rFonts w:cstheme="minorHAnsi"/>
          <w:lang w:val="en-GB"/>
        </w:rPr>
        <w:t xml:space="preserve">allocations </w:t>
      </w:r>
      <w:r w:rsidR="0076120D" w:rsidRPr="00C25183">
        <w:rPr>
          <w:rFonts w:cstheme="minorHAnsi"/>
          <w:lang w:val="en-GB"/>
        </w:rPr>
        <w:t>for agriculture have increased by 31</w:t>
      </w:r>
      <w:r w:rsidR="00A27C07" w:rsidRPr="00C25183">
        <w:rPr>
          <w:rFonts w:cstheme="minorHAnsi"/>
          <w:lang w:val="en-GB"/>
        </w:rPr>
        <w:t xml:space="preserve"> percent</w:t>
      </w:r>
      <w:r w:rsidR="0076120D" w:rsidRPr="00C25183">
        <w:rPr>
          <w:rFonts w:cstheme="minorHAnsi"/>
          <w:lang w:val="en-GB"/>
        </w:rPr>
        <w:t xml:space="preserve"> in 2017-18 (BE)</w:t>
      </w:r>
      <w:r w:rsidR="00363E8D">
        <w:rPr>
          <w:rFonts w:cstheme="minorHAnsi"/>
          <w:lang w:val="en-GB"/>
        </w:rPr>
        <w:t xml:space="preserve"> compared to earlier year.</w:t>
      </w:r>
      <w:r w:rsidR="0076120D" w:rsidRPr="00C25183">
        <w:rPr>
          <w:rFonts w:cstheme="minorHAnsi"/>
          <w:lang w:val="en-GB"/>
        </w:rPr>
        <w:t xml:space="preserve"> </w:t>
      </w:r>
      <w:r w:rsidR="00E2285A" w:rsidRPr="00C25183">
        <w:rPr>
          <w:rFonts w:cstheme="minorHAnsi"/>
          <w:lang w:val="en-GB"/>
        </w:rPr>
        <w:t xml:space="preserve"> </w:t>
      </w:r>
      <w:r w:rsidR="00A6580E" w:rsidRPr="00C25183">
        <w:rPr>
          <w:rFonts w:cstheme="minorHAnsi"/>
          <w:lang w:val="en-GB"/>
        </w:rPr>
        <w:t xml:space="preserve">  </w:t>
      </w:r>
    </w:p>
    <w:p w:rsidR="00AD2282" w:rsidRPr="006D6586" w:rsidRDefault="006128A4" w:rsidP="006D6586">
      <w:pPr>
        <w:jc w:val="both"/>
        <w:rPr>
          <w:rFonts w:cstheme="minorHAnsi"/>
          <w:lang w:val="en-GB"/>
        </w:rPr>
      </w:pPr>
      <w:r w:rsidRPr="006D6586">
        <w:rPr>
          <w:rFonts w:cstheme="minorHAnsi"/>
          <w:lang w:val="en-GB"/>
        </w:rPr>
        <w:t xml:space="preserve">Overall </w:t>
      </w:r>
      <w:r w:rsidR="0076120D" w:rsidRPr="006D6586">
        <w:rPr>
          <w:rFonts w:cstheme="minorHAnsi"/>
          <w:lang w:val="en-GB"/>
        </w:rPr>
        <w:t>there has been an increase of 9.2</w:t>
      </w:r>
      <w:r w:rsidR="00A27C07" w:rsidRPr="006D6586">
        <w:rPr>
          <w:rFonts w:cstheme="minorHAnsi"/>
          <w:lang w:val="en-GB"/>
        </w:rPr>
        <w:t xml:space="preserve"> percent</w:t>
      </w:r>
      <w:r w:rsidR="0076120D" w:rsidRPr="006D6586">
        <w:rPr>
          <w:rFonts w:cstheme="minorHAnsi"/>
          <w:lang w:val="en-GB"/>
        </w:rPr>
        <w:t xml:space="preserve"> in schemes related to nutrition, largely due to increased allocation for agriculture, SBM, and MBP. Rest all the </w:t>
      </w:r>
      <w:r w:rsidR="00EC2CEF" w:rsidRPr="006D6586">
        <w:rPr>
          <w:rFonts w:cstheme="minorHAnsi"/>
          <w:lang w:val="en-GB"/>
        </w:rPr>
        <w:t>schemes</w:t>
      </w:r>
      <w:r w:rsidR="0076120D" w:rsidRPr="006D6586">
        <w:rPr>
          <w:rFonts w:cstheme="minorHAnsi"/>
          <w:lang w:val="en-GB"/>
        </w:rPr>
        <w:t xml:space="preserve"> related to nutrition have seen only a nominal increase. Expenditure </w:t>
      </w:r>
      <w:r w:rsidRPr="006D6586">
        <w:rPr>
          <w:rFonts w:cstheme="minorHAnsi"/>
          <w:lang w:val="en-GB"/>
        </w:rPr>
        <w:t xml:space="preserve">on nutrition constitutes </w:t>
      </w:r>
      <w:r w:rsidR="00A27C07" w:rsidRPr="006D6586">
        <w:rPr>
          <w:rFonts w:cstheme="minorHAnsi"/>
          <w:lang w:val="en-GB"/>
        </w:rPr>
        <w:t xml:space="preserve">about 13.9 percent of </w:t>
      </w:r>
      <w:r w:rsidR="00363E8D">
        <w:rPr>
          <w:rFonts w:cstheme="minorHAnsi"/>
          <w:lang w:val="en-GB"/>
        </w:rPr>
        <w:t>t</w:t>
      </w:r>
      <w:r w:rsidR="00A27C07" w:rsidRPr="006D6586">
        <w:rPr>
          <w:rFonts w:cstheme="minorHAnsi"/>
          <w:lang w:val="en-GB"/>
        </w:rPr>
        <w:t xml:space="preserve">otal </w:t>
      </w:r>
      <w:r w:rsidR="00363E8D">
        <w:rPr>
          <w:rFonts w:cstheme="minorHAnsi"/>
          <w:lang w:val="en-GB"/>
        </w:rPr>
        <w:t xml:space="preserve">Union </w:t>
      </w:r>
      <w:r w:rsidR="00A27C07" w:rsidRPr="006D6586">
        <w:rPr>
          <w:rFonts w:cstheme="minorHAnsi"/>
          <w:lang w:val="en-GB"/>
        </w:rPr>
        <w:t xml:space="preserve">Budget </w:t>
      </w:r>
      <w:r w:rsidR="00363E8D">
        <w:rPr>
          <w:rFonts w:cstheme="minorHAnsi"/>
          <w:lang w:val="en-GB"/>
        </w:rPr>
        <w:t>allocation</w:t>
      </w:r>
      <w:r w:rsidR="00A27C07" w:rsidRPr="006D6586">
        <w:rPr>
          <w:rFonts w:cstheme="minorHAnsi"/>
          <w:lang w:val="en-GB"/>
        </w:rPr>
        <w:t xml:space="preserve"> and </w:t>
      </w:r>
      <w:r w:rsidRPr="006D6586">
        <w:rPr>
          <w:rFonts w:cstheme="minorHAnsi"/>
          <w:lang w:val="en-GB"/>
        </w:rPr>
        <w:t>only about 1.8</w:t>
      </w:r>
      <w:r w:rsidR="00A27C07" w:rsidRPr="006D6586">
        <w:rPr>
          <w:rFonts w:cstheme="minorHAnsi"/>
          <w:lang w:val="en-GB"/>
        </w:rPr>
        <w:t xml:space="preserve"> percent</w:t>
      </w:r>
      <w:r w:rsidRPr="006D6586">
        <w:rPr>
          <w:rFonts w:cstheme="minorHAnsi"/>
          <w:lang w:val="en-GB"/>
        </w:rPr>
        <w:t xml:space="preserve"> of GDP</w:t>
      </w:r>
      <w:r w:rsidR="0076120D" w:rsidRPr="006D6586">
        <w:rPr>
          <w:rFonts w:cstheme="minorHAnsi"/>
          <w:lang w:val="en-GB"/>
        </w:rPr>
        <w:t xml:space="preserve"> </w:t>
      </w:r>
      <w:r w:rsidR="00A27C07" w:rsidRPr="006D6586">
        <w:rPr>
          <w:rFonts w:cstheme="minorHAnsi"/>
          <w:lang w:val="en-GB"/>
        </w:rPr>
        <w:t xml:space="preserve">(Figure </w:t>
      </w:r>
      <w:r w:rsidR="00363E8D">
        <w:rPr>
          <w:rFonts w:cstheme="minorHAnsi"/>
          <w:lang w:val="en-GB"/>
        </w:rPr>
        <w:t>9.</w:t>
      </w:r>
      <w:r w:rsidR="00A27C07" w:rsidRPr="006D6586">
        <w:rPr>
          <w:rFonts w:cstheme="minorHAnsi"/>
          <w:lang w:val="en-GB"/>
        </w:rPr>
        <w:t>1)</w:t>
      </w:r>
      <w:r w:rsidR="00B517D1" w:rsidRPr="006D6586">
        <w:rPr>
          <w:rFonts w:cstheme="minorHAnsi"/>
          <w:lang w:val="en-GB"/>
        </w:rPr>
        <w:t xml:space="preserve">. The expenditure on nutrition </w:t>
      </w:r>
      <w:r w:rsidR="00EC2CEF" w:rsidRPr="006D6586">
        <w:rPr>
          <w:rFonts w:cstheme="minorHAnsi"/>
          <w:lang w:val="en-GB"/>
        </w:rPr>
        <w:t>seems</w:t>
      </w:r>
      <w:r w:rsidR="00B517D1" w:rsidRPr="006D6586">
        <w:rPr>
          <w:rFonts w:cstheme="minorHAnsi"/>
          <w:lang w:val="en-GB"/>
        </w:rPr>
        <w:t xml:space="preserve"> to have stagnated to around this level </w:t>
      </w:r>
      <w:r w:rsidR="0076120D" w:rsidRPr="006D6586">
        <w:rPr>
          <w:rFonts w:cstheme="minorHAnsi"/>
          <w:lang w:val="en-GB"/>
        </w:rPr>
        <w:t>in the last few years</w:t>
      </w:r>
      <w:r w:rsidRPr="006D6586">
        <w:rPr>
          <w:rFonts w:cstheme="minorHAnsi"/>
          <w:lang w:val="en-GB"/>
        </w:rPr>
        <w:t xml:space="preserve">. </w:t>
      </w:r>
      <w:r w:rsidR="00AC7BCE" w:rsidRPr="006D6586">
        <w:rPr>
          <w:rFonts w:cstheme="minorHAnsi"/>
          <w:lang w:val="en-GB"/>
        </w:rPr>
        <w:t>If we exclude</w:t>
      </w:r>
      <w:r w:rsidR="000D4881">
        <w:rPr>
          <w:rFonts w:cstheme="minorHAnsi"/>
          <w:lang w:val="en-GB"/>
        </w:rPr>
        <w:t xml:space="preserve"> the</w:t>
      </w:r>
      <w:r w:rsidR="0076120D" w:rsidRPr="006D6586">
        <w:rPr>
          <w:rFonts w:cstheme="minorHAnsi"/>
          <w:lang w:val="en-GB"/>
        </w:rPr>
        <w:t xml:space="preserve"> food subsidy budget (which constitutes about half the nutrition budget) then the nutrition </w:t>
      </w:r>
      <w:r w:rsidR="00AC7BCE" w:rsidRPr="006D6586">
        <w:rPr>
          <w:rFonts w:cstheme="minorHAnsi"/>
          <w:lang w:val="en-GB"/>
        </w:rPr>
        <w:t xml:space="preserve">budget would be </w:t>
      </w:r>
      <w:r w:rsidR="0076120D" w:rsidRPr="006D6586">
        <w:rPr>
          <w:rFonts w:cstheme="minorHAnsi"/>
          <w:lang w:val="en-GB"/>
        </w:rPr>
        <w:t>less than 1</w:t>
      </w:r>
      <w:r w:rsidR="00A27C07" w:rsidRPr="006D6586">
        <w:rPr>
          <w:rFonts w:cstheme="minorHAnsi"/>
          <w:lang w:val="en-GB"/>
        </w:rPr>
        <w:t xml:space="preserve"> percent</w:t>
      </w:r>
      <w:r w:rsidR="0076120D" w:rsidRPr="006D6586">
        <w:rPr>
          <w:rFonts w:cstheme="minorHAnsi"/>
          <w:lang w:val="en-GB"/>
        </w:rPr>
        <w:t xml:space="preserve"> of GDP. </w:t>
      </w:r>
      <w:r w:rsidR="00AC7BCE" w:rsidRPr="006D6586">
        <w:rPr>
          <w:rFonts w:cstheme="minorHAnsi"/>
          <w:lang w:val="en-GB"/>
        </w:rPr>
        <w:t xml:space="preserve">The comprehensive vision required to address undernutrition is still lacking in the policy domain. </w:t>
      </w:r>
      <w:r w:rsidR="00B517D1" w:rsidRPr="006D6586">
        <w:rPr>
          <w:rFonts w:cstheme="minorHAnsi"/>
          <w:lang w:val="en-GB"/>
        </w:rPr>
        <w:t>The government may do well to recall that w</w:t>
      </w:r>
      <w:r w:rsidR="00AC7BCE" w:rsidRPr="006D6586">
        <w:rPr>
          <w:rFonts w:cstheme="minorHAnsi"/>
          <w:lang w:val="en-GB"/>
        </w:rPr>
        <w:t xml:space="preserve">e cannot reap the demographic dividend unless we invest </w:t>
      </w:r>
      <w:r w:rsidR="00363E8D">
        <w:rPr>
          <w:rFonts w:cstheme="minorHAnsi"/>
          <w:lang w:val="en-GB"/>
        </w:rPr>
        <w:t>in</w:t>
      </w:r>
      <w:r w:rsidR="00AC7BCE" w:rsidRPr="006D6586">
        <w:rPr>
          <w:rFonts w:cstheme="minorHAnsi"/>
          <w:lang w:val="en-GB"/>
        </w:rPr>
        <w:t xml:space="preserve"> health, education and nourishment of our </w:t>
      </w:r>
      <w:r w:rsidR="00B517D1" w:rsidRPr="006D6586">
        <w:rPr>
          <w:rFonts w:cstheme="minorHAnsi"/>
          <w:lang w:val="en-GB"/>
        </w:rPr>
        <w:t>people</w:t>
      </w:r>
      <w:r w:rsidR="00AC7BCE" w:rsidRPr="006D6586">
        <w:rPr>
          <w:rFonts w:cstheme="minorHAnsi"/>
          <w:lang w:val="en-GB"/>
        </w:rPr>
        <w:t xml:space="preserve">. </w:t>
      </w:r>
    </w:p>
    <w:p w:rsidR="007D7A8D" w:rsidRPr="006D6586" w:rsidRDefault="007D7A8D" w:rsidP="006D6586">
      <w:pPr>
        <w:rPr>
          <w:rFonts w:cstheme="minorHAnsi"/>
          <w:lang w:val="en-GB"/>
        </w:rPr>
      </w:pPr>
      <w:r w:rsidRPr="006D6586">
        <w:rPr>
          <w:rFonts w:cstheme="minorHAnsi"/>
          <w:lang w:val="en-GB"/>
        </w:rPr>
        <w:br w:type="page"/>
      </w:r>
      <w:r w:rsidR="00363E8D" w:rsidRPr="006D6586">
        <w:rPr>
          <w:rFonts w:eastAsia="Times New Roman" w:cstheme="minorHAnsi"/>
          <w:b/>
          <w:bCs/>
          <w:color w:val="000000"/>
          <w:lang w:eastAsia="en-IN"/>
        </w:rPr>
        <w:lastRenderedPageBreak/>
        <w:t xml:space="preserve">Table </w:t>
      </w:r>
      <w:r w:rsidR="00F408D7">
        <w:rPr>
          <w:rFonts w:eastAsia="Times New Roman" w:cstheme="minorHAnsi"/>
          <w:b/>
          <w:bCs/>
          <w:color w:val="000000"/>
          <w:lang w:eastAsia="en-IN"/>
        </w:rPr>
        <w:t>9.</w:t>
      </w:r>
      <w:r w:rsidR="00363E8D" w:rsidRPr="006D6586">
        <w:rPr>
          <w:rFonts w:eastAsia="Times New Roman" w:cstheme="minorHAnsi"/>
          <w:b/>
          <w:bCs/>
          <w:color w:val="000000"/>
          <w:lang w:eastAsia="en-IN"/>
        </w:rPr>
        <w:t>1: Union Budget Expenditure and Allocations for Schemes Related to Nutrition</w:t>
      </w:r>
      <w:r w:rsidR="00363E8D">
        <w:rPr>
          <w:rFonts w:eastAsia="Times New Roman" w:cstheme="minorHAnsi"/>
          <w:color w:val="000000"/>
          <w:lang w:eastAsia="en-IN"/>
        </w:rPr>
        <w:t xml:space="preserve"> (In </w:t>
      </w:r>
      <w:proofErr w:type="spellStart"/>
      <w:r w:rsidR="00363E8D" w:rsidRPr="006D6586">
        <w:rPr>
          <w:rFonts w:eastAsia="Times New Roman" w:cstheme="minorHAnsi"/>
          <w:color w:val="000000"/>
          <w:lang w:eastAsia="en-IN"/>
        </w:rPr>
        <w:t>Rs</w:t>
      </w:r>
      <w:proofErr w:type="spellEnd"/>
      <w:r w:rsidR="00363E8D" w:rsidRPr="006D6586">
        <w:rPr>
          <w:rFonts w:eastAsia="Times New Roman" w:cstheme="minorHAnsi"/>
          <w:color w:val="000000"/>
          <w:lang w:eastAsia="en-IN"/>
        </w:rPr>
        <w:t>. Crore</w:t>
      </w:r>
      <w:r w:rsidR="00363E8D">
        <w:rPr>
          <w:rFonts w:eastAsia="Times New Roman" w:cstheme="minorHAnsi"/>
          <w:color w:val="000000"/>
          <w:lang w:eastAsia="en-IN"/>
        </w:rPr>
        <w:t>)</w:t>
      </w:r>
    </w:p>
    <w:tbl>
      <w:tblPr>
        <w:tblW w:w="110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4"/>
        <w:gridCol w:w="988"/>
        <w:gridCol w:w="999"/>
        <w:gridCol w:w="948"/>
        <w:gridCol w:w="990"/>
        <w:gridCol w:w="900"/>
        <w:gridCol w:w="1080"/>
        <w:gridCol w:w="990"/>
        <w:gridCol w:w="1654"/>
      </w:tblGrid>
      <w:tr w:rsidR="00363E8D" w:rsidRPr="006D6586" w:rsidTr="00F408D7">
        <w:trPr>
          <w:trHeight w:val="900"/>
          <w:jc w:val="center"/>
        </w:trPr>
        <w:tc>
          <w:tcPr>
            <w:tcW w:w="2464" w:type="dxa"/>
            <w:shd w:val="clear" w:color="auto" w:fill="auto"/>
            <w:noWrap/>
            <w:hideMark/>
          </w:tcPr>
          <w:p w:rsidR="00363E8D" w:rsidRPr="006D6586" w:rsidRDefault="00363E8D" w:rsidP="006D6586">
            <w:pPr>
              <w:spacing w:after="0"/>
              <w:rPr>
                <w:rFonts w:eastAsia="Times New Roman" w:cstheme="minorHAnsi"/>
                <w:b/>
                <w:bCs/>
                <w:color w:val="000000"/>
                <w:lang w:eastAsia="en-IN"/>
              </w:rPr>
            </w:pPr>
            <w:bookmarkStart w:id="1" w:name="OLE_LINK1"/>
            <w:r w:rsidRPr="006D6586">
              <w:rPr>
                <w:rFonts w:eastAsia="Times New Roman" w:cstheme="minorHAnsi"/>
                <w:b/>
                <w:bCs/>
                <w:color w:val="000000"/>
                <w:lang w:eastAsia="en-IN"/>
              </w:rPr>
              <w:t>Schemes</w:t>
            </w:r>
          </w:p>
        </w:tc>
        <w:tc>
          <w:tcPr>
            <w:tcW w:w="988" w:type="dxa"/>
            <w:shd w:val="clear" w:color="auto" w:fill="auto"/>
            <w:noWrap/>
            <w:hideMark/>
          </w:tcPr>
          <w:p w:rsidR="00363E8D" w:rsidRPr="006D6586" w:rsidRDefault="00363E8D" w:rsidP="006D6586">
            <w:pPr>
              <w:spacing w:after="0"/>
              <w:jc w:val="center"/>
              <w:rPr>
                <w:rFonts w:eastAsia="Times New Roman" w:cstheme="minorHAnsi"/>
                <w:b/>
                <w:bCs/>
                <w:color w:val="000000"/>
                <w:lang w:eastAsia="en-IN"/>
              </w:rPr>
            </w:pPr>
            <w:r w:rsidRPr="006D6586">
              <w:rPr>
                <w:rFonts w:eastAsia="Times New Roman" w:cstheme="minorHAnsi"/>
                <w:b/>
                <w:bCs/>
                <w:color w:val="000000"/>
                <w:lang w:eastAsia="en-IN"/>
              </w:rPr>
              <w:t>2012-13 A</w:t>
            </w:r>
          </w:p>
        </w:tc>
        <w:tc>
          <w:tcPr>
            <w:tcW w:w="999" w:type="dxa"/>
            <w:shd w:val="clear" w:color="auto" w:fill="auto"/>
            <w:noWrap/>
            <w:hideMark/>
          </w:tcPr>
          <w:p w:rsidR="00363E8D" w:rsidRPr="006D6586" w:rsidRDefault="00363E8D" w:rsidP="006D6586">
            <w:pPr>
              <w:spacing w:after="0"/>
              <w:jc w:val="center"/>
              <w:rPr>
                <w:rFonts w:eastAsia="Times New Roman" w:cstheme="minorHAnsi"/>
                <w:b/>
                <w:bCs/>
                <w:color w:val="000000"/>
                <w:lang w:eastAsia="en-IN"/>
              </w:rPr>
            </w:pPr>
            <w:r w:rsidRPr="006D6586">
              <w:rPr>
                <w:rFonts w:eastAsia="Times New Roman" w:cstheme="minorHAnsi"/>
                <w:b/>
                <w:bCs/>
                <w:color w:val="000000"/>
                <w:lang w:eastAsia="en-IN"/>
              </w:rPr>
              <w:t>2013-14 A</w:t>
            </w:r>
          </w:p>
        </w:tc>
        <w:tc>
          <w:tcPr>
            <w:tcW w:w="948" w:type="dxa"/>
            <w:shd w:val="clear" w:color="auto" w:fill="auto"/>
            <w:noWrap/>
            <w:hideMark/>
          </w:tcPr>
          <w:p w:rsidR="00363E8D" w:rsidRPr="006D6586" w:rsidRDefault="00363E8D" w:rsidP="006D6586">
            <w:pPr>
              <w:spacing w:after="0"/>
              <w:jc w:val="center"/>
              <w:rPr>
                <w:rFonts w:eastAsia="Times New Roman" w:cstheme="minorHAnsi"/>
                <w:b/>
                <w:bCs/>
                <w:color w:val="000000"/>
                <w:lang w:eastAsia="en-IN"/>
              </w:rPr>
            </w:pPr>
            <w:r w:rsidRPr="006D6586">
              <w:rPr>
                <w:rFonts w:eastAsia="Times New Roman" w:cstheme="minorHAnsi"/>
                <w:b/>
                <w:bCs/>
                <w:color w:val="000000"/>
                <w:lang w:eastAsia="en-IN"/>
              </w:rPr>
              <w:t>2014-15 A</w:t>
            </w:r>
          </w:p>
        </w:tc>
        <w:tc>
          <w:tcPr>
            <w:tcW w:w="990" w:type="dxa"/>
            <w:shd w:val="clear" w:color="auto" w:fill="auto"/>
            <w:noWrap/>
            <w:hideMark/>
          </w:tcPr>
          <w:p w:rsidR="00363E8D" w:rsidRPr="006D6586" w:rsidRDefault="00363E8D" w:rsidP="006D6586">
            <w:pPr>
              <w:spacing w:after="0"/>
              <w:jc w:val="center"/>
              <w:rPr>
                <w:rFonts w:eastAsia="Times New Roman" w:cstheme="minorHAnsi"/>
                <w:b/>
                <w:bCs/>
                <w:color w:val="000000"/>
                <w:lang w:eastAsia="en-IN"/>
              </w:rPr>
            </w:pPr>
            <w:r w:rsidRPr="006D6586">
              <w:rPr>
                <w:rFonts w:eastAsia="Times New Roman" w:cstheme="minorHAnsi"/>
                <w:b/>
                <w:bCs/>
                <w:color w:val="000000"/>
                <w:lang w:eastAsia="en-IN"/>
              </w:rPr>
              <w:t>2015-16 A</w:t>
            </w:r>
          </w:p>
        </w:tc>
        <w:tc>
          <w:tcPr>
            <w:tcW w:w="900" w:type="dxa"/>
            <w:shd w:val="clear" w:color="auto" w:fill="auto"/>
            <w:noWrap/>
            <w:hideMark/>
          </w:tcPr>
          <w:p w:rsidR="00363E8D" w:rsidRPr="006D6586" w:rsidRDefault="00363E8D" w:rsidP="006D6586">
            <w:pPr>
              <w:spacing w:after="0"/>
              <w:jc w:val="center"/>
              <w:rPr>
                <w:rFonts w:eastAsia="Times New Roman" w:cstheme="minorHAnsi"/>
                <w:b/>
                <w:bCs/>
                <w:color w:val="000000"/>
                <w:lang w:eastAsia="en-IN"/>
              </w:rPr>
            </w:pPr>
            <w:r w:rsidRPr="006D6586">
              <w:rPr>
                <w:rFonts w:eastAsia="Times New Roman" w:cstheme="minorHAnsi"/>
                <w:b/>
                <w:bCs/>
                <w:color w:val="000000"/>
                <w:lang w:eastAsia="en-IN"/>
              </w:rPr>
              <w:t xml:space="preserve">2016-17 </w:t>
            </w:r>
            <w:r w:rsidR="00661430">
              <w:rPr>
                <w:rFonts w:eastAsia="Times New Roman" w:cstheme="minorHAnsi"/>
                <w:b/>
                <w:bCs/>
                <w:color w:val="000000"/>
                <w:lang w:eastAsia="en-IN"/>
              </w:rPr>
              <w:t>(</w:t>
            </w:r>
            <w:r w:rsidRPr="006D6586">
              <w:rPr>
                <w:rFonts w:eastAsia="Times New Roman" w:cstheme="minorHAnsi"/>
                <w:b/>
                <w:bCs/>
                <w:color w:val="000000"/>
                <w:lang w:eastAsia="en-IN"/>
              </w:rPr>
              <w:t>BE</w:t>
            </w:r>
            <w:r w:rsidR="00661430">
              <w:rPr>
                <w:rFonts w:eastAsia="Times New Roman" w:cstheme="minorHAnsi"/>
                <w:b/>
                <w:bCs/>
                <w:color w:val="000000"/>
                <w:lang w:eastAsia="en-IN"/>
              </w:rPr>
              <w:t>)</w:t>
            </w:r>
          </w:p>
        </w:tc>
        <w:tc>
          <w:tcPr>
            <w:tcW w:w="1080" w:type="dxa"/>
            <w:shd w:val="clear" w:color="auto" w:fill="auto"/>
            <w:noWrap/>
            <w:hideMark/>
          </w:tcPr>
          <w:p w:rsidR="00363E8D" w:rsidRPr="006D6586" w:rsidRDefault="00363E8D" w:rsidP="006D6586">
            <w:pPr>
              <w:spacing w:after="0"/>
              <w:jc w:val="center"/>
              <w:rPr>
                <w:rFonts w:eastAsia="Times New Roman" w:cstheme="minorHAnsi"/>
                <w:b/>
                <w:bCs/>
                <w:color w:val="000000"/>
                <w:lang w:eastAsia="en-IN"/>
              </w:rPr>
            </w:pPr>
            <w:r w:rsidRPr="006D6586">
              <w:rPr>
                <w:rFonts w:eastAsia="Times New Roman" w:cstheme="minorHAnsi"/>
                <w:b/>
                <w:bCs/>
                <w:color w:val="000000"/>
                <w:lang w:eastAsia="en-IN"/>
              </w:rPr>
              <w:t xml:space="preserve">2016-17 </w:t>
            </w:r>
            <w:r w:rsidR="00661430">
              <w:rPr>
                <w:rFonts w:eastAsia="Times New Roman" w:cstheme="minorHAnsi"/>
                <w:b/>
                <w:bCs/>
                <w:color w:val="000000"/>
                <w:lang w:eastAsia="en-IN"/>
              </w:rPr>
              <w:t>(</w:t>
            </w:r>
            <w:r w:rsidRPr="006D6586">
              <w:rPr>
                <w:rFonts w:eastAsia="Times New Roman" w:cstheme="minorHAnsi"/>
                <w:b/>
                <w:bCs/>
                <w:color w:val="000000"/>
                <w:lang w:eastAsia="en-IN"/>
              </w:rPr>
              <w:t>RE</w:t>
            </w:r>
            <w:r w:rsidR="00661430">
              <w:rPr>
                <w:rFonts w:eastAsia="Times New Roman" w:cstheme="minorHAnsi"/>
                <w:b/>
                <w:bCs/>
                <w:color w:val="000000"/>
                <w:lang w:eastAsia="en-IN"/>
              </w:rPr>
              <w:t>)</w:t>
            </w:r>
          </w:p>
        </w:tc>
        <w:tc>
          <w:tcPr>
            <w:tcW w:w="990" w:type="dxa"/>
            <w:shd w:val="clear" w:color="auto" w:fill="auto"/>
            <w:noWrap/>
            <w:hideMark/>
          </w:tcPr>
          <w:p w:rsidR="00363E8D" w:rsidRPr="006D6586" w:rsidRDefault="00363E8D" w:rsidP="006D6586">
            <w:pPr>
              <w:spacing w:after="0"/>
              <w:jc w:val="center"/>
              <w:rPr>
                <w:rFonts w:eastAsia="Times New Roman" w:cstheme="minorHAnsi"/>
                <w:b/>
                <w:bCs/>
                <w:color w:val="000000"/>
                <w:lang w:eastAsia="en-IN"/>
              </w:rPr>
            </w:pPr>
            <w:r w:rsidRPr="006D6586">
              <w:rPr>
                <w:rFonts w:eastAsia="Times New Roman" w:cstheme="minorHAnsi"/>
                <w:b/>
                <w:bCs/>
                <w:color w:val="000000"/>
                <w:lang w:eastAsia="en-IN"/>
              </w:rPr>
              <w:t xml:space="preserve">2017-18 </w:t>
            </w:r>
            <w:r w:rsidR="00661430">
              <w:rPr>
                <w:rFonts w:eastAsia="Times New Roman" w:cstheme="minorHAnsi"/>
                <w:b/>
                <w:bCs/>
                <w:color w:val="000000"/>
                <w:lang w:eastAsia="en-IN"/>
              </w:rPr>
              <w:t>(</w:t>
            </w:r>
            <w:r w:rsidRPr="006D6586">
              <w:rPr>
                <w:rFonts w:eastAsia="Times New Roman" w:cstheme="minorHAnsi"/>
                <w:b/>
                <w:bCs/>
                <w:color w:val="000000"/>
                <w:lang w:eastAsia="en-IN"/>
              </w:rPr>
              <w:t>BE</w:t>
            </w:r>
            <w:r w:rsidR="00661430">
              <w:rPr>
                <w:rFonts w:eastAsia="Times New Roman" w:cstheme="minorHAnsi"/>
                <w:b/>
                <w:bCs/>
                <w:color w:val="000000"/>
                <w:lang w:eastAsia="en-IN"/>
              </w:rPr>
              <w:t>)</w:t>
            </w:r>
          </w:p>
        </w:tc>
        <w:tc>
          <w:tcPr>
            <w:tcW w:w="1654" w:type="dxa"/>
            <w:shd w:val="clear" w:color="auto" w:fill="auto"/>
            <w:hideMark/>
          </w:tcPr>
          <w:p w:rsidR="00363E8D" w:rsidRPr="006D6586" w:rsidRDefault="00363E8D" w:rsidP="006D6586">
            <w:pPr>
              <w:spacing w:after="0"/>
              <w:jc w:val="center"/>
              <w:rPr>
                <w:rFonts w:eastAsia="Times New Roman" w:cstheme="minorHAnsi"/>
                <w:b/>
                <w:bCs/>
                <w:color w:val="000000"/>
                <w:lang w:eastAsia="en-IN"/>
              </w:rPr>
            </w:pPr>
            <w:r w:rsidRPr="006D6586">
              <w:rPr>
                <w:rFonts w:eastAsia="Times New Roman" w:cstheme="minorHAnsi"/>
                <w:b/>
                <w:bCs/>
                <w:color w:val="000000"/>
                <w:lang w:eastAsia="en-IN"/>
              </w:rPr>
              <w:t>% change between 2017-18 BE and 2016-17 RE</w:t>
            </w:r>
          </w:p>
        </w:tc>
      </w:tr>
      <w:tr w:rsidR="00F408D7" w:rsidRPr="006D6586" w:rsidTr="00F408D7">
        <w:trPr>
          <w:trHeight w:val="600"/>
          <w:jc w:val="center"/>
        </w:trPr>
        <w:tc>
          <w:tcPr>
            <w:tcW w:w="2464" w:type="dxa"/>
            <w:shd w:val="clear" w:color="auto" w:fill="auto"/>
            <w:hideMark/>
          </w:tcPr>
          <w:p w:rsidR="00F408D7" w:rsidRPr="006D6586" w:rsidRDefault="00F408D7" w:rsidP="00661430">
            <w:pPr>
              <w:spacing w:after="0"/>
              <w:rPr>
                <w:rFonts w:eastAsia="Times New Roman" w:cstheme="minorHAnsi"/>
                <w:color w:val="000000"/>
                <w:lang w:eastAsia="en-IN"/>
              </w:rPr>
            </w:pPr>
            <w:r w:rsidRPr="006D6586">
              <w:rPr>
                <w:rFonts w:eastAsia="Times New Roman" w:cstheme="minorHAnsi"/>
                <w:color w:val="000000"/>
                <w:lang w:eastAsia="en-IN"/>
              </w:rPr>
              <w:t>Core ICDS</w:t>
            </w:r>
            <w:r>
              <w:rPr>
                <w:rFonts w:eastAsia="Times New Roman" w:cstheme="minorHAnsi"/>
                <w:color w:val="000000"/>
                <w:lang w:eastAsia="en-IN"/>
              </w:rPr>
              <w:t xml:space="preserve"> </w:t>
            </w:r>
            <w:r w:rsidRPr="006D6586">
              <w:rPr>
                <w:rFonts w:eastAsia="Times New Roman" w:cstheme="minorHAnsi"/>
                <w:color w:val="000000"/>
                <w:lang w:eastAsia="en-IN"/>
              </w:rPr>
              <w:t xml:space="preserve">/ </w:t>
            </w:r>
            <w:proofErr w:type="spellStart"/>
            <w:r w:rsidRPr="006D6586">
              <w:rPr>
                <w:rFonts w:eastAsia="Times New Roman" w:cstheme="minorHAnsi"/>
                <w:color w:val="000000"/>
                <w:lang w:eastAsia="en-IN"/>
              </w:rPr>
              <w:t>Anganwadi</w:t>
            </w:r>
            <w:proofErr w:type="spellEnd"/>
            <w:r w:rsidRPr="006D6586">
              <w:rPr>
                <w:rFonts w:eastAsia="Times New Roman" w:cstheme="minorHAnsi"/>
                <w:color w:val="000000"/>
                <w:lang w:eastAsia="en-IN"/>
              </w:rPr>
              <w:t xml:space="preserve"> </w:t>
            </w:r>
            <w:proofErr w:type="spellStart"/>
            <w:r>
              <w:rPr>
                <w:rFonts w:eastAsia="Times New Roman" w:cstheme="minorHAnsi"/>
                <w:color w:val="000000"/>
                <w:lang w:eastAsia="en-IN"/>
              </w:rPr>
              <w:t>S</w:t>
            </w:r>
            <w:r w:rsidRPr="006D6586">
              <w:rPr>
                <w:rFonts w:eastAsia="Times New Roman" w:cstheme="minorHAnsi"/>
                <w:color w:val="000000"/>
                <w:lang w:eastAsia="en-IN"/>
              </w:rPr>
              <w:t>ervices</w:t>
            </w:r>
            <w:r w:rsidRPr="006D6586">
              <w:rPr>
                <w:rFonts w:eastAsia="Times New Roman" w:cstheme="minorHAnsi"/>
                <w:color w:val="000000"/>
                <w:vertAlign w:val="superscript"/>
                <w:lang w:eastAsia="en-IN"/>
              </w:rPr>
              <w:t>i</w:t>
            </w:r>
            <w:proofErr w:type="spellEnd"/>
            <w:r w:rsidRPr="006D6586">
              <w:rPr>
                <w:rFonts w:eastAsia="Times New Roman" w:cstheme="minorHAnsi"/>
                <w:color w:val="000000"/>
                <w:vertAlign w:val="superscript"/>
                <w:lang w:eastAsia="en-IN"/>
              </w:rPr>
              <w:t>, ii</w:t>
            </w:r>
          </w:p>
        </w:tc>
        <w:tc>
          <w:tcPr>
            <w:tcW w:w="98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15767</w:t>
            </w:r>
          </w:p>
        </w:tc>
        <w:tc>
          <w:tcPr>
            <w:tcW w:w="999"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16401</w:t>
            </w:r>
          </w:p>
        </w:tc>
        <w:tc>
          <w:tcPr>
            <w:tcW w:w="94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16684</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15489</w:t>
            </w:r>
          </w:p>
        </w:tc>
        <w:tc>
          <w:tcPr>
            <w:tcW w:w="90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14850</w:t>
            </w:r>
          </w:p>
        </w:tc>
        <w:tc>
          <w:tcPr>
            <w:tcW w:w="108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14736</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16745</w:t>
            </w:r>
          </w:p>
        </w:tc>
        <w:tc>
          <w:tcPr>
            <w:tcW w:w="1654" w:type="dxa"/>
            <w:shd w:val="clear" w:color="auto" w:fill="auto"/>
            <w:noWrap/>
            <w:hideMark/>
          </w:tcPr>
          <w:p w:rsidR="00F408D7" w:rsidRPr="006D6586" w:rsidRDefault="00F408D7" w:rsidP="006D6586">
            <w:pPr>
              <w:spacing w:after="0"/>
              <w:jc w:val="center"/>
              <w:rPr>
                <w:rFonts w:eastAsia="Times New Roman" w:cstheme="minorHAnsi"/>
                <w:color w:val="000000"/>
                <w:lang w:eastAsia="en-IN"/>
              </w:rPr>
            </w:pPr>
            <w:r w:rsidRPr="006D6586">
              <w:rPr>
                <w:rFonts w:eastAsia="Times New Roman" w:cstheme="minorHAnsi"/>
                <w:color w:val="000000"/>
                <w:lang w:eastAsia="en-IN"/>
              </w:rPr>
              <w:t>13.6</w:t>
            </w:r>
          </w:p>
        </w:tc>
      </w:tr>
      <w:tr w:rsidR="00F408D7" w:rsidRPr="006D6586" w:rsidTr="00F408D7">
        <w:trPr>
          <w:trHeight w:val="300"/>
          <w:jc w:val="center"/>
        </w:trPr>
        <w:tc>
          <w:tcPr>
            <w:tcW w:w="2464" w:type="dxa"/>
            <w:shd w:val="clear" w:color="auto" w:fill="auto"/>
            <w:hideMark/>
          </w:tcPr>
          <w:p w:rsidR="00F408D7" w:rsidRPr="006D6586" w:rsidRDefault="00F408D7" w:rsidP="006D6586">
            <w:pPr>
              <w:spacing w:after="0"/>
              <w:rPr>
                <w:rFonts w:eastAsia="Times New Roman" w:cstheme="minorHAnsi"/>
                <w:color w:val="000000"/>
                <w:lang w:eastAsia="en-IN"/>
              </w:rPr>
            </w:pPr>
            <w:r w:rsidRPr="006D6586">
              <w:rPr>
                <w:rFonts w:eastAsia="Times New Roman" w:cstheme="minorHAnsi"/>
                <w:color w:val="000000"/>
                <w:lang w:eastAsia="en-IN"/>
              </w:rPr>
              <w:t xml:space="preserve">National </w:t>
            </w:r>
            <w:proofErr w:type="spellStart"/>
            <w:r w:rsidRPr="006D6586">
              <w:rPr>
                <w:rFonts w:eastAsia="Times New Roman" w:cstheme="minorHAnsi"/>
                <w:color w:val="000000"/>
                <w:lang w:eastAsia="en-IN"/>
              </w:rPr>
              <w:t>Creche</w:t>
            </w:r>
            <w:proofErr w:type="spellEnd"/>
            <w:r w:rsidRPr="006D6586">
              <w:rPr>
                <w:rFonts w:eastAsia="Times New Roman" w:cstheme="minorHAnsi"/>
                <w:color w:val="000000"/>
                <w:lang w:eastAsia="en-IN"/>
              </w:rPr>
              <w:t xml:space="preserve"> Scheme</w:t>
            </w:r>
          </w:p>
        </w:tc>
        <w:tc>
          <w:tcPr>
            <w:tcW w:w="98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106</w:t>
            </w:r>
          </w:p>
        </w:tc>
        <w:tc>
          <w:tcPr>
            <w:tcW w:w="999"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100</w:t>
            </w:r>
          </w:p>
        </w:tc>
        <w:tc>
          <w:tcPr>
            <w:tcW w:w="94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98</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133</w:t>
            </w:r>
          </w:p>
        </w:tc>
        <w:tc>
          <w:tcPr>
            <w:tcW w:w="90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150</w:t>
            </w:r>
          </w:p>
        </w:tc>
        <w:tc>
          <w:tcPr>
            <w:tcW w:w="108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150</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200</w:t>
            </w:r>
          </w:p>
        </w:tc>
        <w:tc>
          <w:tcPr>
            <w:tcW w:w="1654" w:type="dxa"/>
            <w:shd w:val="clear" w:color="auto" w:fill="auto"/>
            <w:noWrap/>
            <w:hideMark/>
          </w:tcPr>
          <w:p w:rsidR="00F408D7" w:rsidRPr="006D6586" w:rsidRDefault="00F408D7" w:rsidP="006D6586">
            <w:pPr>
              <w:spacing w:after="0"/>
              <w:jc w:val="center"/>
              <w:rPr>
                <w:rFonts w:eastAsia="Times New Roman" w:cstheme="minorHAnsi"/>
                <w:color w:val="000000"/>
                <w:lang w:eastAsia="en-IN"/>
              </w:rPr>
            </w:pPr>
            <w:r w:rsidRPr="006D6586">
              <w:rPr>
                <w:rFonts w:eastAsia="Times New Roman" w:cstheme="minorHAnsi"/>
                <w:color w:val="000000"/>
                <w:lang w:eastAsia="en-IN"/>
              </w:rPr>
              <w:t>33.3</w:t>
            </w:r>
          </w:p>
        </w:tc>
      </w:tr>
      <w:tr w:rsidR="00F408D7" w:rsidRPr="006D6586" w:rsidTr="00F408D7">
        <w:trPr>
          <w:trHeight w:val="300"/>
          <w:jc w:val="center"/>
        </w:trPr>
        <w:tc>
          <w:tcPr>
            <w:tcW w:w="2464" w:type="dxa"/>
            <w:shd w:val="clear" w:color="auto" w:fill="auto"/>
            <w:hideMark/>
          </w:tcPr>
          <w:p w:rsidR="00F408D7" w:rsidRPr="006D6586" w:rsidRDefault="00F408D7" w:rsidP="006D6586">
            <w:pPr>
              <w:spacing w:after="0"/>
              <w:rPr>
                <w:rFonts w:eastAsia="Times New Roman" w:cstheme="minorHAnsi"/>
                <w:color w:val="000000"/>
                <w:lang w:eastAsia="en-IN"/>
              </w:rPr>
            </w:pPr>
            <w:r w:rsidRPr="006D6586">
              <w:rPr>
                <w:rFonts w:eastAsia="Times New Roman" w:cstheme="minorHAnsi"/>
                <w:color w:val="000000"/>
                <w:lang w:eastAsia="en-IN"/>
              </w:rPr>
              <w:t>IGMSY/</w:t>
            </w:r>
            <w:proofErr w:type="spellStart"/>
            <w:r w:rsidRPr="006D6586">
              <w:rPr>
                <w:rFonts w:eastAsia="Times New Roman" w:cstheme="minorHAnsi"/>
                <w:color w:val="000000"/>
                <w:lang w:eastAsia="en-IN"/>
              </w:rPr>
              <w:t>MBP</w:t>
            </w:r>
            <w:r w:rsidRPr="006D6586">
              <w:rPr>
                <w:rFonts w:eastAsia="Times New Roman" w:cstheme="minorHAnsi"/>
                <w:color w:val="000000"/>
                <w:vertAlign w:val="superscript"/>
                <w:lang w:eastAsia="en-IN"/>
              </w:rPr>
              <w:t>i</w:t>
            </w:r>
            <w:proofErr w:type="spellEnd"/>
          </w:p>
        </w:tc>
        <w:tc>
          <w:tcPr>
            <w:tcW w:w="98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82</w:t>
            </w:r>
          </w:p>
        </w:tc>
        <w:tc>
          <w:tcPr>
            <w:tcW w:w="999"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232</w:t>
            </w:r>
          </w:p>
        </w:tc>
        <w:tc>
          <w:tcPr>
            <w:tcW w:w="94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343</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233</w:t>
            </w:r>
          </w:p>
        </w:tc>
        <w:tc>
          <w:tcPr>
            <w:tcW w:w="90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400</w:t>
            </w:r>
          </w:p>
        </w:tc>
        <w:tc>
          <w:tcPr>
            <w:tcW w:w="108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634</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2700</w:t>
            </w:r>
          </w:p>
        </w:tc>
        <w:tc>
          <w:tcPr>
            <w:tcW w:w="1654" w:type="dxa"/>
            <w:shd w:val="clear" w:color="auto" w:fill="auto"/>
            <w:noWrap/>
            <w:hideMark/>
          </w:tcPr>
          <w:p w:rsidR="00F408D7" w:rsidRPr="006D6586" w:rsidRDefault="00F408D7" w:rsidP="006D6586">
            <w:pPr>
              <w:spacing w:after="0"/>
              <w:jc w:val="center"/>
              <w:rPr>
                <w:rFonts w:eastAsia="Times New Roman" w:cstheme="minorHAnsi"/>
                <w:color w:val="000000"/>
                <w:lang w:eastAsia="en-IN"/>
              </w:rPr>
            </w:pPr>
            <w:r w:rsidRPr="006D6586">
              <w:rPr>
                <w:rFonts w:eastAsia="Times New Roman" w:cstheme="minorHAnsi"/>
                <w:color w:val="000000"/>
                <w:lang w:eastAsia="en-IN"/>
              </w:rPr>
              <w:t>325.9</w:t>
            </w:r>
          </w:p>
        </w:tc>
      </w:tr>
      <w:tr w:rsidR="00F408D7" w:rsidRPr="006D6586" w:rsidTr="00F408D7">
        <w:trPr>
          <w:trHeight w:val="300"/>
          <w:jc w:val="center"/>
        </w:trPr>
        <w:tc>
          <w:tcPr>
            <w:tcW w:w="2464" w:type="dxa"/>
            <w:shd w:val="clear" w:color="auto" w:fill="auto"/>
            <w:hideMark/>
          </w:tcPr>
          <w:p w:rsidR="00F408D7" w:rsidRPr="006D6586" w:rsidRDefault="00F408D7" w:rsidP="006D6586">
            <w:pPr>
              <w:spacing w:after="0"/>
              <w:rPr>
                <w:rFonts w:eastAsia="Times New Roman" w:cstheme="minorHAnsi"/>
                <w:color w:val="000000"/>
                <w:lang w:eastAsia="en-IN"/>
              </w:rPr>
            </w:pPr>
            <w:r w:rsidRPr="006D6586">
              <w:rPr>
                <w:rFonts w:eastAsia="Times New Roman" w:cstheme="minorHAnsi"/>
                <w:color w:val="000000"/>
                <w:lang w:eastAsia="en-IN"/>
              </w:rPr>
              <w:t>SABLA</w:t>
            </w:r>
          </w:p>
        </w:tc>
        <w:tc>
          <w:tcPr>
            <w:tcW w:w="98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504</w:t>
            </w:r>
          </w:p>
        </w:tc>
        <w:tc>
          <w:tcPr>
            <w:tcW w:w="999"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603</w:t>
            </w:r>
          </w:p>
        </w:tc>
        <w:tc>
          <w:tcPr>
            <w:tcW w:w="94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622</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475</w:t>
            </w:r>
          </w:p>
        </w:tc>
        <w:tc>
          <w:tcPr>
            <w:tcW w:w="90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460</w:t>
            </w:r>
          </w:p>
        </w:tc>
        <w:tc>
          <w:tcPr>
            <w:tcW w:w="108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460</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460</w:t>
            </w:r>
          </w:p>
        </w:tc>
        <w:tc>
          <w:tcPr>
            <w:tcW w:w="1654" w:type="dxa"/>
            <w:shd w:val="clear" w:color="auto" w:fill="auto"/>
            <w:noWrap/>
            <w:hideMark/>
          </w:tcPr>
          <w:p w:rsidR="00F408D7" w:rsidRPr="006D6586" w:rsidRDefault="00F408D7" w:rsidP="006D6586">
            <w:pPr>
              <w:spacing w:after="0"/>
              <w:jc w:val="center"/>
              <w:rPr>
                <w:rFonts w:eastAsia="Times New Roman" w:cstheme="minorHAnsi"/>
                <w:color w:val="000000"/>
                <w:lang w:eastAsia="en-IN"/>
              </w:rPr>
            </w:pPr>
            <w:r w:rsidRPr="006D6586">
              <w:rPr>
                <w:rFonts w:eastAsia="Times New Roman" w:cstheme="minorHAnsi"/>
                <w:color w:val="000000"/>
                <w:lang w:eastAsia="en-IN"/>
              </w:rPr>
              <w:t>0.0</w:t>
            </w:r>
          </w:p>
        </w:tc>
      </w:tr>
      <w:tr w:rsidR="00F408D7" w:rsidRPr="006D6586" w:rsidTr="00F408D7">
        <w:trPr>
          <w:trHeight w:val="300"/>
          <w:jc w:val="center"/>
        </w:trPr>
        <w:tc>
          <w:tcPr>
            <w:tcW w:w="2464" w:type="dxa"/>
            <w:shd w:val="clear" w:color="auto" w:fill="auto"/>
            <w:hideMark/>
          </w:tcPr>
          <w:p w:rsidR="00F408D7" w:rsidRPr="006D6586" w:rsidRDefault="00F408D7" w:rsidP="00661430">
            <w:pPr>
              <w:spacing w:after="0"/>
              <w:rPr>
                <w:rFonts w:eastAsia="Times New Roman" w:cstheme="minorHAnsi"/>
                <w:color w:val="000000"/>
                <w:lang w:eastAsia="en-IN"/>
              </w:rPr>
            </w:pPr>
            <w:r w:rsidRPr="006D6586">
              <w:rPr>
                <w:rFonts w:eastAsia="Times New Roman" w:cstheme="minorHAnsi"/>
                <w:color w:val="000000"/>
                <w:lang w:eastAsia="en-IN"/>
              </w:rPr>
              <w:t xml:space="preserve">Food </w:t>
            </w:r>
            <w:r>
              <w:rPr>
                <w:rFonts w:eastAsia="Times New Roman" w:cstheme="minorHAnsi"/>
                <w:color w:val="000000"/>
                <w:lang w:eastAsia="en-IN"/>
              </w:rPr>
              <w:t>S</w:t>
            </w:r>
            <w:r w:rsidRPr="006D6586">
              <w:rPr>
                <w:rFonts w:eastAsia="Times New Roman" w:cstheme="minorHAnsi"/>
                <w:color w:val="000000"/>
                <w:lang w:eastAsia="en-IN"/>
              </w:rPr>
              <w:t>ubsidy</w:t>
            </w:r>
          </w:p>
        </w:tc>
        <w:tc>
          <w:tcPr>
            <w:tcW w:w="98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85000</w:t>
            </w:r>
          </w:p>
        </w:tc>
        <w:tc>
          <w:tcPr>
            <w:tcW w:w="999"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92000</w:t>
            </w:r>
          </w:p>
        </w:tc>
        <w:tc>
          <w:tcPr>
            <w:tcW w:w="94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117671</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139419</w:t>
            </w:r>
          </w:p>
        </w:tc>
        <w:tc>
          <w:tcPr>
            <w:tcW w:w="90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134835</w:t>
            </w:r>
          </w:p>
        </w:tc>
        <w:tc>
          <w:tcPr>
            <w:tcW w:w="108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135173</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145339</w:t>
            </w:r>
          </w:p>
        </w:tc>
        <w:tc>
          <w:tcPr>
            <w:tcW w:w="1654" w:type="dxa"/>
            <w:shd w:val="clear" w:color="auto" w:fill="auto"/>
            <w:noWrap/>
            <w:hideMark/>
          </w:tcPr>
          <w:p w:rsidR="00F408D7" w:rsidRPr="006D6586" w:rsidRDefault="00F408D7" w:rsidP="006D6586">
            <w:pPr>
              <w:spacing w:after="0"/>
              <w:jc w:val="center"/>
              <w:rPr>
                <w:rFonts w:eastAsia="Times New Roman" w:cstheme="minorHAnsi"/>
                <w:color w:val="000000"/>
                <w:lang w:eastAsia="en-IN"/>
              </w:rPr>
            </w:pPr>
            <w:r w:rsidRPr="006D6586">
              <w:rPr>
                <w:rFonts w:eastAsia="Times New Roman" w:cstheme="minorHAnsi"/>
                <w:color w:val="000000"/>
                <w:lang w:eastAsia="en-IN"/>
              </w:rPr>
              <w:t>7.5</w:t>
            </w:r>
          </w:p>
        </w:tc>
      </w:tr>
      <w:tr w:rsidR="00F408D7" w:rsidRPr="006D6586" w:rsidTr="00F408D7">
        <w:trPr>
          <w:trHeight w:val="300"/>
          <w:jc w:val="center"/>
        </w:trPr>
        <w:tc>
          <w:tcPr>
            <w:tcW w:w="2464" w:type="dxa"/>
            <w:shd w:val="clear" w:color="auto" w:fill="auto"/>
            <w:hideMark/>
          </w:tcPr>
          <w:p w:rsidR="00F408D7" w:rsidRPr="006D6586" w:rsidRDefault="00F408D7" w:rsidP="006D6586">
            <w:pPr>
              <w:spacing w:after="0"/>
              <w:rPr>
                <w:rFonts w:eastAsia="Times New Roman" w:cstheme="minorHAnsi"/>
                <w:color w:val="000000"/>
                <w:lang w:eastAsia="en-IN"/>
              </w:rPr>
            </w:pPr>
            <w:r w:rsidRPr="006D6586">
              <w:rPr>
                <w:rFonts w:eastAsia="Times New Roman" w:cstheme="minorHAnsi"/>
                <w:color w:val="000000"/>
                <w:lang w:eastAsia="en-IN"/>
              </w:rPr>
              <w:t xml:space="preserve">NRHM + </w:t>
            </w:r>
            <w:proofErr w:type="spellStart"/>
            <w:r w:rsidRPr="006D6586">
              <w:rPr>
                <w:rFonts w:eastAsia="Times New Roman" w:cstheme="minorHAnsi"/>
                <w:color w:val="000000"/>
                <w:lang w:eastAsia="en-IN"/>
              </w:rPr>
              <w:t>NUHM</w:t>
            </w:r>
            <w:r w:rsidRPr="006D6586">
              <w:rPr>
                <w:rFonts w:eastAsia="Times New Roman" w:cstheme="minorHAnsi"/>
                <w:color w:val="000000"/>
                <w:vertAlign w:val="superscript"/>
                <w:lang w:eastAsia="en-IN"/>
              </w:rPr>
              <w:t>iii</w:t>
            </w:r>
            <w:proofErr w:type="spellEnd"/>
          </w:p>
        </w:tc>
        <w:tc>
          <w:tcPr>
            <w:tcW w:w="98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18047</w:t>
            </w:r>
          </w:p>
        </w:tc>
        <w:tc>
          <w:tcPr>
            <w:tcW w:w="999"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18634</w:t>
            </w:r>
          </w:p>
        </w:tc>
        <w:tc>
          <w:tcPr>
            <w:tcW w:w="94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19752</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18972</w:t>
            </w:r>
          </w:p>
        </w:tc>
        <w:tc>
          <w:tcPr>
            <w:tcW w:w="90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19037</w:t>
            </w:r>
          </w:p>
        </w:tc>
        <w:tc>
          <w:tcPr>
            <w:tcW w:w="108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20037</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21941</w:t>
            </w:r>
          </w:p>
        </w:tc>
        <w:tc>
          <w:tcPr>
            <w:tcW w:w="1654" w:type="dxa"/>
            <w:shd w:val="clear" w:color="auto" w:fill="auto"/>
            <w:noWrap/>
            <w:hideMark/>
          </w:tcPr>
          <w:p w:rsidR="00F408D7" w:rsidRPr="006D6586" w:rsidRDefault="00F408D7" w:rsidP="006D6586">
            <w:pPr>
              <w:spacing w:after="0"/>
              <w:jc w:val="center"/>
              <w:rPr>
                <w:rFonts w:eastAsia="Times New Roman" w:cstheme="minorHAnsi"/>
                <w:color w:val="000000"/>
                <w:lang w:eastAsia="en-IN"/>
              </w:rPr>
            </w:pPr>
            <w:r w:rsidRPr="006D6586">
              <w:rPr>
                <w:rFonts w:eastAsia="Times New Roman" w:cstheme="minorHAnsi"/>
                <w:color w:val="000000"/>
                <w:lang w:eastAsia="en-IN"/>
              </w:rPr>
              <w:t>9.5</w:t>
            </w:r>
          </w:p>
        </w:tc>
      </w:tr>
      <w:tr w:rsidR="00F408D7" w:rsidRPr="006D6586" w:rsidTr="00F408D7">
        <w:trPr>
          <w:trHeight w:val="300"/>
          <w:jc w:val="center"/>
        </w:trPr>
        <w:tc>
          <w:tcPr>
            <w:tcW w:w="2464" w:type="dxa"/>
            <w:shd w:val="clear" w:color="auto" w:fill="auto"/>
            <w:hideMark/>
          </w:tcPr>
          <w:p w:rsidR="00F408D7" w:rsidRPr="006D6586" w:rsidRDefault="00F408D7" w:rsidP="006D6586">
            <w:pPr>
              <w:spacing w:after="0"/>
              <w:rPr>
                <w:rFonts w:eastAsia="Times New Roman" w:cstheme="minorHAnsi"/>
                <w:color w:val="000000"/>
                <w:lang w:eastAsia="en-IN"/>
              </w:rPr>
            </w:pPr>
            <w:r w:rsidRPr="006D6586">
              <w:rPr>
                <w:rFonts w:eastAsia="Times New Roman" w:cstheme="minorHAnsi"/>
                <w:color w:val="000000"/>
                <w:lang w:eastAsia="en-IN"/>
              </w:rPr>
              <w:t>MDM</w:t>
            </w:r>
          </w:p>
        </w:tc>
        <w:tc>
          <w:tcPr>
            <w:tcW w:w="98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10761</w:t>
            </w:r>
          </w:p>
        </w:tc>
        <w:tc>
          <w:tcPr>
            <w:tcW w:w="999"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10918</w:t>
            </w:r>
          </w:p>
        </w:tc>
        <w:tc>
          <w:tcPr>
            <w:tcW w:w="94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10524</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9145</w:t>
            </w:r>
          </w:p>
        </w:tc>
        <w:tc>
          <w:tcPr>
            <w:tcW w:w="90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9700</w:t>
            </w:r>
          </w:p>
        </w:tc>
        <w:tc>
          <w:tcPr>
            <w:tcW w:w="108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9700</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10000</w:t>
            </w:r>
          </w:p>
        </w:tc>
        <w:tc>
          <w:tcPr>
            <w:tcW w:w="1654" w:type="dxa"/>
            <w:shd w:val="clear" w:color="auto" w:fill="auto"/>
            <w:noWrap/>
            <w:hideMark/>
          </w:tcPr>
          <w:p w:rsidR="00F408D7" w:rsidRPr="006D6586" w:rsidRDefault="00F408D7" w:rsidP="006D6586">
            <w:pPr>
              <w:spacing w:after="0"/>
              <w:jc w:val="center"/>
              <w:rPr>
                <w:rFonts w:eastAsia="Times New Roman" w:cstheme="minorHAnsi"/>
                <w:color w:val="000000"/>
                <w:lang w:eastAsia="en-IN"/>
              </w:rPr>
            </w:pPr>
            <w:r w:rsidRPr="006D6586">
              <w:rPr>
                <w:rFonts w:eastAsia="Times New Roman" w:cstheme="minorHAnsi"/>
                <w:color w:val="000000"/>
                <w:lang w:eastAsia="en-IN"/>
              </w:rPr>
              <w:t>3.1</w:t>
            </w:r>
          </w:p>
        </w:tc>
      </w:tr>
      <w:tr w:rsidR="00F408D7" w:rsidRPr="006D6586" w:rsidTr="00F408D7">
        <w:trPr>
          <w:trHeight w:val="300"/>
          <w:jc w:val="center"/>
        </w:trPr>
        <w:tc>
          <w:tcPr>
            <w:tcW w:w="2464" w:type="dxa"/>
            <w:shd w:val="clear" w:color="auto" w:fill="auto"/>
            <w:hideMark/>
          </w:tcPr>
          <w:p w:rsidR="00F408D7" w:rsidRPr="006D6586" w:rsidRDefault="00F408D7" w:rsidP="006D6586">
            <w:pPr>
              <w:spacing w:after="0"/>
              <w:rPr>
                <w:rFonts w:eastAsia="Times New Roman" w:cstheme="minorHAnsi"/>
                <w:color w:val="000000"/>
                <w:lang w:eastAsia="en-IN"/>
              </w:rPr>
            </w:pPr>
            <w:r w:rsidRPr="006D6586">
              <w:rPr>
                <w:rFonts w:eastAsia="Times New Roman" w:cstheme="minorHAnsi"/>
                <w:color w:val="000000"/>
                <w:lang w:eastAsia="en-IN"/>
              </w:rPr>
              <w:t>RMSA</w:t>
            </w:r>
          </w:p>
        </w:tc>
        <w:tc>
          <w:tcPr>
            <w:tcW w:w="98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3172</w:t>
            </w:r>
          </w:p>
        </w:tc>
        <w:tc>
          <w:tcPr>
            <w:tcW w:w="999"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2679</w:t>
            </w:r>
          </w:p>
        </w:tc>
        <w:tc>
          <w:tcPr>
            <w:tcW w:w="94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3398</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3563</w:t>
            </w:r>
          </w:p>
        </w:tc>
        <w:tc>
          <w:tcPr>
            <w:tcW w:w="90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3700</w:t>
            </w:r>
          </w:p>
        </w:tc>
        <w:tc>
          <w:tcPr>
            <w:tcW w:w="108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3700</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3830</w:t>
            </w:r>
          </w:p>
        </w:tc>
        <w:tc>
          <w:tcPr>
            <w:tcW w:w="1654" w:type="dxa"/>
            <w:shd w:val="clear" w:color="auto" w:fill="auto"/>
            <w:noWrap/>
            <w:hideMark/>
          </w:tcPr>
          <w:p w:rsidR="00F408D7" w:rsidRPr="006D6586" w:rsidRDefault="00F408D7" w:rsidP="006D6586">
            <w:pPr>
              <w:spacing w:after="0"/>
              <w:jc w:val="center"/>
              <w:rPr>
                <w:rFonts w:eastAsia="Times New Roman" w:cstheme="minorHAnsi"/>
                <w:color w:val="000000"/>
                <w:lang w:eastAsia="en-IN"/>
              </w:rPr>
            </w:pPr>
            <w:r w:rsidRPr="006D6586">
              <w:rPr>
                <w:rFonts w:eastAsia="Times New Roman" w:cstheme="minorHAnsi"/>
                <w:color w:val="000000"/>
                <w:lang w:eastAsia="en-IN"/>
              </w:rPr>
              <w:t>3.5</w:t>
            </w:r>
          </w:p>
        </w:tc>
      </w:tr>
      <w:tr w:rsidR="00F408D7" w:rsidRPr="006D6586" w:rsidTr="00F408D7">
        <w:trPr>
          <w:trHeight w:val="300"/>
          <w:jc w:val="center"/>
        </w:trPr>
        <w:tc>
          <w:tcPr>
            <w:tcW w:w="2464" w:type="dxa"/>
            <w:shd w:val="clear" w:color="auto" w:fill="auto"/>
            <w:hideMark/>
          </w:tcPr>
          <w:p w:rsidR="00F408D7" w:rsidRPr="006D6586" w:rsidRDefault="00F408D7" w:rsidP="006D6586">
            <w:pPr>
              <w:spacing w:after="0"/>
              <w:rPr>
                <w:rFonts w:eastAsia="Times New Roman" w:cstheme="minorHAnsi"/>
                <w:color w:val="000000"/>
                <w:lang w:eastAsia="en-IN"/>
              </w:rPr>
            </w:pPr>
            <w:r w:rsidRPr="006D6586">
              <w:rPr>
                <w:rFonts w:eastAsia="Times New Roman" w:cstheme="minorHAnsi"/>
                <w:color w:val="000000"/>
                <w:lang w:eastAsia="en-IN"/>
              </w:rPr>
              <w:t>NRDWP</w:t>
            </w:r>
          </w:p>
        </w:tc>
        <w:tc>
          <w:tcPr>
            <w:tcW w:w="98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10490</w:t>
            </w:r>
          </w:p>
        </w:tc>
        <w:tc>
          <w:tcPr>
            <w:tcW w:w="999"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9691</w:t>
            </w:r>
          </w:p>
        </w:tc>
        <w:tc>
          <w:tcPr>
            <w:tcW w:w="94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9243</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4370</w:t>
            </w:r>
          </w:p>
        </w:tc>
        <w:tc>
          <w:tcPr>
            <w:tcW w:w="90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5000</w:t>
            </w:r>
          </w:p>
        </w:tc>
        <w:tc>
          <w:tcPr>
            <w:tcW w:w="108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6000</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6050</w:t>
            </w:r>
          </w:p>
        </w:tc>
        <w:tc>
          <w:tcPr>
            <w:tcW w:w="1654" w:type="dxa"/>
            <w:shd w:val="clear" w:color="auto" w:fill="auto"/>
            <w:noWrap/>
            <w:hideMark/>
          </w:tcPr>
          <w:p w:rsidR="00F408D7" w:rsidRPr="006D6586" w:rsidRDefault="00F408D7" w:rsidP="006D6586">
            <w:pPr>
              <w:spacing w:after="0"/>
              <w:jc w:val="center"/>
              <w:rPr>
                <w:rFonts w:eastAsia="Times New Roman" w:cstheme="minorHAnsi"/>
                <w:color w:val="000000"/>
                <w:lang w:eastAsia="en-IN"/>
              </w:rPr>
            </w:pPr>
            <w:r w:rsidRPr="006D6586">
              <w:rPr>
                <w:rFonts w:eastAsia="Times New Roman" w:cstheme="minorHAnsi"/>
                <w:color w:val="000000"/>
                <w:lang w:eastAsia="en-IN"/>
              </w:rPr>
              <w:t>0.8</w:t>
            </w:r>
          </w:p>
        </w:tc>
      </w:tr>
      <w:tr w:rsidR="00F408D7" w:rsidRPr="006D6586" w:rsidTr="00F408D7">
        <w:trPr>
          <w:trHeight w:val="300"/>
          <w:jc w:val="center"/>
        </w:trPr>
        <w:tc>
          <w:tcPr>
            <w:tcW w:w="2464" w:type="dxa"/>
            <w:shd w:val="clear" w:color="auto" w:fill="auto"/>
            <w:hideMark/>
          </w:tcPr>
          <w:p w:rsidR="00F408D7" w:rsidRPr="006D6586" w:rsidRDefault="00F408D7" w:rsidP="006D6586">
            <w:pPr>
              <w:spacing w:after="0"/>
              <w:rPr>
                <w:rFonts w:eastAsia="Times New Roman" w:cstheme="minorHAnsi"/>
                <w:color w:val="000000"/>
                <w:lang w:eastAsia="en-IN"/>
              </w:rPr>
            </w:pPr>
            <w:r w:rsidRPr="006D6586">
              <w:rPr>
                <w:rFonts w:eastAsia="Times New Roman" w:cstheme="minorHAnsi"/>
                <w:color w:val="000000"/>
                <w:lang w:eastAsia="en-IN"/>
              </w:rPr>
              <w:t>SBM (Rural + Urban)</w:t>
            </w:r>
          </w:p>
        </w:tc>
        <w:tc>
          <w:tcPr>
            <w:tcW w:w="98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2474</w:t>
            </w:r>
          </w:p>
        </w:tc>
        <w:tc>
          <w:tcPr>
            <w:tcW w:w="999"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2244</w:t>
            </w:r>
          </w:p>
        </w:tc>
        <w:tc>
          <w:tcPr>
            <w:tcW w:w="94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3701</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7469</w:t>
            </w:r>
          </w:p>
        </w:tc>
        <w:tc>
          <w:tcPr>
            <w:tcW w:w="90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11300</w:t>
            </w:r>
          </w:p>
        </w:tc>
        <w:tc>
          <w:tcPr>
            <w:tcW w:w="108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12800</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16248</w:t>
            </w:r>
          </w:p>
        </w:tc>
        <w:tc>
          <w:tcPr>
            <w:tcW w:w="1654" w:type="dxa"/>
            <w:shd w:val="clear" w:color="auto" w:fill="auto"/>
            <w:noWrap/>
            <w:hideMark/>
          </w:tcPr>
          <w:p w:rsidR="00F408D7" w:rsidRPr="006D6586" w:rsidRDefault="00F408D7" w:rsidP="006D6586">
            <w:pPr>
              <w:spacing w:after="0"/>
              <w:jc w:val="center"/>
              <w:rPr>
                <w:rFonts w:eastAsia="Times New Roman" w:cstheme="minorHAnsi"/>
                <w:color w:val="000000"/>
                <w:lang w:eastAsia="en-IN"/>
              </w:rPr>
            </w:pPr>
            <w:r w:rsidRPr="006D6586">
              <w:rPr>
                <w:rFonts w:eastAsia="Times New Roman" w:cstheme="minorHAnsi"/>
                <w:color w:val="000000"/>
                <w:lang w:eastAsia="en-IN"/>
              </w:rPr>
              <w:t>26.9</w:t>
            </w:r>
          </w:p>
        </w:tc>
      </w:tr>
      <w:tr w:rsidR="00F408D7" w:rsidRPr="006D6586" w:rsidTr="00F408D7">
        <w:trPr>
          <w:trHeight w:val="300"/>
          <w:jc w:val="center"/>
        </w:trPr>
        <w:tc>
          <w:tcPr>
            <w:tcW w:w="2464" w:type="dxa"/>
            <w:shd w:val="clear" w:color="auto" w:fill="auto"/>
            <w:hideMark/>
          </w:tcPr>
          <w:p w:rsidR="00F408D7" w:rsidRPr="006D6586" w:rsidRDefault="00F408D7" w:rsidP="006D6586">
            <w:pPr>
              <w:spacing w:after="0"/>
              <w:rPr>
                <w:rFonts w:eastAsia="Times New Roman" w:cstheme="minorHAnsi"/>
                <w:color w:val="000000"/>
                <w:lang w:eastAsia="en-IN"/>
              </w:rPr>
            </w:pPr>
            <w:r w:rsidRPr="006D6586">
              <w:rPr>
                <w:rFonts w:eastAsia="Times New Roman" w:cstheme="minorHAnsi"/>
                <w:color w:val="000000"/>
                <w:lang w:eastAsia="en-IN"/>
              </w:rPr>
              <w:t>MGNREGA</w:t>
            </w:r>
          </w:p>
        </w:tc>
        <w:tc>
          <w:tcPr>
            <w:tcW w:w="98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30273</w:t>
            </w:r>
          </w:p>
        </w:tc>
        <w:tc>
          <w:tcPr>
            <w:tcW w:w="999"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32994</w:t>
            </w:r>
          </w:p>
        </w:tc>
        <w:tc>
          <w:tcPr>
            <w:tcW w:w="94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32977</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37341</w:t>
            </w:r>
          </w:p>
        </w:tc>
        <w:tc>
          <w:tcPr>
            <w:tcW w:w="90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38500</w:t>
            </w:r>
          </w:p>
        </w:tc>
        <w:tc>
          <w:tcPr>
            <w:tcW w:w="108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47499</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48000</w:t>
            </w:r>
          </w:p>
        </w:tc>
        <w:tc>
          <w:tcPr>
            <w:tcW w:w="1654" w:type="dxa"/>
            <w:shd w:val="clear" w:color="auto" w:fill="auto"/>
            <w:noWrap/>
            <w:hideMark/>
          </w:tcPr>
          <w:p w:rsidR="00F408D7" w:rsidRPr="006D6586" w:rsidRDefault="00F408D7" w:rsidP="006D6586">
            <w:pPr>
              <w:spacing w:after="0"/>
              <w:jc w:val="center"/>
              <w:rPr>
                <w:rFonts w:eastAsia="Times New Roman" w:cstheme="minorHAnsi"/>
                <w:color w:val="000000"/>
                <w:lang w:eastAsia="en-IN"/>
              </w:rPr>
            </w:pPr>
            <w:r w:rsidRPr="006D6586">
              <w:rPr>
                <w:rFonts w:eastAsia="Times New Roman" w:cstheme="minorHAnsi"/>
                <w:color w:val="000000"/>
                <w:lang w:eastAsia="en-IN"/>
              </w:rPr>
              <w:t>1.1</w:t>
            </w:r>
          </w:p>
        </w:tc>
      </w:tr>
      <w:tr w:rsidR="00F408D7" w:rsidRPr="006D6586" w:rsidTr="00F408D7">
        <w:trPr>
          <w:trHeight w:val="300"/>
          <w:jc w:val="center"/>
        </w:trPr>
        <w:tc>
          <w:tcPr>
            <w:tcW w:w="2464" w:type="dxa"/>
            <w:shd w:val="clear" w:color="auto" w:fill="auto"/>
            <w:hideMark/>
          </w:tcPr>
          <w:p w:rsidR="00F408D7" w:rsidRPr="006D6586" w:rsidRDefault="00F408D7" w:rsidP="006D6586">
            <w:pPr>
              <w:spacing w:after="0"/>
              <w:rPr>
                <w:rFonts w:eastAsia="Times New Roman" w:cstheme="minorHAnsi"/>
                <w:color w:val="000000"/>
                <w:lang w:eastAsia="en-IN"/>
              </w:rPr>
            </w:pPr>
            <w:r w:rsidRPr="006D6586">
              <w:rPr>
                <w:rFonts w:eastAsia="Times New Roman" w:cstheme="minorHAnsi"/>
                <w:color w:val="000000"/>
                <w:lang w:eastAsia="en-IN"/>
              </w:rPr>
              <w:t>NLM (NRLM + NULM)</w:t>
            </w:r>
          </w:p>
        </w:tc>
        <w:tc>
          <w:tcPr>
            <w:tcW w:w="98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2195</w:t>
            </w:r>
          </w:p>
        </w:tc>
        <w:tc>
          <w:tcPr>
            <w:tcW w:w="999"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2022</w:t>
            </w:r>
          </w:p>
        </w:tc>
        <w:tc>
          <w:tcPr>
            <w:tcW w:w="94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2116</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2783</w:t>
            </w:r>
          </w:p>
        </w:tc>
        <w:tc>
          <w:tcPr>
            <w:tcW w:w="90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3325</w:t>
            </w:r>
          </w:p>
        </w:tc>
        <w:tc>
          <w:tcPr>
            <w:tcW w:w="108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3334</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4849</w:t>
            </w:r>
          </w:p>
        </w:tc>
        <w:tc>
          <w:tcPr>
            <w:tcW w:w="1654" w:type="dxa"/>
            <w:shd w:val="clear" w:color="auto" w:fill="auto"/>
            <w:noWrap/>
            <w:hideMark/>
          </w:tcPr>
          <w:p w:rsidR="00F408D7" w:rsidRPr="006D6586" w:rsidRDefault="00F408D7" w:rsidP="006D6586">
            <w:pPr>
              <w:spacing w:after="0"/>
              <w:jc w:val="center"/>
              <w:rPr>
                <w:rFonts w:eastAsia="Times New Roman" w:cstheme="minorHAnsi"/>
                <w:color w:val="000000"/>
                <w:lang w:eastAsia="en-IN"/>
              </w:rPr>
            </w:pPr>
            <w:r w:rsidRPr="006D6586">
              <w:rPr>
                <w:rFonts w:eastAsia="Times New Roman" w:cstheme="minorHAnsi"/>
                <w:color w:val="000000"/>
                <w:lang w:eastAsia="en-IN"/>
              </w:rPr>
              <w:t>45.4</w:t>
            </w:r>
          </w:p>
        </w:tc>
      </w:tr>
      <w:tr w:rsidR="00F408D7" w:rsidRPr="006D6586" w:rsidTr="00F408D7">
        <w:trPr>
          <w:trHeight w:val="300"/>
          <w:jc w:val="center"/>
        </w:trPr>
        <w:tc>
          <w:tcPr>
            <w:tcW w:w="2464" w:type="dxa"/>
            <w:shd w:val="clear" w:color="auto" w:fill="auto"/>
            <w:hideMark/>
          </w:tcPr>
          <w:p w:rsidR="00F408D7" w:rsidRPr="006D6586" w:rsidRDefault="00F408D7" w:rsidP="006D6586">
            <w:pPr>
              <w:spacing w:after="0"/>
              <w:rPr>
                <w:rFonts w:eastAsia="Times New Roman" w:cstheme="minorHAnsi"/>
                <w:color w:val="000000"/>
                <w:lang w:eastAsia="en-IN"/>
              </w:rPr>
            </w:pPr>
            <w:r w:rsidRPr="006D6586">
              <w:rPr>
                <w:rFonts w:eastAsia="Times New Roman" w:cstheme="minorHAnsi"/>
                <w:color w:val="000000"/>
                <w:lang w:eastAsia="en-IN"/>
              </w:rPr>
              <w:t>NSAP</w:t>
            </w:r>
          </w:p>
        </w:tc>
        <w:tc>
          <w:tcPr>
            <w:tcW w:w="98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7825</w:t>
            </w:r>
          </w:p>
        </w:tc>
        <w:tc>
          <w:tcPr>
            <w:tcW w:w="999"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9406</w:t>
            </w:r>
          </w:p>
        </w:tc>
        <w:tc>
          <w:tcPr>
            <w:tcW w:w="94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7084</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8616</w:t>
            </w:r>
          </w:p>
        </w:tc>
        <w:tc>
          <w:tcPr>
            <w:tcW w:w="90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9500</w:t>
            </w:r>
          </w:p>
        </w:tc>
        <w:tc>
          <w:tcPr>
            <w:tcW w:w="108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9500</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9500</w:t>
            </w:r>
          </w:p>
        </w:tc>
        <w:tc>
          <w:tcPr>
            <w:tcW w:w="1654" w:type="dxa"/>
            <w:shd w:val="clear" w:color="auto" w:fill="auto"/>
            <w:noWrap/>
            <w:hideMark/>
          </w:tcPr>
          <w:p w:rsidR="00F408D7" w:rsidRPr="006D6586" w:rsidRDefault="00F408D7" w:rsidP="006D6586">
            <w:pPr>
              <w:spacing w:after="0"/>
              <w:jc w:val="center"/>
              <w:rPr>
                <w:rFonts w:eastAsia="Times New Roman" w:cstheme="minorHAnsi"/>
                <w:color w:val="000000"/>
                <w:lang w:eastAsia="en-IN"/>
              </w:rPr>
            </w:pPr>
            <w:r w:rsidRPr="006D6586">
              <w:rPr>
                <w:rFonts w:eastAsia="Times New Roman" w:cstheme="minorHAnsi"/>
                <w:color w:val="000000"/>
                <w:lang w:eastAsia="en-IN"/>
              </w:rPr>
              <w:t>0.0</w:t>
            </w:r>
          </w:p>
        </w:tc>
      </w:tr>
      <w:tr w:rsidR="00F408D7" w:rsidRPr="006D6586" w:rsidTr="00F408D7">
        <w:trPr>
          <w:trHeight w:val="300"/>
          <w:jc w:val="center"/>
        </w:trPr>
        <w:tc>
          <w:tcPr>
            <w:tcW w:w="2464" w:type="dxa"/>
            <w:shd w:val="clear" w:color="auto" w:fill="auto"/>
            <w:hideMark/>
          </w:tcPr>
          <w:p w:rsidR="00F408D7" w:rsidRPr="006D6586" w:rsidRDefault="00F408D7" w:rsidP="006D6586">
            <w:pPr>
              <w:spacing w:after="0"/>
              <w:rPr>
                <w:rFonts w:eastAsia="Times New Roman" w:cstheme="minorHAnsi"/>
                <w:color w:val="000000"/>
                <w:lang w:eastAsia="en-IN"/>
              </w:rPr>
            </w:pPr>
            <w:r w:rsidRPr="006D6586">
              <w:rPr>
                <w:rFonts w:eastAsia="Times New Roman" w:cstheme="minorHAnsi"/>
                <w:color w:val="000000"/>
                <w:lang w:eastAsia="en-IN"/>
              </w:rPr>
              <w:t>NFSM</w:t>
            </w:r>
          </w:p>
        </w:tc>
        <w:tc>
          <w:tcPr>
            <w:tcW w:w="98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1723</w:t>
            </w:r>
          </w:p>
        </w:tc>
        <w:tc>
          <w:tcPr>
            <w:tcW w:w="999"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2027</w:t>
            </w:r>
          </w:p>
        </w:tc>
        <w:tc>
          <w:tcPr>
            <w:tcW w:w="94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1873</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1162</w:t>
            </w:r>
          </w:p>
        </w:tc>
        <w:tc>
          <w:tcPr>
            <w:tcW w:w="90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1700</w:t>
            </w:r>
          </w:p>
        </w:tc>
        <w:tc>
          <w:tcPr>
            <w:tcW w:w="108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1280</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1720</w:t>
            </w:r>
          </w:p>
        </w:tc>
        <w:tc>
          <w:tcPr>
            <w:tcW w:w="1654" w:type="dxa"/>
            <w:shd w:val="clear" w:color="auto" w:fill="auto"/>
            <w:noWrap/>
            <w:hideMark/>
          </w:tcPr>
          <w:p w:rsidR="00F408D7" w:rsidRPr="006D6586" w:rsidRDefault="00F408D7" w:rsidP="006D6586">
            <w:pPr>
              <w:spacing w:after="0"/>
              <w:jc w:val="center"/>
              <w:rPr>
                <w:rFonts w:eastAsia="Times New Roman" w:cstheme="minorHAnsi"/>
                <w:color w:val="000000"/>
                <w:lang w:eastAsia="en-IN"/>
              </w:rPr>
            </w:pPr>
            <w:r w:rsidRPr="006D6586">
              <w:rPr>
                <w:rFonts w:eastAsia="Times New Roman" w:cstheme="minorHAnsi"/>
                <w:color w:val="000000"/>
                <w:lang w:eastAsia="en-IN"/>
              </w:rPr>
              <w:t>34.4</w:t>
            </w:r>
          </w:p>
        </w:tc>
      </w:tr>
      <w:tr w:rsidR="00F408D7" w:rsidRPr="006D6586" w:rsidTr="00F408D7">
        <w:trPr>
          <w:trHeight w:val="300"/>
          <w:jc w:val="center"/>
        </w:trPr>
        <w:tc>
          <w:tcPr>
            <w:tcW w:w="2464" w:type="dxa"/>
            <w:shd w:val="clear" w:color="auto" w:fill="auto"/>
            <w:hideMark/>
          </w:tcPr>
          <w:p w:rsidR="00F408D7" w:rsidRPr="006D6586" w:rsidRDefault="00F408D7" w:rsidP="006D6586">
            <w:pPr>
              <w:spacing w:after="0"/>
              <w:rPr>
                <w:rFonts w:eastAsia="Times New Roman" w:cstheme="minorHAnsi"/>
                <w:color w:val="000000"/>
                <w:lang w:eastAsia="en-IN"/>
              </w:rPr>
            </w:pPr>
            <w:r w:rsidRPr="006D6586">
              <w:rPr>
                <w:rFonts w:eastAsia="Times New Roman" w:cstheme="minorHAnsi"/>
                <w:color w:val="000000"/>
                <w:lang w:eastAsia="en-IN"/>
              </w:rPr>
              <w:t>NMSA</w:t>
            </w:r>
            <w:r>
              <w:rPr>
                <w:rFonts w:eastAsia="Times New Roman" w:cstheme="minorHAnsi"/>
                <w:color w:val="000000"/>
                <w:lang w:eastAsia="en-IN"/>
              </w:rPr>
              <w:t xml:space="preserve"> </w:t>
            </w:r>
            <w:r w:rsidRPr="006D6586">
              <w:rPr>
                <w:rFonts w:eastAsia="Times New Roman" w:cstheme="minorHAnsi"/>
                <w:color w:val="000000"/>
                <w:vertAlign w:val="superscript"/>
                <w:lang w:eastAsia="en-IN"/>
              </w:rPr>
              <w:t>iv</w:t>
            </w:r>
          </w:p>
        </w:tc>
        <w:tc>
          <w:tcPr>
            <w:tcW w:w="98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0</w:t>
            </w:r>
          </w:p>
        </w:tc>
        <w:tc>
          <w:tcPr>
            <w:tcW w:w="999"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0</w:t>
            </w:r>
          </w:p>
        </w:tc>
        <w:tc>
          <w:tcPr>
            <w:tcW w:w="94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1268</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686</w:t>
            </w:r>
          </w:p>
        </w:tc>
        <w:tc>
          <w:tcPr>
            <w:tcW w:w="90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1063</w:t>
            </w:r>
          </w:p>
        </w:tc>
        <w:tc>
          <w:tcPr>
            <w:tcW w:w="108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880</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1226</w:t>
            </w:r>
          </w:p>
        </w:tc>
        <w:tc>
          <w:tcPr>
            <w:tcW w:w="1654" w:type="dxa"/>
            <w:shd w:val="clear" w:color="auto" w:fill="auto"/>
            <w:noWrap/>
            <w:hideMark/>
          </w:tcPr>
          <w:p w:rsidR="00F408D7" w:rsidRPr="006D6586" w:rsidRDefault="00F408D7" w:rsidP="006D6586">
            <w:pPr>
              <w:spacing w:after="0"/>
              <w:jc w:val="center"/>
              <w:rPr>
                <w:rFonts w:eastAsia="Times New Roman" w:cstheme="minorHAnsi"/>
                <w:color w:val="000000"/>
                <w:lang w:eastAsia="en-IN"/>
              </w:rPr>
            </w:pPr>
            <w:r w:rsidRPr="006D6586">
              <w:rPr>
                <w:rFonts w:eastAsia="Times New Roman" w:cstheme="minorHAnsi"/>
                <w:color w:val="000000"/>
                <w:lang w:eastAsia="en-IN"/>
              </w:rPr>
              <w:t>39.3</w:t>
            </w:r>
          </w:p>
        </w:tc>
      </w:tr>
      <w:tr w:rsidR="00F408D7" w:rsidRPr="006D6586" w:rsidTr="00F408D7">
        <w:trPr>
          <w:trHeight w:val="300"/>
          <w:jc w:val="center"/>
        </w:trPr>
        <w:tc>
          <w:tcPr>
            <w:tcW w:w="2464" w:type="dxa"/>
            <w:shd w:val="clear" w:color="auto" w:fill="auto"/>
            <w:hideMark/>
          </w:tcPr>
          <w:p w:rsidR="00F408D7" w:rsidRPr="006D6586" w:rsidRDefault="00F408D7" w:rsidP="006D6586">
            <w:pPr>
              <w:spacing w:after="0"/>
              <w:rPr>
                <w:rFonts w:eastAsia="Times New Roman" w:cstheme="minorHAnsi"/>
                <w:color w:val="000000"/>
                <w:lang w:eastAsia="en-IN"/>
              </w:rPr>
            </w:pPr>
            <w:r w:rsidRPr="006D6586">
              <w:rPr>
                <w:rFonts w:eastAsia="Times New Roman" w:cstheme="minorHAnsi"/>
                <w:color w:val="000000"/>
                <w:lang w:eastAsia="en-IN"/>
              </w:rPr>
              <w:t>NMOOP</w:t>
            </w:r>
            <w:r>
              <w:rPr>
                <w:rFonts w:eastAsia="Times New Roman" w:cstheme="minorHAnsi"/>
                <w:color w:val="000000"/>
                <w:lang w:eastAsia="en-IN"/>
              </w:rPr>
              <w:t xml:space="preserve"> </w:t>
            </w:r>
            <w:r w:rsidRPr="006D6586">
              <w:rPr>
                <w:rFonts w:eastAsia="Times New Roman" w:cstheme="minorHAnsi"/>
                <w:color w:val="000000"/>
                <w:vertAlign w:val="superscript"/>
                <w:lang w:eastAsia="en-IN"/>
              </w:rPr>
              <w:t>v</w:t>
            </w:r>
          </w:p>
        </w:tc>
        <w:tc>
          <w:tcPr>
            <w:tcW w:w="98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399</w:t>
            </w:r>
          </w:p>
        </w:tc>
        <w:tc>
          <w:tcPr>
            <w:tcW w:w="999"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556</w:t>
            </w:r>
          </w:p>
        </w:tc>
        <w:tc>
          <w:tcPr>
            <w:tcW w:w="94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316</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306</w:t>
            </w:r>
          </w:p>
        </w:tc>
        <w:tc>
          <w:tcPr>
            <w:tcW w:w="90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503</w:t>
            </w:r>
          </w:p>
        </w:tc>
        <w:tc>
          <w:tcPr>
            <w:tcW w:w="108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376</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403</w:t>
            </w:r>
          </w:p>
        </w:tc>
        <w:tc>
          <w:tcPr>
            <w:tcW w:w="1654" w:type="dxa"/>
            <w:shd w:val="clear" w:color="auto" w:fill="auto"/>
            <w:noWrap/>
            <w:hideMark/>
          </w:tcPr>
          <w:p w:rsidR="00F408D7" w:rsidRPr="006D6586" w:rsidRDefault="00F408D7" w:rsidP="006D6586">
            <w:pPr>
              <w:spacing w:after="0"/>
              <w:jc w:val="center"/>
              <w:rPr>
                <w:rFonts w:eastAsia="Times New Roman" w:cstheme="minorHAnsi"/>
                <w:color w:val="000000"/>
                <w:lang w:eastAsia="en-IN"/>
              </w:rPr>
            </w:pPr>
            <w:r w:rsidRPr="006D6586">
              <w:rPr>
                <w:rFonts w:eastAsia="Times New Roman" w:cstheme="minorHAnsi"/>
                <w:color w:val="000000"/>
                <w:lang w:eastAsia="en-IN"/>
              </w:rPr>
              <w:t>7.2</w:t>
            </w:r>
          </w:p>
        </w:tc>
      </w:tr>
      <w:tr w:rsidR="00F408D7" w:rsidRPr="006D6586" w:rsidTr="00F408D7">
        <w:trPr>
          <w:trHeight w:val="300"/>
          <w:jc w:val="center"/>
        </w:trPr>
        <w:tc>
          <w:tcPr>
            <w:tcW w:w="2464" w:type="dxa"/>
            <w:shd w:val="clear" w:color="auto" w:fill="auto"/>
            <w:hideMark/>
          </w:tcPr>
          <w:p w:rsidR="00F408D7" w:rsidRPr="006D6586" w:rsidRDefault="00F408D7" w:rsidP="006D6586">
            <w:pPr>
              <w:spacing w:after="0"/>
              <w:rPr>
                <w:rFonts w:eastAsia="Times New Roman" w:cstheme="minorHAnsi"/>
                <w:color w:val="000000"/>
                <w:lang w:eastAsia="en-IN"/>
              </w:rPr>
            </w:pPr>
            <w:r w:rsidRPr="006D6586">
              <w:rPr>
                <w:rFonts w:eastAsia="Times New Roman" w:cstheme="minorHAnsi"/>
                <w:color w:val="000000"/>
                <w:lang w:eastAsia="en-IN"/>
              </w:rPr>
              <w:t>RKVY</w:t>
            </w:r>
          </w:p>
        </w:tc>
        <w:tc>
          <w:tcPr>
            <w:tcW w:w="98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8400</w:t>
            </w:r>
          </w:p>
        </w:tc>
        <w:tc>
          <w:tcPr>
            <w:tcW w:w="999"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7053</w:t>
            </w:r>
          </w:p>
        </w:tc>
        <w:tc>
          <w:tcPr>
            <w:tcW w:w="94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8443</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3940</w:t>
            </w:r>
          </w:p>
        </w:tc>
        <w:tc>
          <w:tcPr>
            <w:tcW w:w="90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5400</w:t>
            </w:r>
          </w:p>
        </w:tc>
        <w:tc>
          <w:tcPr>
            <w:tcW w:w="108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3550</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4750</w:t>
            </w:r>
          </w:p>
        </w:tc>
        <w:tc>
          <w:tcPr>
            <w:tcW w:w="1654" w:type="dxa"/>
            <w:shd w:val="clear" w:color="auto" w:fill="auto"/>
            <w:noWrap/>
            <w:hideMark/>
          </w:tcPr>
          <w:p w:rsidR="00F408D7" w:rsidRPr="006D6586" w:rsidRDefault="00F408D7" w:rsidP="006D6586">
            <w:pPr>
              <w:spacing w:after="0"/>
              <w:jc w:val="center"/>
              <w:rPr>
                <w:rFonts w:eastAsia="Times New Roman" w:cstheme="minorHAnsi"/>
                <w:color w:val="000000"/>
                <w:lang w:eastAsia="en-IN"/>
              </w:rPr>
            </w:pPr>
            <w:r w:rsidRPr="006D6586">
              <w:rPr>
                <w:rFonts w:eastAsia="Times New Roman" w:cstheme="minorHAnsi"/>
                <w:color w:val="000000"/>
                <w:lang w:eastAsia="en-IN"/>
              </w:rPr>
              <w:t>33.8</w:t>
            </w:r>
          </w:p>
        </w:tc>
      </w:tr>
      <w:tr w:rsidR="00F408D7" w:rsidRPr="006D6586" w:rsidTr="00F408D7">
        <w:trPr>
          <w:trHeight w:val="300"/>
          <w:jc w:val="center"/>
        </w:trPr>
        <w:tc>
          <w:tcPr>
            <w:tcW w:w="2464" w:type="dxa"/>
            <w:shd w:val="clear" w:color="auto" w:fill="auto"/>
            <w:hideMark/>
          </w:tcPr>
          <w:p w:rsidR="00F408D7" w:rsidRPr="006D6586" w:rsidRDefault="00F408D7" w:rsidP="006D6586">
            <w:pPr>
              <w:spacing w:after="0"/>
              <w:rPr>
                <w:rFonts w:eastAsia="Times New Roman" w:cstheme="minorHAnsi"/>
                <w:color w:val="000000"/>
                <w:lang w:eastAsia="en-IN"/>
              </w:rPr>
            </w:pPr>
            <w:r w:rsidRPr="006D6586">
              <w:rPr>
                <w:rFonts w:eastAsia="Times New Roman" w:cstheme="minorHAnsi"/>
                <w:color w:val="000000"/>
                <w:lang w:eastAsia="en-IN"/>
              </w:rPr>
              <w:t>White Revolution</w:t>
            </w:r>
          </w:p>
        </w:tc>
        <w:tc>
          <w:tcPr>
            <w:tcW w:w="98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1435</w:t>
            </w:r>
          </w:p>
        </w:tc>
        <w:tc>
          <w:tcPr>
            <w:tcW w:w="999"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1449</w:t>
            </w:r>
          </w:p>
        </w:tc>
        <w:tc>
          <w:tcPr>
            <w:tcW w:w="94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1000</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937</w:t>
            </w:r>
          </w:p>
        </w:tc>
        <w:tc>
          <w:tcPr>
            <w:tcW w:w="90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1138</w:t>
            </w:r>
          </w:p>
        </w:tc>
        <w:tc>
          <w:tcPr>
            <w:tcW w:w="108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1312</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1634</w:t>
            </w:r>
          </w:p>
        </w:tc>
        <w:tc>
          <w:tcPr>
            <w:tcW w:w="1654" w:type="dxa"/>
            <w:shd w:val="clear" w:color="auto" w:fill="auto"/>
            <w:noWrap/>
            <w:hideMark/>
          </w:tcPr>
          <w:p w:rsidR="00F408D7" w:rsidRPr="006D6586" w:rsidRDefault="00F408D7" w:rsidP="006D6586">
            <w:pPr>
              <w:spacing w:after="0"/>
              <w:jc w:val="center"/>
              <w:rPr>
                <w:rFonts w:eastAsia="Times New Roman" w:cstheme="minorHAnsi"/>
                <w:color w:val="000000"/>
                <w:lang w:eastAsia="en-IN"/>
              </w:rPr>
            </w:pPr>
            <w:r w:rsidRPr="006D6586">
              <w:rPr>
                <w:rFonts w:eastAsia="Times New Roman" w:cstheme="minorHAnsi"/>
                <w:color w:val="000000"/>
                <w:lang w:eastAsia="en-IN"/>
              </w:rPr>
              <w:t>24.6</w:t>
            </w:r>
          </w:p>
        </w:tc>
      </w:tr>
      <w:tr w:rsidR="00F408D7" w:rsidRPr="006D6586" w:rsidTr="00F408D7">
        <w:trPr>
          <w:trHeight w:val="300"/>
          <w:jc w:val="center"/>
        </w:trPr>
        <w:tc>
          <w:tcPr>
            <w:tcW w:w="2464" w:type="dxa"/>
            <w:shd w:val="clear" w:color="auto" w:fill="auto"/>
            <w:hideMark/>
          </w:tcPr>
          <w:p w:rsidR="00F408D7" w:rsidRPr="006D6586" w:rsidRDefault="00F408D7" w:rsidP="006D6586">
            <w:pPr>
              <w:spacing w:after="0"/>
              <w:rPr>
                <w:rFonts w:eastAsia="Times New Roman" w:cstheme="minorHAnsi"/>
                <w:color w:val="000000"/>
                <w:lang w:eastAsia="en-IN"/>
              </w:rPr>
            </w:pPr>
            <w:r w:rsidRPr="006D6586">
              <w:rPr>
                <w:rFonts w:eastAsia="Times New Roman" w:cstheme="minorHAnsi"/>
                <w:color w:val="000000"/>
                <w:lang w:eastAsia="en-IN"/>
              </w:rPr>
              <w:t>Blue Revolution</w:t>
            </w:r>
          </w:p>
        </w:tc>
        <w:tc>
          <w:tcPr>
            <w:tcW w:w="98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330</w:t>
            </w:r>
          </w:p>
        </w:tc>
        <w:tc>
          <w:tcPr>
            <w:tcW w:w="999"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348</w:t>
            </w:r>
          </w:p>
        </w:tc>
        <w:tc>
          <w:tcPr>
            <w:tcW w:w="94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388</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200</w:t>
            </w:r>
          </w:p>
        </w:tc>
        <w:tc>
          <w:tcPr>
            <w:tcW w:w="90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247</w:t>
            </w:r>
          </w:p>
        </w:tc>
        <w:tc>
          <w:tcPr>
            <w:tcW w:w="108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392</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401</w:t>
            </w:r>
          </w:p>
        </w:tc>
        <w:tc>
          <w:tcPr>
            <w:tcW w:w="1654" w:type="dxa"/>
            <w:shd w:val="clear" w:color="auto" w:fill="auto"/>
            <w:noWrap/>
            <w:hideMark/>
          </w:tcPr>
          <w:p w:rsidR="00F408D7" w:rsidRPr="006D6586" w:rsidRDefault="00F408D7" w:rsidP="006D6586">
            <w:pPr>
              <w:spacing w:after="0"/>
              <w:jc w:val="center"/>
              <w:rPr>
                <w:rFonts w:eastAsia="Times New Roman" w:cstheme="minorHAnsi"/>
                <w:color w:val="000000"/>
                <w:lang w:eastAsia="en-IN"/>
              </w:rPr>
            </w:pPr>
            <w:r w:rsidRPr="006D6586">
              <w:rPr>
                <w:rFonts w:eastAsia="Times New Roman" w:cstheme="minorHAnsi"/>
                <w:color w:val="000000"/>
                <w:lang w:eastAsia="en-IN"/>
              </w:rPr>
              <w:t>2.1</w:t>
            </w:r>
          </w:p>
        </w:tc>
      </w:tr>
      <w:tr w:rsidR="00F408D7" w:rsidRPr="006D6586" w:rsidTr="00F408D7">
        <w:trPr>
          <w:trHeight w:val="233"/>
          <w:jc w:val="center"/>
        </w:trPr>
        <w:tc>
          <w:tcPr>
            <w:tcW w:w="2464" w:type="dxa"/>
            <w:shd w:val="clear" w:color="auto" w:fill="auto"/>
            <w:hideMark/>
          </w:tcPr>
          <w:p w:rsidR="00F408D7" w:rsidRPr="006D6586" w:rsidRDefault="00F408D7" w:rsidP="006D6586">
            <w:pPr>
              <w:spacing w:after="0"/>
              <w:rPr>
                <w:rFonts w:eastAsia="Times New Roman" w:cstheme="minorHAnsi"/>
                <w:color w:val="000000"/>
                <w:lang w:eastAsia="en-IN"/>
              </w:rPr>
            </w:pPr>
            <w:r>
              <w:rPr>
                <w:rFonts w:eastAsia="Times New Roman" w:cstheme="minorHAnsi"/>
                <w:color w:val="000000"/>
                <w:lang w:eastAsia="en-IN"/>
              </w:rPr>
              <w:t>NHM</w:t>
            </w:r>
          </w:p>
        </w:tc>
        <w:tc>
          <w:tcPr>
            <w:tcW w:w="98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1089</w:t>
            </w:r>
          </w:p>
        </w:tc>
        <w:tc>
          <w:tcPr>
            <w:tcW w:w="999"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1809</w:t>
            </w:r>
          </w:p>
        </w:tc>
        <w:tc>
          <w:tcPr>
            <w:tcW w:w="94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1955</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1697</w:t>
            </w:r>
          </w:p>
        </w:tc>
        <w:tc>
          <w:tcPr>
            <w:tcW w:w="90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1620</w:t>
            </w:r>
          </w:p>
        </w:tc>
        <w:tc>
          <w:tcPr>
            <w:tcW w:w="108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1660</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2320</w:t>
            </w:r>
          </w:p>
        </w:tc>
        <w:tc>
          <w:tcPr>
            <w:tcW w:w="1654" w:type="dxa"/>
            <w:shd w:val="clear" w:color="auto" w:fill="auto"/>
            <w:noWrap/>
            <w:hideMark/>
          </w:tcPr>
          <w:p w:rsidR="00F408D7" w:rsidRPr="006D6586" w:rsidRDefault="00F408D7" w:rsidP="006D6586">
            <w:pPr>
              <w:spacing w:after="0"/>
              <w:jc w:val="center"/>
              <w:rPr>
                <w:rFonts w:eastAsia="Times New Roman" w:cstheme="minorHAnsi"/>
                <w:color w:val="000000"/>
                <w:lang w:eastAsia="en-IN"/>
              </w:rPr>
            </w:pPr>
            <w:r w:rsidRPr="006D6586">
              <w:rPr>
                <w:rFonts w:eastAsia="Times New Roman" w:cstheme="minorHAnsi"/>
                <w:color w:val="000000"/>
                <w:lang w:eastAsia="en-IN"/>
              </w:rPr>
              <w:t>39.8</w:t>
            </w:r>
          </w:p>
        </w:tc>
      </w:tr>
      <w:tr w:rsidR="00F408D7" w:rsidRPr="006D6586" w:rsidTr="00F408D7">
        <w:trPr>
          <w:trHeight w:val="300"/>
          <w:jc w:val="center"/>
        </w:trPr>
        <w:tc>
          <w:tcPr>
            <w:tcW w:w="2464" w:type="dxa"/>
            <w:shd w:val="clear" w:color="auto" w:fill="auto"/>
            <w:noWrap/>
            <w:hideMark/>
          </w:tcPr>
          <w:p w:rsidR="00F408D7" w:rsidRPr="006D6586" w:rsidRDefault="00F408D7" w:rsidP="006D6586">
            <w:pPr>
              <w:spacing w:after="0"/>
              <w:rPr>
                <w:rFonts w:eastAsia="Times New Roman" w:cstheme="minorHAnsi"/>
                <w:b/>
                <w:bCs/>
                <w:color w:val="000000"/>
                <w:lang w:eastAsia="en-IN"/>
              </w:rPr>
            </w:pPr>
            <w:r w:rsidRPr="006D6586">
              <w:rPr>
                <w:rFonts w:eastAsia="Times New Roman" w:cstheme="minorHAnsi"/>
                <w:b/>
                <w:bCs/>
                <w:color w:val="000000"/>
                <w:lang w:eastAsia="en-IN"/>
              </w:rPr>
              <w:t>Total Nutrition</w:t>
            </w:r>
          </w:p>
        </w:tc>
        <w:tc>
          <w:tcPr>
            <w:tcW w:w="98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200071</w:t>
            </w:r>
          </w:p>
        </w:tc>
        <w:tc>
          <w:tcPr>
            <w:tcW w:w="999"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211164</w:t>
            </w:r>
          </w:p>
        </w:tc>
        <w:tc>
          <w:tcPr>
            <w:tcW w:w="948"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239454</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256936</w:t>
            </w:r>
          </w:p>
        </w:tc>
        <w:tc>
          <w:tcPr>
            <w:tcW w:w="90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262427</w:t>
            </w:r>
          </w:p>
        </w:tc>
        <w:tc>
          <w:tcPr>
            <w:tcW w:w="108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273173</w:t>
            </w:r>
          </w:p>
        </w:tc>
        <w:tc>
          <w:tcPr>
            <w:tcW w:w="990" w:type="dxa"/>
            <w:shd w:val="clear" w:color="auto" w:fill="auto"/>
            <w:noWrap/>
            <w:vAlign w:val="bottom"/>
          </w:tcPr>
          <w:p w:rsidR="00F408D7" w:rsidRDefault="00F408D7">
            <w:pPr>
              <w:jc w:val="right"/>
              <w:rPr>
                <w:rFonts w:ascii="Calibri" w:hAnsi="Calibri" w:cs="Calibri"/>
                <w:color w:val="000000"/>
              </w:rPr>
            </w:pPr>
            <w:r>
              <w:rPr>
                <w:rFonts w:ascii="Calibri" w:hAnsi="Calibri" w:cs="Calibri"/>
                <w:color w:val="000000"/>
              </w:rPr>
              <w:t>298316</w:t>
            </w:r>
          </w:p>
        </w:tc>
        <w:tc>
          <w:tcPr>
            <w:tcW w:w="1654" w:type="dxa"/>
            <w:shd w:val="clear" w:color="auto" w:fill="auto"/>
            <w:noWrap/>
            <w:hideMark/>
          </w:tcPr>
          <w:p w:rsidR="00F408D7" w:rsidRPr="006D6586" w:rsidRDefault="00F408D7" w:rsidP="006D6586">
            <w:pPr>
              <w:spacing w:after="0"/>
              <w:jc w:val="center"/>
              <w:rPr>
                <w:rFonts w:eastAsia="Times New Roman" w:cstheme="minorHAnsi"/>
                <w:color w:val="000000"/>
                <w:lang w:eastAsia="en-IN"/>
              </w:rPr>
            </w:pPr>
            <w:r w:rsidRPr="006D6586">
              <w:rPr>
                <w:rFonts w:eastAsia="Times New Roman" w:cstheme="minorHAnsi"/>
                <w:color w:val="000000"/>
                <w:lang w:eastAsia="en-IN"/>
              </w:rPr>
              <w:t>9.2</w:t>
            </w:r>
          </w:p>
        </w:tc>
      </w:tr>
    </w:tbl>
    <w:bookmarkEnd w:id="1"/>
    <w:p w:rsidR="00363E8D" w:rsidRPr="006D6586" w:rsidRDefault="00363E8D" w:rsidP="00363E8D">
      <w:pPr>
        <w:spacing w:after="0"/>
        <w:rPr>
          <w:rFonts w:eastAsia="Times New Roman" w:cstheme="minorHAnsi"/>
          <w:color w:val="000000"/>
          <w:lang w:eastAsia="en-IN"/>
        </w:rPr>
      </w:pPr>
      <w:r w:rsidRPr="006D6586">
        <w:rPr>
          <w:rFonts w:eastAsia="Times New Roman" w:cstheme="minorHAnsi"/>
          <w:i/>
          <w:color w:val="000000"/>
          <w:lang w:eastAsia="en-IN"/>
        </w:rPr>
        <w:t>Notes</w:t>
      </w:r>
      <w:r w:rsidRPr="006D6586">
        <w:rPr>
          <w:rFonts w:eastAsia="Times New Roman" w:cstheme="minorHAnsi"/>
          <w:color w:val="000000"/>
          <w:lang w:eastAsia="en-IN"/>
        </w:rPr>
        <w:t xml:space="preserve">: </w:t>
      </w:r>
    </w:p>
    <w:p w:rsidR="00363E8D" w:rsidRPr="006D6586" w:rsidRDefault="00363E8D" w:rsidP="00363E8D">
      <w:pPr>
        <w:pStyle w:val="ListParagraph"/>
        <w:numPr>
          <w:ilvl w:val="0"/>
          <w:numId w:val="6"/>
        </w:numPr>
        <w:spacing w:after="0"/>
        <w:ind w:left="665" w:hanging="305"/>
        <w:rPr>
          <w:rFonts w:eastAsia="Times New Roman" w:cstheme="minorHAnsi"/>
          <w:color w:val="000000"/>
          <w:lang w:eastAsia="en-IN"/>
        </w:rPr>
      </w:pPr>
      <w:r w:rsidRPr="006D6586">
        <w:rPr>
          <w:rFonts w:eastAsia="Times New Roman" w:cstheme="minorHAnsi"/>
          <w:color w:val="000000"/>
          <w:lang w:eastAsia="en-IN"/>
        </w:rPr>
        <w:t>Name changed from FY 2017-18 onwards;</w:t>
      </w:r>
    </w:p>
    <w:p w:rsidR="00363E8D" w:rsidRPr="006D6586" w:rsidRDefault="00363E8D" w:rsidP="00363E8D">
      <w:pPr>
        <w:pStyle w:val="ListParagraph"/>
        <w:numPr>
          <w:ilvl w:val="0"/>
          <w:numId w:val="6"/>
        </w:numPr>
        <w:spacing w:after="0"/>
        <w:ind w:left="665" w:hanging="305"/>
        <w:rPr>
          <w:rFonts w:eastAsia="Times New Roman" w:cstheme="minorHAnsi"/>
          <w:color w:val="000000"/>
          <w:lang w:eastAsia="en-IN"/>
        </w:rPr>
      </w:pPr>
      <w:r w:rsidRPr="006D6586">
        <w:rPr>
          <w:rFonts w:eastAsia="Times New Roman" w:cstheme="minorHAnsi"/>
          <w:color w:val="000000"/>
          <w:lang w:eastAsia="en-IN"/>
        </w:rPr>
        <w:lastRenderedPageBreak/>
        <w:t>Includes allocations for National Nutrition Mission (NNM);</w:t>
      </w:r>
    </w:p>
    <w:p w:rsidR="00363E8D" w:rsidRPr="006D6586" w:rsidRDefault="00363E8D" w:rsidP="00363E8D">
      <w:pPr>
        <w:pStyle w:val="ListParagraph"/>
        <w:numPr>
          <w:ilvl w:val="0"/>
          <w:numId w:val="6"/>
        </w:numPr>
        <w:spacing w:after="0"/>
        <w:ind w:left="665" w:hanging="305"/>
        <w:rPr>
          <w:rFonts w:eastAsia="Times New Roman" w:cstheme="minorHAnsi"/>
          <w:color w:val="000000"/>
          <w:lang w:eastAsia="en-IN"/>
        </w:rPr>
      </w:pPr>
      <w:r w:rsidRPr="006D6586">
        <w:rPr>
          <w:rFonts w:eastAsia="Times New Roman" w:cstheme="minorHAnsi"/>
          <w:color w:val="000000"/>
          <w:lang w:eastAsia="en-IN"/>
        </w:rPr>
        <w:t>NHM from FY 2017-18 includes NRHM, NUHM, tertiary care programme, and Human resources for health and medical education. To ensure comparability across years we have considered only NRHM and NUHM for analysis;</w:t>
      </w:r>
    </w:p>
    <w:p w:rsidR="00363E8D" w:rsidRPr="006D6586" w:rsidRDefault="00363E8D" w:rsidP="00363E8D">
      <w:pPr>
        <w:pStyle w:val="ListParagraph"/>
        <w:numPr>
          <w:ilvl w:val="0"/>
          <w:numId w:val="6"/>
        </w:numPr>
        <w:spacing w:after="0"/>
        <w:ind w:left="665" w:hanging="305"/>
        <w:rPr>
          <w:rFonts w:eastAsia="Times New Roman" w:cstheme="minorHAnsi"/>
          <w:color w:val="000000"/>
          <w:lang w:eastAsia="en-IN"/>
        </w:rPr>
      </w:pPr>
      <w:r w:rsidRPr="006D6586">
        <w:rPr>
          <w:rFonts w:eastAsia="Times New Roman" w:cstheme="minorHAnsi"/>
          <w:color w:val="000000"/>
          <w:lang w:eastAsia="en-IN"/>
        </w:rPr>
        <w:t xml:space="preserve">The schemes considered for allocations from FY 2015-16 onwards are as follows: </w:t>
      </w:r>
      <w:proofErr w:type="spellStart"/>
      <w:r w:rsidRPr="006D6586">
        <w:rPr>
          <w:rFonts w:eastAsia="Times New Roman" w:cstheme="minorHAnsi"/>
          <w:color w:val="000000"/>
          <w:lang w:eastAsia="en-IN"/>
        </w:rPr>
        <w:t>Damodar</w:t>
      </w:r>
      <w:proofErr w:type="spellEnd"/>
      <w:r w:rsidRPr="006D6586">
        <w:rPr>
          <w:rFonts w:eastAsia="Times New Roman" w:cstheme="minorHAnsi"/>
          <w:color w:val="000000"/>
          <w:lang w:eastAsia="en-IN"/>
        </w:rPr>
        <w:t xml:space="preserve"> Valley Corporation, National Project on Organic Farming, Organic Value Chain Development for NE Region, National Project on Soil Health and Fertility; </w:t>
      </w:r>
      <w:proofErr w:type="spellStart"/>
      <w:r w:rsidRPr="006D6586">
        <w:rPr>
          <w:rFonts w:eastAsia="Times New Roman" w:cstheme="minorHAnsi"/>
          <w:color w:val="000000"/>
          <w:lang w:eastAsia="en-IN"/>
        </w:rPr>
        <w:t>Rainfed</w:t>
      </w:r>
      <w:proofErr w:type="spellEnd"/>
      <w:r w:rsidRPr="006D6586">
        <w:rPr>
          <w:rFonts w:eastAsia="Times New Roman" w:cstheme="minorHAnsi"/>
          <w:color w:val="000000"/>
          <w:lang w:eastAsia="en-IN"/>
        </w:rPr>
        <w:t xml:space="preserve"> Area Development and Climate Change, </w:t>
      </w:r>
      <w:proofErr w:type="spellStart"/>
      <w:r w:rsidRPr="006D6586">
        <w:rPr>
          <w:rFonts w:eastAsia="Times New Roman" w:cstheme="minorHAnsi"/>
          <w:color w:val="000000"/>
          <w:lang w:eastAsia="en-IN"/>
        </w:rPr>
        <w:t>Paramparagat</w:t>
      </w:r>
      <w:proofErr w:type="spellEnd"/>
      <w:r w:rsidRPr="006D6586">
        <w:rPr>
          <w:rFonts w:eastAsia="Times New Roman" w:cstheme="minorHAnsi"/>
          <w:color w:val="000000"/>
          <w:lang w:eastAsia="en-IN"/>
        </w:rPr>
        <w:t xml:space="preserve"> </w:t>
      </w:r>
      <w:proofErr w:type="spellStart"/>
      <w:r w:rsidRPr="006D6586">
        <w:rPr>
          <w:rFonts w:eastAsia="Times New Roman" w:cstheme="minorHAnsi"/>
          <w:color w:val="000000"/>
          <w:lang w:eastAsia="en-IN"/>
        </w:rPr>
        <w:t>Krishi</w:t>
      </w:r>
      <w:proofErr w:type="spellEnd"/>
      <w:r w:rsidRPr="006D6586">
        <w:rPr>
          <w:rFonts w:eastAsia="Times New Roman" w:cstheme="minorHAnsi"/>
          <w:color w:val="000000"/>
          <w:lang w:eastAsia="en-IN"/>
        </w:rPr>
        <w:t xml:space="preserve"> </w:t>
      </w:r>
      <w:proofErr w:type="spellStart"/>
      <w:r w:rsidRPr="006D6586">
        <w:rPr>
          <w:rFonts w:eastAsia="Times New Roman" w:cstheme="minorHAnsi"/>
          <w:color w:val="000000"/>
          <w:lang w:eastAsia="en-IN"/>
        </w:rPr>
        <w:t>Vikas</w:t>
      </w:r>
      <w:proofErr w:type="spellEnd"/>
      <w:r w:rsidRPr="006D6586">
        <w:rPr>
          <w:rFonts w:eastAsia="Times New Roman" w:cstheme="minorHAnsi"/>
          <w:color w:val="000000"/>
          <w:lang w:eastAsia="en-IN"/>
        </w:rPr>
        <w:t xml:space="preserve"> </w:t>
      </w:r>
      <w:proofErr w:type="spellStart"/>
      <w:r w:rsidRPr="006D6586">
        <w:rPr>
          <w:rFonts w:eastAsia="Times New Roman" w:cstheme="minorHAnsi"/>
          <w:color w:val="000000"/>
          <w:lang w:eastAsia="en-IN"/>
        </w:rPr>
        <w:t>Yojana</w:t>
      </w:r>
      <w:proofErr w:type="spellEnd"/>
      <w:r w:rsidRPr="006D6586">
        <w:rPr>
          <w:rFonts w:eastAsia="Times New Roman" w:cstheme="minorHAnsi"/>
          <w:color w:val="000000"/>
          <w:lang w:eastAsia="en-IN"/>
        </w:rPr>
        <w:t>, and National Project on Agro Forestry;</w:t>
      </w:r>
    </w:p>
    <w:p w:rsidR="00363E8D" w:rsidRPr="006D6586" w:rsidRDefault="00363E8D" w:rsidP="00363E8D">
      <w:pPr>
        <w:pStyle w:val="ListParagraph"/>
        <w:numPr>
          <w:ilvl w:val="0"/>
          <w:numId w:val="6"/>
        </w:numPr>
        <w:spacing w:after="0"/>
        <w:ind w:left="665" w:hanging="305"/>
        <w:rPr>
          <w:rFonts w:eastAsia="Times New Roman" w:cstheme="minorHAnsi"/>
          <w:color w:val="000000"/>
          <w:lang w:eastAsia="en-IN"/>
        </w:rPr>
      </w:pPr>
      <w:r w:rsidRPr="006D6586">
        <w:rPr>
          <w:rFonts w:eastAsia="Times New Roman" w:cstheme="minorHAnsi"/>
          <w:color w:val="000000"/>
          <w:lang w:eastAsia="en-IN"/>
        </w:rPr>
        <w:t xml:space="preserve">For the FY 2012-13 and 2013-14, allocations under scheme ‘Integrated oilseed, </w:t>
      </w:r>
      <w:proofErr w:type="spellStart"/>
      <w:r w:rsidRPr="006D6586">
        <w:rPr>
          <w:rFonts w:eastAsia="Times New Roman" w:cstheme="minorHAnsi"/>
          <w:color w:val="000000"/>
          <w:lang w:eastAsia="en-IN"/>
        </w:rPr>
        <w:t>oilpalm</w:t>
      </w:r>
      <w:proofErr w:type="spellEnd"/>
      <w:r w:rsidRPr="006D6586">
        <w:rPr>
          <w:rFonts w:eastAsia="Times New Roman" w:cstheme="minorHAnsi"/>
          <w:color w:val="000000"/>
          <w:lang w:eastAsia="en-IN"/>
        </w:rPr>
        <w:t>, pulses and maize development’ is included;</w:t>
      </w:r>
    </w:p>
    <w:p w:rsidR="00363E8D" w:rsidRPr="006D6586" w:rsidRDefault="00363E8D" w:rsidP="00363E8D">
      <w:pPr>
        <w:pStyle w:val="ListParagraph"/>
        <w:numPr>
          <w:ilvl w:val="0"/>
          <w:numId w:val="6"/>
        </w:numPr>
        <w:spacing w:after="0"/>
        <w:ind w:left="665" w:hanging="305"/>
        <w:rPr>
          <w:rFonts w:eastAsia="Times New Roman" w:cstheme="minorHAnsi"/>
          <w:color w:val="000000"/>
          <w:lang w:eastAsia="en-IN"/>
        </w:rPr>
      </w:pPr>
      <w:r w:rsidRPr="006D6586">
        <w:rPr>
          <w:rFonts w:eastAsia="Times New Roman" w:cstheme="minorHAnsi"/>
          <w:color w:val="000000"/>
          <w:lang w:eastAsia="en-IN"/>
        </w:rPr>
        <w:t xml:space="preserve">For the FY 2012-13 and 2013-14, allocations under the following heads are included: Animal Husbandry and Dairy </w:t>
      </w:r>
      <w:proofErr w:type="spellStart"/>
      <w:r w:rsidRPr="006D6586">
        <w:rPr>
          <w:rFonts w:eastAsia="Times New Roman" w:cstheme="minorHAnsi"/>
          <w:color w:val="000000"/>
          <w:lang w:eastAsia="en-IN"/>
        </w:rPr>
        <w:t>Vikas</w:t>
      </w:r>
      <w:proofErr w:type="spellEnd"/>
      <w:r w:rsidRPr="006D6586">
        <w:rPr>
          <w:rFonts w:eastAsia="Times New Roman" w:cstheme="minorHAnsi"/>
          <w:color w:val="000000"/>
          <w:lang w:eastAsia="en-IN"/>
        </w:rPr>
        <w:t xml:space="preserve"> </w:t>
      </w:r>
      <w:proofErr w:type="spellStart"/>
      <w:r w:rsidRPr="006D6586">
        <w:rPr>
          <w:rFonts w:eastAsia="Times New Roman" w:cstheme="minorHAnsi"/>
          <w:color w:val="000000"/>
          <w:lang w:eastAsia="en-IN"/>
        </w:rPr>
        <w:t>Abhiyan</w:t>
      </w:r>
      <w:proofErr w:type="spellEnd"/>
      <w:r w:rsidRPr="006D6586">
        <w:rPr>
          <w:rFonts w:eastAsia="Times New Roman" w:cstheme="minorHAnsi"/>
          <w:color w:val="000000"/>
          <w:lang w:eastAsia="en-IN"/>
        </w:rPr>
        <w:t>.</w:t>
      </w:r>
    </w:p>
    <w:p w:rsidR="00363E8D" w:rsidRPr="006D6586" w:rsidRDefault="00363E8D" w:rsidP="00363E8D">
      <w:pPr>
        <w:pStyle w:val="ListParagraph"/>
        <w:spacing w:after="0"/>
        <w:ind w:left="665"/>
        <w:rPr>
          <w:rFonts w:eastAsia="Times New Roman" w:cstheme="minorHAnsi"/>
          <w:color w:val="000000"/>
          <w:lang w:eastAsia="en-IN"/>
        </w:rPr>
      </w:pPr>
    </w:p>
    <w:p w:rsidR="00F408D7" w:rsidRDefault="00363E8D" w:rsidP="00363E8D">
      <w:pPr>
        <w:jc w:val="center"/>
        <w:rPr>
          <w:rFonts w:eastAsia="Times New Roman" w:cstheme="minorHAnsi"/>
          <w:color w:val="000000"/>
          <w:lang w:eastAsia="en-IN"/>
        </w:rPr>
      </w:pPr>
      <w:r w:rsidRPr="006D6586">
        <w:rPr>
          <w:rFonts w:eastAsia="Times New Roman" w:cstheme="minorHAnsi"/>
          <w:i/>
          <w:color w:val="000000"/>
          <w:lang w:eastAsia="en-IN"/>
        </w:rPr>
        <w:t>Source</w:t>
      </w:r>
      <w:r w:rsidRPr="006D6586">
        <w:rPr>
          <w:rFonts w:eastAsia="Times New Roman" w:cstheme="minorHAnsi"/>
          <w:color w:val="000000"/>
          <w:lang w:eastAsia="en-IN"/>
        </w:rPr>
        <w:t xml:space="preserve">: Compiled by CBGA from Union Budget documents, various years. </w:t>
      </w:r>
    </w:p>
    <w:p w:rsidR="00F408D7" w:rsidRDefault="00F408D7" w:rsidP="00F408D7">
      <w:pPr>
        <w:jc w:val="center"/>
        <w:rPr>
          <w:rFonts w:cstheme="minorHAnsi"/>
          <w:b/>
          <w:bCs/>
        </w:rPr>
      </w:pPr>
      <w:r w:rsidRPr="00F408D7">
        <w:rPr>
          <w:rFonts w:cstheme="minorHAnsi"/>
          <w:b/>
          <w:bCs/>
        </w:rPr>
        <w:t xml:space="preserve">Figure </w:t>
      </w:r>
      <w:r>
        <w:rPr>
          <w:rFonts w:cstheme="minorHAnsi"/>
          <w:b/>
          <w:bCs/>
        </w:rPr>
        <w:t>9.</w:t>
      </w:r>
      <w:r w:rsidRPr="00F408D7">
        <w:rPr>
          <w:rFonts w:cstheme="minorHAnsi"/>
          <w:b/>
          <w:bCs/>
        </w:rPr>
        <w:t>1: Share of Expenditure / Outlays for Schemes Related to Nutrition in Total Union Budget and GDP (in %)</w:t>
      </w:r>
    </w:p>
    <w:p w:rsidR="00F408D7" w:rsidRDefault="00F408D7" w:rsidP="00F408D7">
      <w:pPr>
        <w:jc w:val="center"/>
        <w:rPr>
          <w:rFonts w:cstheme="minorHAnsi"/>
          <w:b/>
          <w:bCs/>
        </w:rPr>
      </w:pPr>
      <w:r>
        <w:rPr>
          <w:noProof/>
          <w:lang w:eastAsia="en-IN"/>
        </w:rPr>
        <w:drawing>
          <wp:inline distT="0" distB="0" distL="0" distR="0" wp14:anchorId="3E2B0BD6" wp14:editId="137D42BF">
            <wp:extent cx="5731510" cy="2445689"/>
            <wp:effectExtent l="0" t="0" r="215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65484" w:rsidRPr="000211BC" w:rsidRDefault="00A745C4" w:rsidP="00897F9C">
      <w:pPr>
        <w:rPr>
          <w:rFonts w:cstheme="minorHAnsi"/>
          <w:lang w:val="en-GB"/>
        </w:rPr>
      </w:pPr>
      <w:r w:rsidRPr="006D6586">
        <w:rPr>
          <w:rFonts w:cstheme="minorHAnsi"/>
          <w:i/>
          <w:lang w:val="en-GB"/>
        </w:rPr>
        <w:t>Source</w:t>
      </w:r>
      <w:r w:rsidR="00816CD4" w:rsidRPr="006D6586">
        <w:rPr>
          <w:rFonts w:cstheme="minorHAnsi"/>
          <w:lang w:val="en-GB"/>
        </w:rPr>
        <w:t xml:space="preserve">: </w:t>
      </w:r>
      <w:r w:rsidRPr="006D6586">
        <w:rPr>
          <w:rFonts w:eastAsia="Times New Roman" w:cstheme="minorHAnsi"/>
          <w:color w:val="000000"/>
          <w:lang w:eastAsia="en-IN"/>
        </w:rPr>
        <w:t>Compiled by CBGA from Union Budget documents, various years.</w:t>
      </w:r>
    </w:p>
    <w:sectPr w:rsidR="00065484" w:rsidRPr="000211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B1701"/>
    <w:multiLevelType w:val="hybridMultilevel"/>
    <w:tmpl w:val="06BA7F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334B9D"/>
    <w:multiLevelType w:val="hybridMultilevel"/>
    <w:tmpl w:val="88C67894"/>
    <w:lvl w:ilvl="0" w:tplc="C468653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7334D65"/>
    <w:multiLevelType w:val="hybridMultilevel"/>
    <w:tmpl w:val="9F82A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86C1608"/>
    <w:multiLevelType w:val="hybridMultilevel"/>
    <w:tmpl w:val="BF4447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E113929"/>
    <w:multiLevelType w:val="hybridMultilevel"/>
    <w:tmpl w:val="3EBE52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E4A6A0A"/>
    <w:multiLevelType w:val="hybridMultilevel"/>
    <w:tmpl w:val="C0367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6472A1"/>
    <w:multiLevelType w:val="multilevel"/>
    <w:tmpl w:val="A3E2B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6"/>
  </w:num>
  <w:num w:numId="4">
    <w:abstractNumId w:val="0"/>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E9A"/>
    <w:rsid w:val="00011689"/>
    <w:rsid w:val="000211BC"/>
    <w:rsid w:val="0006405B"/>
    <w:rsid w:val="00065484"/>
    <w:rsid w:val="000D06A7"/>
    <w:rsid w:val="000D4881"/>
    <w:rsid w:val="000D706F"/>
    <w:rsid w:val="000F5F08"/>
    <w:rsid w:val="001429DA"/>
    <w:rsid w:val="001E2575"/>
    <w:rsid w:val="002349D9"/>
    <w:rsid w:val="002451BA"/>
    <w:rsid w:val="003164BA"/>
    <w:rsid w:val="00363E8D"/>
    <w:rsid w:val="00372D80"/>
    <w:rsid w:val="0037542E"/>
    <w:rsid w:val="003B064A"/>
    <w:rsid w:val="003F1249"/>
    <w:rsid w:val="00422039"/>
    <w:rsid w:val="00444155"/>
    <w:rsid w:val="0047236E"/>
    <w:rsid w:val="00486BBE"/>
    <w:rsid w:val="004B4693"/>
    <w:rsid w:val="00527A1A"/>
    <w:rsid w:val="005B28D1"/>
    <w:rsid w:val="005C7431"/>
    <w:rsid w:val="005E37A5"/>
    <w:rsid w:val="005E66F1"/>
    <w:rsid w:val="006128A4"/>
    <w:rsid w:val="00661430"/>
    <w:rsid w:val="006D6586"/>
    <w:rsid w:val="006E1F55"/>
    <w:rsid w:val="00745B2E"/>
    <w:rsid w:val="00757DE4"/>
    <w:rsid w:val="0076120D"/>
    <w:rsid w:val="007665CE"/>
    <w:rsid w:val="007B6244"/>
    <w:rsid w:val="007C717C"/>
    <w:rsid w:val="007D2A0F"/>
    <w:rsid w:val="007D3FE3"/>
    <w:rsid w:val="007D7A8D"/>
    <w:rsid w:val="00803A35"/>
    <w:rsid w:val="00816CD4"/>
    <w:rsid w:val="00897F9C"/>
    <w:rsid w:val="008A1A9C"/>
    <w:rsid w:val="00902F23"/>
    <w:rsid w:val="009773A8"/>
    <w:rsid w:val="00991A22"/>
    <w:rsid w:val="00993B4B"/>
    <w:rsid w:val="009A02CF"/>
    <w:rsid w:val="009E51F7"/>
    <w:rsid w:val="009F4C40"/>
    <w:rsid w:val="00A27C07"/>
    <w:rsid w:val="00A52003"/>
    <w:rsid w:val="00A64149"/>
    <w:rsid w:val="00A6580E"/>
    <w:rsid w:val="00A745C4"/>
    <w:rsid w:val="00A92FD2"/>
    <w:rsid w:val="00AC7BCE"/>
    <w:rsid w:val="00AD2282"/>
    <w:rsid w:val="00B10E9A"/>
    <w:rsid w:val="00B500C8"/>
    <w:rsid w:val="00B517D1"/>
    <w:rsid w:val="00B72BE7"/>
    <w:rsid w:val="00B90BA7"/>
    <w:rsid w:val="00BD17A8"/>
    <w:rsid w:val="00C25183"/>
    <w:rsid w:val="00C31F68"/>
    <w:rsid w:val="00C36F06"/>
    <w:rsid w:val="00C74733"/>
    <w:rsid w:val="00C92003"/>
    <w:rsid w:val="00CB04FC"/>
    <w:rsid w:val="00D0585C"/>
    <w:rsid w:val="00D25209"/>
    <w:rsid w:val="00D441BB"/>
    <w:rsid w:val="00D57414"/>
    <w:rsid w:val="00DE7E93"/>
    <w:rsid w:val="00E2285A"/>
    <w:rsid w:val="00E46025"/>
    <w:rsid w:val="00E70EE1"/>
    <w:rsid w:val="00E8234B"/>
    <w:rsid w:val="00EC2CEF"/>
    <w:rsid w:val="00EE2BA0"/>
    <w:rsid w:val="00F15FD1"/>
    <w:rsid w:val="00F408D7"/>
    <w:rsid w:val="00F440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E9A"/>
    <w:pPr>
      <w:ind w:left="720"/>
      <w:contextualSpacing/>
    </w:pPr>
  </w:style>
  <w:style w:type="paragraph" w:styleId="BalloonText">
    <w:name w:val="Balloon Text"/>
    <w:basedOn w:val="Normal"/>
    <w:link w:val="BalloonTextChar"/>
    <w:uiPriority w:val="99"/>
    <w:semiHidden/>
    <w:unhideWhenUsed/>
    <w:rsid w:val="00142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9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E9A"/>
    <w:pPr>
      <w:ind w:left="720"/>
      <w:contextualSpacing/>
    </w:pPr>
  </w:style>
  <w:style w:type="paragraph" w:styleId="BalloonText">
    <w:name w:val="Balloon Text"/>
    <w:basedOn w:val="Normal"/>
    <w:link w:val="BalloonTextChar"/>
    <w:uiPriority w:val="99"/>
    <w:semiHidden/>
    <w:unhideWhenUsed/>
    <w:rsid w:val="00142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9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660739">
      <w:bodyDiv w:val="1"/>
      <w:marLeft w:val="0"/>
      <w:marRight w:val="0"/>
      <w:marTop w:val="0"/>
      <w:marBottom w:val="0"/>
      <w:divBdr>
        <w:top w:val="none" w:sz="0" w:space="0" w:color="auto"/>
        <w:left w:val="none" w:sz="0" w:space="0" w:color="auto"/>
        <w:bottom w:val="none" w:sz="0" w:space="0" w:color="auto"/>
        <w:right w:val="none" w:sz="0" w:space="0" w:color="auto"/>
      </w:divBdr>
    </w:div>
    <w:div w:id="640185425">
      <w:bodyDiv w:val="1"/>
      <w:marLeft w:val="0"/>
      <w:marRight w:val="0"/>
      <w:marTop w:val="0"/>
      <w:marBottom w:val="0"/>
      <w:divBdr>
        <w:top w:val="none" w:sz="0" w:space="0" w:color="auto"/>
        <w:left w:val="none" w:sz="0" w:space="0" w:color="auto"/>
        <w:bottom w:val="none" w:sz="0" w:space="0" w:color="auto"/>
        <w:right w:val="none" w:sz="0" w:space="0" w:color="auto"/>
      </w:divBdr>
    </w:div>
    <w:div w:id="139172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0"/>
          <c:order val="0"/>
          <c:tx>
            <c:strRef>
              <c:f>Sheet1!$H$32</c:f>
              <c:strCache>
                <c:ptCount val="1"/>
                <c:pt idx="0">
                  <c:v>Share of Nutrition related Expenditure in  Total Union Budget (in %) </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Sheet1!$I$31:$O$31</c:f>
              <c:strCache>
                <c:ptCount val="7"/>
                <c:pt idx="0">
                  <c:v>2012-13 A</c:v>
                </c:pt>
                <c:pt idx="1">
                  <c:v>2013-14 A</c:v>
                </c:pt>
                <c:pt idx="2">
                  <c:v>2014-15 A</c:v>
                </c:pt>
                <c:pt idx="3">
                  <c:v>2015-16 A</c:v>
                </c:pt>
                <c:pt idx="4">
                  <c:v>2016-17 (BE)</c:v>
                </c:pt>
                <c:pt idx="5">
                  <c:v>2016-17 (RE)</c:v>
                </c:pt>
                <c:pt idx="6">
                  <c:v>2017-18 (BE)</c:v>
                </c:pt>
              </c:strCache>
            </c:strRef>
          </c:cat>
          <c:val>
            <c:numRef>
              <c:f>Sheet1!$I$32:$O$32</c:f>
              <c:numCache>
                <c:formatCode>0.0</c:formatCode>
                <c:ptCount val="7"/>
                <c:pt idx="0">
                  <c:v>14.185691434600232</c:v>
                </c:pt>
                <c:pt idx="1">
                  <c:v>13.540966765782997</c:v>
                </c:pt>
                <c:pt idx="2">
                  <c:v>14.393080851826051</c:v>
                </c:pt>
                <c:pt idx="3">
                  <c:v>14.347662447097159</c:v>
                </c:pt>
                <c:pt idx="4">
                  <c:v>13.266867536879568</c:v>
                </c:pt>
                <c:pt idx="5">
                  <c:v>13.560948705996353</c:v>
                </c:pt>
                <c:pt idx="6">
                  <c:v>13.896242433276583</c:v>
                </c:pt>
              </c:numCache>
            </c:numRef>
          </c:val>
        </c:ser>
        <c:ser>
          <c:idx val="1"/>
          <c:order val="1"/>
          <c:tx>
            <c:strRef>
              <c:f>Sheet1!$H$33</c:f>
              <c:strCache>
                <c:ptCount val="1"/>
                <c:pt idx="0">
                  <c:v>Share of Nutrition related Expenditure in GDP (in %) </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Sheet1!$I$31:$O$31</c:f>
              <c:strCache>
                <c:ptCount val="7"/>
                <c:pt idx="0">
                  <c:v>2012-13 A</c:v>
                </c:pt>
                <c:pt idx="1">
                  <c:v>2013-14 A</c:v>
                </c:pt>
                <c:pt idx="2">
                  <c:v>2014-15 A</c:v>
                </c:pt>
                <c:pt idx="3">
                  <c:v>2015-16 A</c:v>
                </c:pt>
                <c:pt idx="4">
                  <c:v>2016-17 (BE)</c:v>
                </c:pt>
                <c:pt idx="5">
                  <c:v>2016-17 (RE)</c:v>
                </c:pt>
                <c:pt idx="6">
                  <c:v>2017-18 (BE)</c:v>
                </c:pt>
              </c:strCache>
            </c:strRef>
          </c:cat>
          <c:val>
            <c:numRef>
              <c:f>Sheet1!$I$33:$O$33</c:f>
              <c:numCache>
                <c:formatCode>0.0</c:formatCode>
                <c:ptCount val="7"/>
                <c:pt idx="0">
                  <c:v>2.0114440701358727</c:v>
                </c:pt>
                <c:pt idx="1">
                  <c:v>1.8792476573280166</c:v>
                </c:pt>
                <c:pt idx="2">
                  <c:v>1.925837492778727</c:v>
                </c:pt>
                <c:pt idx="3">
                  <c:v>1.8788247246081278</c:v>
                </c:pt>
                <c:pt idx="4">
                  <c:v>1.7407570955360538</c:v>
                </c:pt>
                <c:pt idx="5">
                  <c:v>1.8120393124467633</c:v>
                </c:pt>
                <c:pt idx="6">
                  <c:v>1.7706858394932652</c:v>
                </c:pt>
              </c:numCache>
            </c:numRef>
          </c:val>
        </c:ser>
        <c:dLbls>
          <c:showLegendKey val="0"/>
          <c:showVal val="0"/>
          <c:showCatName val="0"/>
          <c:showSerName val="0"/>
          <c:showPercent val="0"/>
          <c:showBubbleSize val="0"/>
        </c:dLbls>
        <c:gapWidth val="150"/>
        <c:axId val="57780096"/>
        <c:axId val="57781632"/>
      </c:barChart>
      <c:catAx>
        <c:axId val="57780096"/>
        <c:scaling>
          <c:orientation val="minMax"/>
        </c:scaling>
        <c:delete val="0"/>
        <c:axPos val="b"/>
        <c:numFmt formatCode="General" sourceLinked="0"/>
        <c:majorTickMark val="out"/>
        <c:minorTickMark val="none"/>
        <c:tickLblPos val="nextTo"/>
        <c:crossAx val="57781632"/>
        <c:crosses val="autoZero"/>
        <c:auto val="1"/>
        <c:lblAlgn val="ctr"/>
        <c:lblOffset val="100"/>
        <c:noMultiLvlLbl val="0"/>
      </c:catAx>
      <c:valAx>
        <c:axId val="57781632"/>
        <c:scaling>
          <c:orientation val="minMax"/>
        </c:scaling>
        <c:delete val="0"/>
        <c:axPos val="l"/>
        <c:numFmt formatCode="0.0" sourceLinked="1"/>
        <c:majorTickMark val="out"/>
        <c:minorTickMark val="none"/>
        <c:tickLblPos val="nextTo"/>
        <c:crossAx val="57780096"/>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Priyanka</cp:lastModifiedBy>
  <cp:revision>2</cp:revision>
  <cp:lastPrinted>2017-02-01T22:47:00Z</cp:lastPrinted>
  <dcterms:created xsi:type="dcterms:W3CDTF">2017-02-02T01:01:00Z</dcterms:created>
  <dcterms:modified xsi:type="dcterms:W3CDTF">2017-02-02T01:01:00Z</dcterms:modified>
</cp:coreProperties>
</file>