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E58" w:rsidRDefault="008B3CD8" w:rsidP="00FA07D1">
      <w:pPr>
        <w:jc w:val="center"/>
        <w:rPr>
          <w:b/>
          <w:bCs/>
          <w:sz w:val="24"/>
          <w:szCs w:val="24"/>
        </w:rPr>
      </w:pPr>
      <w:r w:rsidRPr="008B3CD8">
        <w:rPr>
          <w:b/>
          <w:bCs/>
          <w:sz w:val="24"/>
          <w:szCs w:val="24"/>
        </w:rPr>
        <w:t xml:space="preserve">16. </w:t>
      </w:r>
      <w:r w:rsidR="00E31AE2" w:rsidRPr="008B3CD8">
        <w:rPr>
          <w:b/>
          <w:bCs/>
          <w:sz w:val="24"/>
          <w:szCs w:val="24"/>
        </w:rPr>
        <w:t>SOCIAL SECURITY</w:t>
      </w:r>
    </w:p>
    <w:tbl>
      <w:tblPr>
        <w:tblStyle w:val="TableGrid"/>
        <w:tblW w:w="0" w:type="auto"/>
        <w:tblInd w:w="108" w:type="dxa"/>
        <w:tblLook w:val="04A0" w:firstRow="1" w:lastRow="0" w:firstColumn="1" w:lastColumn="0" w:noHBand="0" w:noVBand="1"/>
      </w:tblPr>
      <w:tblGrid>
        <w:gridCol w:w="9360"/>
      </w:tblGrid>
      <w:tr w:rsidR="008B3CD8" w:rsidRPr="0086684D" w:rsidTr="00620027">
        <w:trPr>
          <w:trHeight w:val="2554"/>
        </w:trPr>
        <w:tc>
          <w:tcPr>
            <w:tcW w:w="9360" w:type="dxa"/>
          </w:tcPr>
          <w:p w:rsidR="008B3CD8" w:rsidRPr="00FA07D1" w:rsidRDefault="008B3CD8" w:rsidP="00FA07D1">
            <w:pPr>
              <w:spacing w:line="276" w:lineRule="auto"/>
              <w:jc w:val="center"/>
              <w:rPr>
                <w:b/>
              </w:rPr>
            </w:pPr>
            <w:r w:rsidRPr="00FA07D1">
              <w:rPr>
                <w:b/>
              </w:rPr>
              <w:t>Highlights</w:t>
            </w:r>
          </w:p>
          <w:p w:rsidR="008B3CD8" w:rsidRPr="00E31AE2" w:rsidRDefault="008B3CD8" w:rsidP="0086684D">
            <w:pPr>
              <w:pStyle w:val="ListParagraph"/>
              <w:numPr>
                <w:ilvl w:val="0"/>
                <w:numId w:val="1"/>
              </w:numPr>
              <w:spacing w:line="276" w:lineRule="auto"/>
            </w:pPr>
            <w:r w:rsidRPr="00E31AE2">
              <w:t>Allocation for National Social Assistance Program</w:t>
            </w:r>
            <w:r w:rsidR="00287C5F" w:rsidRPr="00E31AE2">
              <w:t xml:space="preserve"> (NSAP)</w:t>
            </w:r>
            <w:r w:rsidRPr="00E31AE2">
              <w:t xml:space="preserve"> has remained unchanged at Rs. 9</w:t>
            </w:r>
            <w:r w:rsidR="00C437D2">
              <w:t>,</w:t>
            </w:r>
            <w:r w:rsidRPr="00E31AE2">
              <w:t xml:space="preserve">500 crore </w:t>
            </w:r>
            <w:r w:rsidR="0086684D" w:rsidRPr="00E31AE2">
              <w:t xml:space="preserve">in 2017-18 </w:t>
            </w:r>
            <w:r w:rsidR="00E31AE2">
              <w:t>(</w:t>
            </w:r>
            <w:r w:rsidR="0086684D" w:rsidRPr="00E31AE2">
              <w:t>BE</w:t>
            </w:r>
            <w:r w:rsidR="00E31AE2">
              <w:t>)</w:t>
            </w:r>
          </w:p>
          <w:p w:rsidR="008B3CD8" w:rsidRPr="00E31AE2" w:rsidRDefault="008B3CD8" w:rsidP="0086684D">
            <w:pPr>
              <w:pStyle w:val="ListParagraph"/>
              <w:numPr>
                <w:ilvl w:val="0"/>
                <w:numId w:val="1"/>
              </w:numPr>
              <w:spacing w:line="276" w:lineRule="auto"/>
            </w:pPr>
            <w:r w:rsidRPr="00E31AE2">
              <w:t>Allocation</w:t>
            </w:r>
            <w:r w:rsidRPr="00E31AE2">
              <w:rPr>
                <w:i/>
                <w:iCs/>
              </w:rPr>
              <w:t xml:space="preserve"> </w:t>
            </w:r>
            <w:proofErr w:type="spellStart"/>
            <w:r w:rsidRPr="00E31AE2">
              <w:rPr>
                <w:i/>
                <w:iCs/>
              </w:rPr>
              <w:t>Rashtriya</w:t>
            </w:r>
            <w:proofErr w:type="spellEnd"/>
            <w:r w:rsidRPr="00E31AE2">
              <w:rPr>
                <w:i/>
                <w:iCs/>
              </w:rPr>
              <w:t xml:space="preserve"> </w:t>
            </w:r>
            <w:proofErr w:type="spellStart"/>
            <w:r w:rsidRPr="00E31AE2">
              <w:rPr>
                <w:i/>
                <w:iCs/>
              </w:rPr>
              <w:t>Swasthya</w:t>
            </w:r>
            <w:proofErr w:type="spellEnd"/>
            <w:r w:rsidRPr="00E31AE2">
              <w:rPr>
                <w:i/>
                <w:iCs/>
              </w:rPr>
              <w:t xml:space="preserve"> Suraksha </w:t>
            </w:r>
            <w:proofErr w:type="spellStart"/>
            <w:r w:rsidRPr="00E31AE2">
              <w:rPr>
                <w:i/>
                <w:iCs/>
              </w:rPr>
              <w:t>Yojana</w:t>
            </w:r>
            <w:proofErr w:type="spellEnd"/>
            <w:r w:rsidRPr="00E31AE2">
              <w:rPr>
                <w:i/>
                <w:iCs/>
              </w:rPr>
              <w:t xml:space="preserve"> </w:t>
            </w:r>
            <w:r w:rsidRPr="00E31AE2">
              <w:t>(RSSY), renamed as National Health Protection Scheme, has declined from Rs. 1</w:t>
            </w:r>
            <w:r w:rsidR="00C437D2">
              <w:t>,</w:t>
            </w:r>
            <w:r w:rsidRPr="00E31AE2">
              <w:t>500 crore in 2016-17 (BE) to Rs. 1</w:t>
            </w:r>
            <w:r w:rsidR="00C437D2">
              <w:t>,</w:t>
            </w:r>
            <w:r w:rsidRPr="00E31AE2">
              <w:t xml:space="preserve">000 crore in 2017-18 </w:t>
            </w:r>
            <w:r w:rsidR="00E31AE2">
              <w:t>(BE)</w:t>
            </w:r>
          </w:p>
          <w:p w:rsidR="00E31AE2" w:rsidRPr="00E31AE2" w:rsidRDefault="00E31AE2" w:rsidP="0086684D">
            <w:pPr>
              <w:pStyle w:val="ListParagraph"/>
              <w:numPr>
                <w:ilvl w:val="0"/>
                <w:numId w:val="1"/>
              </w:numPr>
              <w:spacing w:line="276" w:lineRule="auto"/>
            </w:pPr>
            <w:r w:rsidRPr="00E31AE2">
              <w:t>A</w:t>
            </w:r>
            <w:r w:rsidR="0086684D" w:rsidRPr="00E31AE2">
              <w:t>llocation</w:t>
            </w:r>
            <w:r w:rsidRPr="00E31AE2">
              <w:t xml:space="preserve"> </w:t>
            </w:r>
            <w:r w:rsidR="0086684D" w:rsidRPr="00E31AE2">
              <w:t xml:space="preserve">for </w:t>
            </w:r>
            <w:proofErr w:type="spellStart"/>
            <w:r w:rsidR="0086684D" w:rsidRPr="00E31AE2">
              <w:rPr>
                <w:i/>
                <w:iCs/>
              </w:rPr>
              <w:t>Aam</w:t>
            </w:r>
            <w:proofErr w:type="spellEnd"/>
            <w:r w:rsidR="0086684D" w:rsidRPr="00E31AE2">
              <w:rPr>
                <w:i/>
                <w:iCs/>
              </w:rPr>
              <w:t xml:space="preserve"> </w:t>
            </w:r>
            <w:proofErr w:type="spellStart"/>
            <w:r w:rsidR="0086684D" w:rsidRPr="00E31AE2">
              <w:rPr>
                <w:i/>
                <w:iCs/>
              </w:rPr>
              <w:t>Aadmi</w:t>
            </w:r>
            <w:proofErr w:type="spellEnd"/>
            <w:r w:rsidR="0086684D" w:rsidRPr="00E31AE2">
              <w:rPr>
                <w:i/>
                <w:iCs/>
              </w:rPr>
              <w:t xml:space="preserve"> </w:t>
            </w:r>
            <w:proofErr w:type="spellStart"/>
            <w:r w:rsidR="0086684D" w:rsidRPr="00E31AE2">
              <w:rPr>
                <w:i/>
                <w:iCs/>
              </w:rPr>
              <w:t>Bima</w:t>
            </w:r>
            <w:proofErr w:type="spellEnd"/>
            <w:r w:rsidR="0086684D" w:rsidRPr="00E31AE2">
              <w:rPr>
                <w:i/>
                <w:iCs/>
              </w:rPr>
              <w:t xml:space="preserve"> </w:t>
            </w:r>
            <w:proofErr w:type="spellStart"/>
            <w:r w:rsidR="0086684D" w:rsidRPr="00E31AE2">
              <w:rPr>
                <w:i/>
                <w:iCs/>
              </w:rPr>
              <w:t>Y</w:t>
            </w:r>
            <w:r w:rsidR="00287C5F" w:rsidRPr="00E31AE2">
              <w:rPr>
                <w:i/>
                <w:iCs/>
              </w:rPr>
              <w:t>ojana</w:t>
            </w:r>
            <w:proofErr w:type="spellEnd"/>
            <w:r w:rsidRPr="00E31AE2">
              <w:t xml:space="preserve"> declined from Rs. 450 crore in 2016-17 </w:t>
            </w:r>
            <w:r>
              <w:t>(</w:t>
            </w:r>
            <w:r w:rsidRPr="00E31AE2">
              <w:t>BE</w:t>
            </w:r>
            <w:r>
              <w:t>)</w:t>
            </w:r>
            <w:r w:rsidRPr="00E31AE2">
              <w:t xml:space="preserve"> to Rs. 350 crore in 2017-18 </w:t>
            </w:r>
            <w:r>
              <w:t>(</w:t>
            </w:r>
            <w:r w:rsidRPr="00E31AE2">
              <w:t>BE</w:t>
            </w:r>
            <w:r>
              <w:t>)</w:t>
            </w:r>
          </w:p>
          <w:p w:rsidR="00E31AE2" w:rsidRPr="00E31AE2" w:rsidRDefault="00E31AE2" w:rsidP="00E31AE2">
            <w:pPr>
              <w:pStyle w:val="ListParagraph"/>
              <w:numPr>
                <w:ilvl w:val="0"/>
                <w:numId w:val="1"/>
              </w:numPr>
              <w:spacing w:line="276" w:lineRule="auto"/>
            </w:pPr>
            <w:r w:rsidRPr="00E31AE2">
              <w:t xml:space="preserve"> Allocation for </w:t>
            </w:r>
            <w:r w:rsidR="00287C5F" w:rsidRPr="00E31AE2">
              <w:rPr>
                <w:i/>
                <w:iCs/>
              </w:rPr>
              <w:t>Atal Pe</w:t>
            </w:r>
            <w:r w:rsidR="00C437D2">
              <w:rPr>
                <w:i/>
                <w:iCs/>
              </w:rPr>
              <w:t>n</w:t>
            </w:r>
            <w:r w:rsidR="00287C5F" w:rsidRPr="00E31AE2">
              <w:rPr>
                <w:i/>
                <w:iCs/>
              </w:rPr>
              <w:t>sion Yojana</w:t>
            </w:r>
            <w:r w:rsidRPr="00E31AE2">
              <w:t xml:space="preserve"> </w:t>
            </w:r>
            <w:r w:rsidR="00C437D2" w:rsidRPr="00E31AE2">
              <w:t>has declined</w:t>
            </w:r>
            <w:r w:rsidR="002C4888" w:rsidRPr="00E31AE2">
              <w:t xml:space="preserve"> from </w:t>
            </w:r>
            <w:r w:rsidRPr="00E31AE2">
              <w:t xml:space="preserve">Rs. 200 crore in 2016-17 </w:t>
            </w:r>
            <w:r>
              <w:t>(</w:t>
            </w:r>
            <w:r w:rsidRPr="00E31AE2">
              <w:t>BE</w:t>
            </w:r>
            <w:r>
              <w:t>)</w:t>
            </w:r>
            <w:r w:rsidRPr="00E31AE2">
              <w:t xml:space="preserve"> to Rs. 155 crore in 2017-18 </w:t>
            </w:r>
            <w:r>
              <w:t>(</w:t>
            </w:r>
            <w:r w:rsidRPr="00E31AE2">
              <w:t>BE</w:t>
            </w:r>
            <w:r>
              <w:t>)</w:t>
            </w:r>
          </w:p>
          <w:p w:rsidR="002C4888" w:rsidRPr="0086684D" w:rsidRDefault="00C437D2" w:rsidP="002C4888">
            <w:pPr>
              <w:pStyle w:val="ListParagraph"/>
              <w:numPr>
                <w:ilvl w:val="0"/>
                <w:numId w:val="1"/>
              </w:numPr>
              <w:spacing w:line="276" w:lineRule="auto"/>
            </w:pPr>
            <w:r>
              <w:t>Overall b</w:t>
            </w:r>
            <w:r w:rsidR="0086684D" w:rsidRPr="00E31AE2">
              <w:t xml:space="preserve">udget for Social Security sector has declined in absolute amount in 2017-18 </w:t>
            </w:r>
            <w:r w:rsidR="00E31AE2">
              <w:t>(</w:t>
            </w:r>
            <w:r w:rsidR="0086684D" w:rsidRPr="00E31AE2">
              <w:t>BE</w:t>
            </w:r>
            <w:r w:rsidR="00E31AE2">
              <w:t>)</w:t>
            </w:r>
            <w:r w:rsidR="00287C5F" w:rsidRPr="00E31AE2">
              <w:t>,</w:t>
            </w:r>
            <w:r w:rsidR="0086684D" w:rsidRPr="00E31AE2">
              <w:t xml:space="preserve"> over 2016-17 </w:t>
            </w:r>
            <w:r w:rsidR="00E31AE2">
              <w:t>(</w:t>
            </w:r>
            <w:r w:rsidR="0086684D" w:rsidRPr="00E31AE2">
              <w:t>BE</w:t>
            </w:r>
            <w:r w:rsidR="00E31AE2">
              <w:t>)</w:t>
            </w:r>
            <w:bookmarkStart w:id="0" w:name="_GoBack"/>
            <w:bookmarkEnd w:id="0"/>
          </w:p>
        </w:tc>
      </w:tr>
    </w:tbl>
    <w:p w:rsidR="00C437D2" w:rsidRDefault="00C437D2" w:rsidP="0086684D">
      <w:pPr>
        <w:jc w:val="both"/>
      </w:pPr>
    </w:p>
    <w:p w:rsidR="00062E58" w:rsidRDefault="00EA6347" w:rsidP="0086684D">
      <w:pPr>
        <w:jc w:val="both"/>
      </w:pPr>
      <w:r>
        <w:t>There are around 43.7 crore informal workers in the country</w:t>
      </w:r>
      <w:r w:rsidR="00620027">
        <w:t>,</w:t>
      </w:r>
      <w:r>
        <w:t xml:space="preserve"> as per the 68</w:t>
      </w:r>
      <w:r w:rsidRPr="00EA6347">
        <w:rPr>
          <w:vertAlign w:val="superscript"/>
        </w:rPr>
        <w:t>th</w:t>
      </w:r>
      <w:r>
        <w:t xml:space="preserve"> round of </w:t>
      </w:r>
      <w:r w:rsidR="00C437D2">
        <w:t xml:space="preserve">National Sample Survey </w:t>
      </w:r>
      <w:proofErr w:type="spellStart"/>
      <w:r w:rsidR="00C437D2">
        <w:t>Organisation</w:t>
      </w:r>
      <w:proofErr w:type="spellEnd"/>
      <w:r w:rsidR="00C437D2">
        <w:t xml:space="preserve"> (</w:t>
      </w:r>
      <w:r w:rsidR="00062E58">
        <w:t>NSSO</w:t>
      </w:r>
      <w:r w:rsidR="00C437D2">
        <w:t>)</w:t>
      </w:r>
      <w:r>
        <w:t xml:space="preserve"> in 2011-12</w:t>
      </w:r>
      <w:r w:rsidR="00620027">
        <w:t>,</w:t>
      </w:r>
      <w:r>
        <w:t xml:space="preserve"> who contribute around 52 percent of the GDP of the nation. However, this large </w:t>
      </w:r>
      <w:r w:rsidR="00620027">
        <w:t xml:space="preserve">section </w:t>
      </w:r>
      <w:r>
        <w:t xml:space="preserve">of the </w:t>
      </w:r>
      <w:r w:rsidR="00620027">
        <w:t>population</w:t>
      </w:r>
      <w:r>
        <w:t xml:space="preserve"> are still not provided </w:t>
      </w:r>
      <w:r w:rsidR="00C437D2">
        <w:t xml:space="preserve">with </w:t>
      </w:r>
      <w:r>
        <w:t xml:space="preserve">adequate basic entitlements like pension, affordable health services, maternity benefits, insurance coverage etc. vis-à-vis the entitlements that are available to workers in the </w:t>
      </w:r>
      <w:proofErr w:type="spellStart"/>
      <w:r>
        <w:t>organised</w:t>
      </w:r>
      <w:proofErr w:type="spellEnd"/>
      <w:r>
        <w:t xml:space="preserve"> sector</w:t>
      </w:r>
      <w:r w:rsidR="00C11B46">
        <w:t xml:space="preserve">. Various interventions for providing social security to informal workers </w:t>
      </w:r>
      <w:r w:rsidR="00027612">
        <w:t>have</w:t>
      </w:r>
      <w:r w:rsidR="00C11B46">
        <w:t xml:space="preserve"> been listed in table </w:t>
      </w:r>
      <w:r w:rsidR="00620027">
        <w:t>16.</w:t>
      </w:r>
      <w:r w:rsidR="00C11B46">
        <w:t>1 below.</w:t>
      </w:r>
    </w:p>
    <w:p w:rsidR="009F75CA" w:rsidRDefault="00031843" w:rsidP="0086684D">
      <w:pPr>
        <w:spacing w:after="0" w:line="264" w:lineRule="exact"/>
        <w:ind w:left="900" w:right="-20"/>
      </w:pPr>
      <w:r w:rsidRPr="0086684D">
        <w:t xml:space="preserve">Table </w:t>
      </w:r>
      <w:r w:rsidR="008B3CD8" w:rsidRPr="0086684D">
        <w:t>16.</w:t>
      </w:r>
      <w:r w:rsidRPr="0086684D">
        <w:t xml:space="preserve">1: </w:t>
      </w:r>
      <w:r w:rsidR="0086684D" w:rsidRPr="0086684D">
        <w:rPr>
          <w:rFonts w:ascii="Calibri" w:eastAsia="Calibri" w:hAnsi="Calibri" w:cs="Calibri"/>
        </w:rPr>
        <w:t>Union Bud</w:t>
      </w:r>
      <w:r w:rsidR="0086684D" w:rsidRPr="0086684D">
        <w:rPr>
          <w:rFonts w:ascii="Calibri" w:eastAsia="Calibri" w:hAnsi="Calibri" w:cs="Calibri"/>
          <w:spacing w:val="-3"/>
        </w:rPr>
        <w:t>g</w:t>
      </w:r>
      <w:r w:rsidR="0086684D" w:rsidRPr="0086684D">
        <w:rPr>
          <w:rFonts w:ascii="Calibri" w:eastAsia="Calibri" w:hAnsi="Calibri" w:cs="Calibri"/>
          <w:spacing w:val="-1"/>
        </w:rPr>
        <w:t>e</w:t>
      </w:r>
      <w:r w:rsidR="0086684D" w:rsidRPr="0086684D">
        <w:rPr>
          <w:rFonts w:ascii="Calibri" w:eastAsia="Calibri" w:hAnsi="Calibri" w:cs="Calibri"/>
        </w:rPr>
        <w:t>t Outl</w:t>
      </w:r>
      <w:r w:rsidR="0086684D" w:rsidRPr="0086684D">
        <w:rPr>
          <w:rFonts w:ascii="Calibri" w:eastAsia="Calibri" w:hAnsi="Calibri" w:cs="Calibri"/>
          <w:spacing w:val="-4"/>
        </w:rPr>
        <w:t>a</w:t>
      </w:r>
      <w:r w:rsidR="0086684D" w:rsidRPr="0086684D">
        <w:rPr>
          <w:rFonts w:ascii="Calibri" w:eastAsia="Calibri" w:hAnsi="Calibri" w:cs="Calibri"/>
          <w:spacing w:val="-1"/>
        </w:rPr>
        <w:t>y</w:t>
      </w:r>
      <w:r w:rsidR="0086684D" w:rsidRPr="0086684D">
        <w:rPr>
          <w:rFonts w:ascii="Calibri" w:eastAsia="Calibri" w:hAnsi="Calibri" w:cs="Calibri"/>
        </w:rPr>
        <w:t xml:space="preserve">s </w:t>
      </w:r>
      <w:r w:rsidR="0086684D" w:rsidRPr="0086684D">
        <w:rPr>
          <w:rFonts w:ascii="Calibri" w:eastAsia="Calibri" w:hAnsi="Calibri" w:cs="Calibri"/>
          <w:spacing w:val="-3"/>
        </w:rPr>
        <w:t>f</w:t>
      </w:r>
      <w:r w:rsidR="0086684D" w:rsidRPr="0086684D">
        <w:rPr>
          <w:rFonts w:ascii="Calibri" w:eastAsia="Calibri" w:hAnsi="Calibri" w:cs="Calibri"/>
        </w:rPr>
        <w:t xml:space="preserve">or Social Security under </w:t>
      </w:r>
      <w:r w:rsidR="0086684D" w:rsidRPr="0086684D">
        <w:rPr>
          <w:rFonts w:ascii="Calibri" w:eastAsia="Calibri" w:hAnsi="Calibri" w:cs="Calibri"/>
          <w:spacing w:val="-12"/>
        </w:rPr>
        <w:t>V</w:t>
      </w:r>
      <w:r w:rsidR="0086684D" w:rsidRPr="0086684D">
        <w:rPr>
          <w:rFonts w:ascii="Calibri" w:eastAsia="Calibri" w:hAnsi="Calibri" w:cs="Calibri"/>
        </w:rPr>
        <w:t>arious Schemes (Rs. c</w:t>
      </w:r>
      <w:r w:rsidR="0086684D" w:rsidRPr="0086684D">
        <w:rPr>
          <w:rFonts w:ascii="Calibri" w:eastAsia="Calibri" w:hAnsi="Calibri" w:cs="Calibri"/>
          <w:spacing w:val="-3"/>
        </w:rPr>
        <w:t>r</w:t>
      </w:r>
      <w:r w:rsidR="0086684D" w:rsidRPr="0086684D">
        <w:rPr>
          <w:rFonts w:ascii="Calibri" w:eastAsia="Calibri" w:hAnsi="Calibri" w:cs="Calibri"/>
        </w:rPr>
        <w:t>o</w:t>
      </w:r>
      <w:r w:rsidR="0086684D" w:rsidRPr="0086684D">
        <w:rPr>
          <w:rFonts w:ascii="Calibri" w:eastAsia="Calibri" w:hAnsi="Calibri" w:cs="Calibri"/>
          <w:spacing w:val="-2"/>
        </w:rPr>
        <w:t>r</w:t>
      </w:r>
      <w:r w:rsidR="0086684D" w:rsidRPr="0086684D">
        <w:rPr>
          <w:rFonts w:ascii="Calibri" w:eastAsia="Calibri" w:hAnsi="Calibri" w:cs="Calibri"/>
        </w:rPr>
        <w:t>e)</w:t>
      </w:r>
    </w:p>
    <w:tbl>
      <w:tblPr>
        <w:tblW w:w="1011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2080"/>
        <w:gridCol w:w="960"/>
        <w:gridCol w:w="960"/>
        <w:gridCol w:w="960"/>
        <w:gridCol w:w="960"/>
        <w:gridCol w:w="960"/>
        <w:gridCol w:w="960"/>
        <w:gridCol w:w="960"/>
      </w:tblGrid>
      <w:tr w:rsidR="00031843" w:rsidRPr="00031843" w:rsidTr="0086684D">
        <w:trPr>
          <w:trHeight w:hRule="exact" w:val="730"/>
        </w:trPr>
        <w:tc>
          <w:tcPr>
            <w:tcW w:w="1317"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Ministry</w:t>
            </w:r>
          </w:p>
        </w:tc>
        <w:tc>
          <w:tcPr>
            <w:tcW w:w="2080"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Schemes</w:t>
            </w:r>
          </w:p>
        </w:tc>
        <w:tc>
          <w:tcPr>
            <w:tcW w:w="960"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 xml:space="preserve">2012-13 </w:t>
            </w:r>
            <w:r w:rsidR="00DB48BC">
              <w:rPr>
                <w:rFonts w:eastAsia="Times New Roman" w:cstheme="minorHAnsi"/>
                <w:color w:val="000000"/>
                <w:sz w:val="20"/>
                <w:szCs w:val="20"/>
                <w:lang w:bidi="hi-IN"/>
              </w:rPr>
              <w:t>(</w:t>
            </w:r>
            <w:r w:rsidRPr="00031843">
              <w:rPr>
                <w:rFonts w:eastAsia="Times New Roman" w:cstheme="minorHAnsi"/>
                <w:color w:val="000000"/>
                <w:sz w:val="20"/>
                <w:szCs w:val="20"/>
                <w:lang w:bidi="hi-IN"/>
              </w:rPr>
              <w:t>A</w:t>
            </w:r>
            <w:r w:rsidR="00DB48BC">
              <w:rPr>
                <w:rFonts w:eastAsia="Times New Roman" w:cstheme="minorHAnsi"/>
                <w:color w:val="000000"/>
                <w:sz w:val="20"/>
                <w:szCs w:val="20"/>
                <w:lang w:bidi="hi-IN"/>
              </w:rPr>
              <w:t>)</w:t>
            </w:r>
          </w:p>
        </w:tc>
        <w:tc>
          <w:tcPr>
            <w:tcW w:w="960"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 xml:space="preserve">2013-14 </w:t>
            </w:r>
            <w:r w:rsidR="00DB48BC">
              <w:rPr>
                <w:rFonts w:eastAsia="Times New Roman" w:cstheme="minorHAnsi"/>
                <w:color w:val="000000"/>
                <w:sz w:val="20"/>
                <w:szCs w:val="20"/>
                <w:lang w:bidi="hi-IN"/>
              </w:rPr>
              <w:t>(</w:t>
            </w:r>
            <w:r w:rsidR="00DB48BC" w:rsidRPr="00031843">
              <w:rPr>
                <w:rFonts w:eastAsia="Times New Roman" w:cstheme="minorHAnsi"/>
                <w:color w:val="000000"/>
                <w:sz w:val="20"/>
                <w:szCs w:val="20"/>
                <w:lang w:bidi="hi-IN"/>
              </w:rPr>
              <w:t>A</w:t>
            </w:r>
            <w:r w:rsidR="00DB48BC">
              <w:rPr>
                <w:rFonts w:eastAsia="Times New Roman" w:cstheme="minorHAnsi"/>
                <w:color w:val="000000"/>
                <w:sz w:val="20"/>
                <w:szCs w:val="20"/>
                <w:lang w:bidi="hi-IN"/>
              </w:rPr>
              <w:t>)</w:t>
            </w:r>
          </w:p>
        </w:tc>
        <w:tc>
          <w:tcPr>
            <w:tcW w:w="960"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 xml:space="preserve">2014-15 </w:t>
            </w:r>
            <w:r w:rsidR="00DB48BC">
              <w:rPr>
                <w:rFonts w:eastAsia="Times New Roman" w:cstheme="minorHAnsi"/>
                <w:color w:val="000000"/>
                <w:sz w:val="20"/>
                <w:szCs w:val="20"/>
                <w:lang w:bidi="hi-IN"/>
              </w:rPr>
              <w:t>(</w:t>
            </w:r>
            <w:r w:rsidR="00DB48BC" w:rsidRPr="00031843">
              <w:rPr>
                <w:rFonts w:eastAsia="Times New Roman" w:cstheme="minorHAnsi"/>
                <w:color w:val="000000"/>
                <w:sz w:val="20"/>
                <w:szCs w:val="20"/>
                <w:lang w:bidi="hi-IN"/>
              </w:rPr>
              <w:t>A</w:t>
            </w:r>
            <w:r w:rsidR="00DB48BC">
              <w:rPr>
                <w:rFonts w:eastAsia="Times New Roman" w:cstheme="minorHAnsi"/>
                <w:color w:val="000000"/>
                <w:sz w:val="20"/>
                <w:szCs w:val="20"/>
                <w:lang w:bidi="hi-IN"/>
              </w:rPr>
              <w:t>)</w:t>
            </w:r>
          </w:p>
        </w:tc>
        <w:tc>
          <w:tcPr>
            <w:tcW w:w="960"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 xml:space="preserve">2015-16 </w:t>
            </w:r>
            <w:r w:rsidR="00DB48BC">
              <w:rPr>
                <w:rFonts w:eastAsia="Times New Roman" w:cstheme="minorHAnsi"/>
                <w:color w:val="000000"/>
                <w:sz w:val="20"/>
                <w:szCs w:val="20"/>
                <w:lang w:bidi="hi-IN"/>
              </w:rPr>
              <w:t>(</w:t>
            </w:r>
            <w:r w:rsidR="00DB48BC" w:rsidRPr="00031843">
              <w:rPr>
                <w:rFonts w:eastAsia="Times New Roman" w:cstheme="minorHAnsi"/>
                <w:color w:val="000000"/>
                <w:sz w:val="20"/>
                <w:szCs w:val="20"/>
                <w:lang w:bidi="hi-IN"/>
              </w:rPr>
              <w:t>A</w:t>
            </w:r>
            <w:r w:rsidR="00DB48BC">
              <w:rPr>
                <w:rFonts w:eastAsia="Times New Roman" w:cstheme="minorHAnsi"/>
                <w:color w:val="000000"/>
                <w:sz w:val="20"/>
                <w:szCs w:val="20"/>
                <w:lang w:bidi="hi-IN"/>
              </w:rPr>
              <w:t>)</w:t>
            </w:r>
          </w:p>
        </w:tc>
        <w:tc>
          <w:tcPr>
            <w:tcW w:w="960"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2016-17 (BE)</w:t>
            </w:r>
          </w:p>
        </w:tc>
        <w:tc>
          <w:tcPr>
            <w:tcW w:w="960"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2016-17 (RE)</w:t>
            </w:r>
          </w:p>
        </w:tc>
        <w:tc>
          <w:tcPr>
            <w:tcW w:w="960" w:type="dxa"/>
            <w:shd w:val="clear" w:color="auto" w:fill="auto"/>
            <w:noWrap/>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2017-18 (BE)</w:t>
            </w:r>
          </w:p>
        </w:tc>
      </w:tr>
      <w:tr w:rsidR="00031843" w:rsidRPr="00031843" w:rsidTr="0086684D">
        <w:trPr>
          <w:trHeight w:hRule="exact" w:val="1495"/>
        </w:trPr>
        <w:tc>
          <w:tcPr>
            <w:tcW w:w="1317" w:type="dxa"/>
            <w:vMerge w:val="restart"/>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Labour and Employment</w:t>
            </w:r>
          </w:p>
          <w:p w:rsidR="00031843" w:rsidRPr="00031843" w:rsidRDefault="00031843" w:rsidP="00031843">
            <w:pPr>
              <w:spacing w:after="0" w:line="240" w:lineRule="auto"/>
              <w:rPr>
                <w:rFonts w:eastAsia="Times New Roman" w:cstheme="minorHAnsi"/>
                <w:color w:val="000000"/>
                <w:sz w:val="20"/>
                <w:szCs w:val="20"/>
                <w:lang w:bidi="hi-IN"/>
              </w:rPr>
            </w:pP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 xml:space="preserve">Creation of National Platform of Unorganized Workers and allotment of an </w:t>
            </w:r>
            <w:proofErr w:type="spellStart"/>
            <w:r w:rsidRPr="00031843">
              <w:rPr>
                <w:rFonts w:eastAsia="Times New Roman" w:cstheme="minorHAnsi"/>
                <w:i/>
                <w:iCs/>
                <w:color w:val="000000"/>
                <w:sz w:val="20"/>
                <w:szCs w:val="20"/>
                <w:lang w:bidi="hi-IN"/>
              </w:rPr>
              <w:t>Aadhaar</w:t>
            </w:r>
            <w:proofErr w:type="spellEnd"/>
            <w:r w:rsidRPr="00031843">
              <w:rPr>
                <w:rFonts w:eastAsia="Times New Roman" w:cstheme="minorHAnsi"/>
                <w:i/>
                <w:iCs/>
                <w:color w:val="000000"/>
                <w:sz w:val="20"/>
                <w:szCs w:val="20"/>
                <w:lang w:bidi="hi-IN"/>
              </w:rPr>
              <w:t xml:space="preserve"> </w:t>
            </w:r>
            <w:r w:rsidRPr="00031843">
              <w:rPr>
                <w:rFonts w:eastAsia="Times New Roman" w:cstheme="minorHAnsi"/>
                <w:color w:val="000000"/>
                <w:sz w:val="20"/>
                <w:szCs w:val="20"/>
                <w:lang w:bidi="hi-IN"/>
              </w:rPr>
              <w:t>seeded identification numbers</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45.3</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144.5</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0.5</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100.0</w:t>
            </w:r>
          </w:p>
        </w:tc>
      </w:tr>
      <w:tr w:rsidR="00031843" w:rsidRPr="00031843" w:rsidTr="0086684D">
        <w:trPr>
          <w:trHeight w:val="710"/>
        </w:trPr>
        <w:tc>
          <w:tcPr>
            <w:tcW w:w="1317" w:type="dxa"/>
            <w:vMerge/>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 xml:space="preserve">Social Security for </w:t>
            </w:r>
            <w:proofErr w:type="spellStart"/>
            <w:r w:rsidRPr="00031843">
              <w:rPr>
                <w:rFonts w:eastAsia="Times New Roman" w:cstheme="minorHAnsi"/>
                <w:color w:val="000000"/>
                <w:sz w:val="20"/>
                <w:szCs w:val="20"/>
                <w:lang w:bidi="hi-IN"/>
              </w:rPr>
              <w:t>unorganised</w:t>
            </w:r>
            <w:proofErr w:type="spellEnd"/>
            <w:r w:rsidRPr="00031843">
              <w:rPr>
                <w:rFonts w:eastAsia="Times New Roman" w:cstheme="minorHAnsi"/>
                <w:color w:val="000000"/>
                <w:sz w:val="20"/>
                <w:szCs w:val="20"/>
                <w:lang w:bidi="hi-IN"/>
              </w:rPr>
              <w:t xml:space="preserve"> Workers (RSBY)</w:t>
            </w:r>
            <w:r w:rsidR="00DB48BC">
              <w:rPr>
                <w:rFonts w:eastAsia="Times New Roman" w:cstheme="minorHAnsi"/>
                <w:color w:val="000000"/>
                <w:sz w:val="20"/>
                <w:szCs w:val="20"/>
                <w:lang w:bidi="hi-IN"/>
              </w:rPr>
              <w:t>*</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1001.7</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887.6</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550.7</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r>
      <w:tr w:rsidR="00031843" w:rsidRPr="00031843" w:rsidTr="0086684D">
        <w:trPr>
          <w:trHeight w:val="737"/>
        </w:trPr>
        <w:tc>
          <w:tcPr>
            <w:tcW w:w="1317"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Health and Family Welfare</w:t>
            </w: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National Health Protection Scheme</w:t>
            </w:r>
            <w:r w:rsidR="008E21D8">
              <w:rPr>
                <w:rFonts w:eastAsia="Times New Roman" w:cstheme="minorHAnsi"/>
                <w:color w:val="000000"/>
                <w:sz w:val="20"/>
                <w:szCs w:val="20"/>
                <w:lang w:bidi="hi-IN"/>
              </w:rPr>
              <w:t>/RSSY</w:t>
            </w:r>
            <w:r w:rsidR="00DB48BC">
              <w:rPr>
                <w:rFonts w:eastAsia="Times New Roman" w:cstheme="minorHAnsi"/>
                <w:color w:val="000000"/>
                <w:sz w:val="20"/>
                <w:szCs w:val="20"/>
                <w:lang w:bidi="hi-IN"/>
              </w:rPr>
              <w:t>*</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1500.0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723.8</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1000.0</w:t>
            </w:r>
          </w:p>
        </w:tc>
      </w:tr>
      <w:tr w:rsidR="00031843" w:rsidRPr="00031843" w:rsidTr="0086684D">
        <w:trPr>
          <w:trHeight w:hRule="exact" w:val="676"/>
        </w:trPr>
        <w:tc>
          <w:tcPr>
            <w:tcW w:w="1317"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Rural Development</w:t>
            </w: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National Social Assistance Programme</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7824.8</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9046.0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7086.7</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8616.4</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9500.0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9500.0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9500.0</w:t>
            </w:r>
          </w:p>
        </w:tc>
      </w:tr>
      <w:tr w:rsidR="00031843" w:rsidRPr="00031843" w:rsidTr="0086684D">
        <w:trPr>
          <w:trHeight w:val="431"/>
        </w:trPr>
        <w:tc>
          <w:tcPr>
            <w:tcW w:w="1317" w:type="dxa"/>
            <w:vMerge w:val="restart"/>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Finance (Dept. of Financial Services)</w:t>
            </w:r>
          </w:p>
          <w:p w:rsidR="00031843" w:rsidRPr="00031843" w:rsidRDefault="00031843" w:rsidP="00031843">
            <w:pPr>
              <w:spacing w:after="0" w:line="240" w:lineRule="auto"/>
              <w:rPr>
                <w:rFonts w:eastAsia="Times New Roman" w:cstheme="minorHAnsi"/>
                <w:color w:val="000000"/>
                <w:sz w:val="20"/>
                <w:szCs w:val="20"/>
                <w:lang w:bidi="hi-IN"/>
              </w:rPr>
            </w:pPr>
          </w:p>
          <w:p w:rsidR="00031843" w:rsidRPr="00031843" w:rsidRDefault="00031843" w:rsidP="00031843">
            <w:pPr>
              <w:spacing w:after="0" w:line="240" w:lineRule="auto"/>
              <w:rPr>
                <w:rFonts w:eastAsia="Times New Roman" w:cstheme="minorHAnsi"/>
                <w:color w:val="000000"/>
                <w:sz w:val="20"/>
                <w:szCs w:val="20"/>
                <w:lang w:bidi="hi-IN"/>
              </w:rPr>
            </w:pPr>
          </w:p>
          <w:p w:rsidR="00031843" w:rsidRPr="00031843" w:rsidRDefault="00031843" w:rsidP="00031843">
            <w:pPr>
              <w:spacing w:after="0" w:line="240" w:lineRule="auto"/>
              <w:rPr>
                <w:rFonts w:eastAsia="Times New Roman" w:cstheme="minorHAnsi"/>
                <w:color w:val="000000"/>
                <w:sz w:val="20"/>
                <w:szCs w:val="20"/>
                <w:lang w:bidi="hi-IN"/>
              </w:rPr>
            </w:pPr>
          </w:p>
          <w:p w:rsidR="00031843" w:rsidRPr="00031843" w:rsidRDefault="00031843" w:rsidP="00031843">
            <w:pPr>
              <w:spacing w:after="0" w:line="240" w:lineRule="auto"/>
              <w:rPr>
                <w:rFonts w:eastAsia="Times New Roman" w:cstheme="minorHAnsi"/>
                <w:color w:val="000000"/>
                <w:sz w:val="20"/>
                <w:szCs w:val="20"/>
                <w:lang w:bidi="hi-IN"/>
              </w:rPr>
            </w:pP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proofErr w:type="spellStart"/>
            <w:r w:rsidRPr="00031843">
              <w:rPr>
                <w:rFonts w:eastAsia="Times New Roman" w:cstheme="minorHAnsi"/>
                <w:i/>
                <w:iCs/>
                <w:color w:val="000000"/>
                <w:sz w:val="20"/>
                <w:szCs w:val="20"/>
                <w:lang w:bidi="hi-IN"/>
              </w:rPr>
              <w:lastRenderedPageBreak/>
              <w:t>Swavalamban</w:t>
            </w:r>
            <w:proofErr w:type="spellEnd"/>
            <w:r w:rsidRPr="00031843">
              <w:rPr>
                <w:rFonts w:eastAsia="Times New Roman" w:cstheme="minorHAnsi"/>
                <w:color w:val="000000"/>
                <w:sz w:val="20"/>
                <w:szCs w:val="20"/>
                <w:lang w:bidi="hi-IN"/>
              </w:rPr>
              <w:t xml:space="preserve"> Scheme</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104.4</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152.9</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195.0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250.6</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209.0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50.0</w:t>
            </w:r>
          </w:p>
        </w:tc>
      </w:tr>
      <w:tr w:rsidR="00031843" w:rsidRPr="00031843" w:rsidTr="0086684D">
        <w:trPr>
          <w:trHeight w:val="620"/>
        </w:trPr>
        <w:tc>
          <w:tcPr>
            <w:tcW w:w="1317" w:type="dxa"/>
            <w:vMerge/>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 xml:space="preserve">Govt. contribution to </w:t>
            </w:r>
            <w:proofErr w:type="spellStart"/>
            <w:r w:rsidRPr="00031843">
              <w:rPr>
                <w:rFonts w:eastAsia="Times New Roman" w:cstheme="minorHAnsi"/>
                <w:i/>
                <w:iCs/>
                <w:color w:val="000000"/>
                <w:sz w:val="20"/>
                <w:szCs w:val="20"/>
                <w:lang w:bidi="hi-IN"/>
              </w:rPr>
              <w:t>Aam</w:t>
            </w:r>
            <w:proofErr w:type="spellEnd"/>
            <w:r w:rsidRPr="00031843">
              <w:rPr>
                <w:rFonts w:eastAsia="Times New Roman" w:cstheme="minorHAnsi"/>
                <w:i/>
                <w:iCs/>
                <w:color w:val="000000"/>
                <w:sz w:val="20"/>
                <w:szCs w:val="20"/>
                <w:lang w:bidi="hi-IN"/>
              </w:rPr>
              <w:t xml:space="preserve"> </w:t>
            </w:r>
            <w:proofErr w:type="spellStart"/>
            <w:r w:rsidRPr="00031843">
              <w:rPr>
                <w:rFonts w:eastAsia="Times New Roman" w:cstheme="minorHAnsi"/>
                <w:i/>
                <w:iCs/>
                <w:color w:val="000000"/>
                <w:sz w:val="20"/>
                <w:szCs w:val="20"/>
                <w:lang w:bidi="hi-IN"/>
              </w:rPr>
              <w:t>Admi</w:t>
            </w:r>
            <w:proofErr w:type="spellEnd"/>
            <w:r w:rsidRPr="00031843">
              <w:rPr>
                <w:rFonts w:eastAsia="Times New Roman" w:cstheme="minorHAnsi"/>
                <w:i/>
                <w:iCs/>
                <w:color w:val="000000"/>
                <w:sz w:val="20"/>
                <w:szCs w:val="20"/>
                <w:lang w:bidi="hi-IN"/>
              </w:rPr>
              <w:t xml:space="preserve"> </w:t>
            </w:r>
            <w:proofErr w:type="spellStart"/>
            <w:r w:rsidRPr="00031843">
              <w:rPr>
                <w:rFonts w:eastAsia="Times New Roman" w:cstheme="minorHAnsi"/>
                <w:i/>
                <w:iCs/>
                <w:color w:val="000000"/>
                <w:sz w:val="20"/>
                <w:szCs w:val="20"/>
                <w:lang w:bidi="hi-IN"/>
              </w:rPr>
              <w:t>Bima</w:t>
            </w:r>
            <w:proofErr w:type="spellEnd"/>
            <w:r w:rsidRPr="00031843">
              <w:rPr>
                <w:rFonts w:eastAsia="Times New Roman" w:cstheme="minorHAnsi"/>
                <w:i/>
                <w:iCs/>
                <w:color w:val="000000"/>
                <w:sz w:val="20"/>
                <w:szCs w:val="20"/>
                <w:lang w:bidi="hi-IN"/>
              </w:rPr>
              <w:t xml:space="preserve"> </w:t>
            </w:r>
            <w:proofErr w:type="spellStart"/>
            <w:r w:rsidRPr="00031843">
              <w:rPr>
                <w:rFonts w:eastAsia="Times New Roman" w:cstheme="minorHAnsi"/>
                <w:i/>
                <w:iCs/>
                <w:color w:val="000000"/>
                <w:sz w:val="20"/>
                <w:szCs w:val="20"/>
                <w:lang w:bidi="hi-IN"/>
              </w:rPr>
              <w:t>Yojana</w:t>
            </w:r>
            <w:proofErr w:type="spellEnd"/>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4.5</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175.0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437.5</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450.0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100.0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350.0</w:t>
            </w:r>
          </w:p>
        </w:tc>
      </w:tr>
      <w:tr w:rsidR="00031843" w:rsidRPr="00031843" w:rsidTr="0086684D">
        <w:trPr>
          <w:trHeight w:val="300"/>
        </w:trPr>
        <w:tc>
          <w:tcPr>
            <w:tcW w:w="1317" w:type="dxa"/>
            <w:vMerge/>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i/>
                <w:iCs/>
                <w:color w:val="000000"/>
                <w:sz w:val="20"/>
                <w:szCs w:val="20"/>
                <w:lang w:bidi="hi-IN"/>
              </w:rPr>
            </w:pPr>
            <w:r w:rsidRPr="00031843">
              <w:rPr>
                <w:rFonts w:eastAsia="Times New Roman" w:cstheme="minorHAnsi"/>
                <w:i/>
                <w:iCs/>
                <w:color w:val="000000"/>
                <w:sz w:val="20"/>
                <w:szCs w:val="20"/>
                <w:lang w:bidi="hi-IN"/>
              </w:rPr>
              <w:t xml:space="preserve">Atal </w:t>
            </w:r>
            <w:r w:rsidRPr="00031843">
              <w:rPr>
                <w:rFonts w:eastAsia="Times New Roman" w:cstheme="minorHAnsi"/>
                <w:color w:val="000000"/>
                <w:sz w:val="20"/>
                <w:szCs w:val="20"/>
                <w:lang w:bidi="hi-IN"/>
              </w:rPr>
              <w:t>Pension</w:t>
            </w:r>
            <w:r w:rsidRPr="00031843">
              <w:rPr>
                <w:rFonts w:eastAsia="Times New Roman" w:cstheme="minorHAnsi"/>
                <w:i/>
                <w:iCs/>
                <w:color w:val="000000"/>
                <w:sz w:val="20"/>
                <w:szCs w:val="20"/>
                <w:lang w:bidi="hi-IN"/>
              </w:rPr>
              <w:t xml:space="preserve"> Yojana</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173.0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200.0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40.0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155.0</w:t>
            </w:r>
          </w:p>
        </w:tc>
      </w:tr>
      <w:tr w:rsidR="00031843" w:rsidRPr="00031843" w:rsidTr="0086684D">
        <w:trPr>
          <w:trHeight w:val="557"/>
        </w:trPr>
        <w:tc>
          <w:tcPr>
            <w:tcW w:w="1317" w:type="dxa"/>
            <w:vMerge/>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Interest Subsidy to LIC for Pension Plan for Senior Citizens</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99.5</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115.8</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111.2</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101.8</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171.9</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136.6</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250.0</w:t>
            </w:r>
          </w:p>
        </w:tc>
      </w:tr>
      <w:tr w:rsidR="00031843" w:rsidRPr="00031843" w:rsidTr="0086684D">
        <w:trPr>
          <w:trHeight w:val="780"/>
        </w:trPr>
        <w:tc>
          <w:tcPr>
            <w:tcW w:w="1317" w:type="dxa"/>
            <w:vMerge/>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i/>
                <w:iCs/>
                <w:color w:val="000000"/>
                <w:sz w:val="20"/>
                <w:szCs w:val="20"/>
                <w:lang w:bidi="hi-IN"/>
              </w:rPr>
              <w:t xml:space="preserve">Pradhan </w:t>
            </w:r>
            <w:proofErr w:type="spellStart"/>
            <w:r w:rsidRPr="00031843">
              <w:rPr>
                <w:rFonts w:eastAsia="Times New Roman" w:cstheme="minorHAnsi"/>
                <w:i/>
                <w:iCs/>
                <w:color w:val="000000"/>
                <w:sz w:val="20"/>
                <w:szCs w:val="20"/>
                <w:lang w:bidi="hi-IN"/>
              </w:rPr>
              <w:t>Mantri</w:t>
            </w:r>
            <w:proofErr w:type="spellEnd"/>
            <w:r w:rsidRPr="00031843">
              <w:rPr>
                <w:rFonts w:eastAsia="Times New Roman" w:cstheme="minorHAnsi"/>
                <w:i/>
                <w:iCs/>
                <w:color w:val="000000"/>
                <w:sz w:val="20"/>
                <w:szCs w:val="20"/>
                <w:lang w:bidi="hi-IN"/>
              </w:rPr>
              <w:t xml:space="preserve"> Jeevan </w:t>
            </w:r>
            <w:proofErr w:type="spellStart"/>
            <w:r w:rsidRPr="00031843">
              <w:rPr>
                <w:rFonts w:eastAsia="Times New Roman" w:cstheme="minorHAnsi"/>
                <w:i/>
                <w:iCs/>
                <w:color w:val="000000"/>
                <w:sz w:val="20"/>
                <w:szCs w:val="20"/>
                <w:lang w:bidi="hi-IN"/>
              </w:rPr>
              <w:t>Jyoti</w:t>
            </w:r>
            <w:proofErr w:type="spellEnd"/>
            <w:r w:rsidRPr="00031843">
              <w:rPr>
                <w:rFonts w:eastAsia="Times New Roman" w:cstheme="minorHAnsi"/>
                <w:i/>
                <w:iCs/>
                <w:color w:val="000000"/>
                <w:sz w:val="20"/>
                <w:szCs w:val="20"/>
                <w:lang w:bidi="hi-IN"/>
              </w:rPr>
              <w:t xml:space="preserve"> </w:t>
            </w:r>
            <w:proofErr w:type="spellStart"/>
            <w:r w:rsidRPr="00031843">
              <w:rPr>
                <w:rFonts w:eastAsia="Times New Roman" w:cstheme="minorHAnsi"/>
                <w:i/>
                <w:iCs/>
                <w:color w:val="000000"/>
                <w:sz w:val="20"/>
                <w:szCs w:val="20"/>
                <w:lang w:bidi="hi-IN"/>
              </w:rPr>
              <w:t>Bima</w:t>
            </w:r>
            <w:proofErr w:type="spellEnd"/>
            <w:r w:rsidRPr="00031843">
              <w:rPr>
                <w:rFonts w:eastAsia="Times New Roman" w:cstheme="minorHAnsi"/>
                <w:i/>
                <w:iCs/>
                <w:color w:val="000000"/>
                <w:sz w:val="20"/>
                <w:szCs w:val="20"/>
                <w:lang w:bidi="hi-IN"/>
              </w:rPr>
              <w:t xml:space="preserve"> </w:t>
            </w:r>
            <w:proofErr w:type="spellStart"/>
            <w:r w:rsidRPr="00031843">
              <w:rPr>
                <w:rFonts w:eastAsia="Times New Roman" w:cstheme="minorHAnsi"/>
                <w:i/>
                <w:iCs/>
                <w:color w:val="000000"/>
                <w:sz w:val="20"/>
                <w:szCs w:val="20"/>
                <w:lang w:bidi="hi-IN"/>
              </w:rPr>
              <w:t>Yoj</w:t>
            </w:r>
            <w:r w:rsidR="0017403C">
              <w:rPr>
                <w:rFonts w:eastAsia="Times New Roman" w:cstheme="minorHAnsi"/>
                <w:i/>
                <w:iCs/>
                <w:color w:val="000000"/>
                <w:sz w:val="20"/>
                <w:szCs w:val="20"/>
                <w:lang w:bidi="hi-IN"/>
              </w:rPr>
              <w:t>a</w:t>
            </w:r>
            <w:r w:rsidRPr="00031843">
              <w:rPr>
                <w:rFonts w:eastAsia="Times New Roman" w:cstheme="minorHAnsi"/>
                <w:i/>
                <w:iCs/>
                <w:color w:val="000000"/>
                <w:sz w:val="20"/>
                <w:szCs w:val="20"/>
                <w:lang w:bidi="hi-IN"/>
              </w:rPr>
              <w:t>na</w:t>
            </w:r>
            <w:proofErr w:type="spellEnd"/>
            <w:r w:rsidRPr="00031843">
              <w:rPr>
                <w:rFonts w:eastAsia="Times New Roman" w:cstheme="minorHAnsi"/>
                <w:color w:val="000000"/>
                <w:sz w:val="20"/>
                <w:szCs w:val="20"/>
                <w:lang w:bidi="hi-IN"/>
              </w:rPr>
              <w:t xml:space="preserve"> and </w:t>
            </w:r>
            <w:r w:rsidRPr="00031843">
              <w:rPr>
                <w:rFonts w:eastAsia="Times New Roman" w:cstheme="minorHAnsi"/>
                <w:i/>
                <w:iCs/>
                <w:color w:val="000000"/>
                <w:sz w:val="20"/>
                <w:szCs w:val="20"/>
                <w:lang w:bidi="hi-IN"/>
              </w:rPr>
              <w:t xml:space="preserve">Pradhan </w:t>
            </w:r>
            <w:proofErr w:type="spellStart"/>
            <w:r w:rsidRPr="00031843">
              <w:rPr>
                <w:rFonts w:eastAsia="Times New Roman" w:cstheme="minorHAnsi"/>
                <w:i/>
                <w:iCs/>
                <w:color w:val="000000"/>
                <w:sz w:val="20"/>
                <w:szCs w:val="20"/>
                <w:lang w:bidi="hi-IN"/>
              </w:rPr>
              <w:t>Mantri</w:t>
            </w:r>
            <w:proofErr w:type="spellEnd"/>
            <w:r w:rsidRPr="00031843">
              <w:rPr>
                <w:rFonts w:eastAsia="Times New Roman" w:cstheme="minorHAnsi"/>
                <w:i/>
                <w:iCs/>
                <w:color w:val="000000"/>
                <w:sz w:val="20"/>
                <w:szCs w:val="20"/>
                <w:lang w:bidi="hi-IN"/>
              </w:rPr>
              <w:t xml:space="preserve"> Suraksha </w:t>
            </w:r>
            <w:proofErr w:type="spellStart"/>
            <w:r w:rsidRPr="00031843">
              <w:rPr>
                <w:rFonts w:eastAsia="Times New Roman" w:cstheme="minorHAnsi"/>
                <w:i/>
                <w:iCs/>
                <w:color w:val="000000"/>
                <w:sz w:val="20"/>
                <w:szCs w:val="20"/>
                <w:lang w:bidi="hi-IN"/>
              </w:rPr>
              <w:t>Bima</w:t>
            </w:r>
            <w:proofErr w:type="spellEnd"/>
            <w:r w:rsidRPr="00031843">
              <w:rPr>
                <w:rFonts w:eastAsia="Times New Roman" w:cstheme="minorHAnsi"/>
                <w:i/>
                <w:iCs/>
                <w:color w:val="000000"/>
                <w:sz w:val="20"/>
                <w:szCs w:val="20"/>
                <w:lang w:bidi="hi-IN"/>
              </w:rPr>
              <w:t xml:space="preserve"> </w:t>
            </w:r>
            <w:proofErr w:type="spellStart"/>
            <w:r w:rsidRPr="00031843">
              <w:rPr>
                <w:rFonts w:eastAsia="Times New Roman" w:cstheme="minorHAnsi"/>
                <w:i/>
                <w:iCs/>
                <w:color w:val="000000"/>
                <w:sz w:val="20"/>
                <w:szCs w:val="20"/>
                <w:lang w:bidi="hi-IN"/>
              </w:rPr>
              <w:t>Yoj</w:t>
            </w:r>
            <w:r w:rsidR="0017403C">
              <w:rPr>
                <w:rFonts w:eastAsia="Times New Roman" w:cstheme="minorHAnsi"/>
                <w:i/>
                <w:iCs/>
                <w:color w:val="000000"/>
                <w:sz w:val="20"/>
                <w:szCs w:val="20"/>
                <w:lang w:bidi="hi-IN"/>
              </w:rPr>
              <w:t>a</w:t>
            </w:r>
            <w:r w:rsidRPr="00031843">
              <w:rPr>
                <w:rFonts w:eastAsia="Times New Roman" w:cstheme="minorHAnsi"/>
                <w:i/>
                <w:iCs/>
                <w:color w:val="000000"/>
                <w:sz w:val="20"/>
                <w:szCs w:val="20"/>
                <w:lang w:bidi="hi-IN"/>
              </w:rPr>
              <w:t>na</w:t>
            </w:r>
            <w:proofErr w:type="spellEnd"/>
            <w:r w:rsidRPr="00031843">
              <w:rPr>
                <w:rFonts w:eastAsia="Times New Roman" w:cstheme="minorHAnsi"/>
                <w:color w:val="000000"/>
                <w:sz w:val="20"/>
                <w:szCs w:val="20"/>
                <w:lang w:bidi="hi-IN"/>
              </w:rPr>
              <w:t xml:space="preserve"> (Publicity and Awareness)</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50.0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5.0</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20.0</w:t>
            </w:r>
          </w:p>
        </w:tc>
      </w:tr>
      <w:tr w:rsidR="00031843" w:rsidRPr="00031843" w:rsidTr="0086684D">
        <w:trPr>
          <w:trHeight w:hRule="exact" w:val="510"/>
        </w:trPr>
        <w:tc>
          <w:tcPr>
            <w:tcW w:w="1317"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r w:rsidRPr="00031843">
              <w:rPr>
                <w:rFonts w:eastAsia="Times New Roman" w:cstheme="minorHAnsi"/>
                <w:color w:val="000000"/>
                <w:sz w:val="20"/>
                <w:szCs w:val="20"/>
                <w:lang w:bidi="hi-IN"/>
              </w:rPr>
              <w:t>Grand Total</w:t>
            </w:r>
          </w:p>
        </w:tc>
        <w:tc>
          <w:tcPr>
            <w:tcW w:w="2080" w:type="dxa"/>
            <w:shd w:val="clear" w:color="auto" w:fill="auto"/>
            <w:vAlign w:val="center"/>
            <w:hideMark/>
          </w:tcPr>
          <w:p w:rsidR="00031843" w:rsidRPr="00031843" w:rsidRDefault="00031843" w:rsidP="00031843">
            <w:pPr>
              <w:spacing w:after="0" w:line="240" w:lineRule="auto"/>
              <w:rPr>
                <w:rFonts w:eastAsia="Times New Roman" w:cstheme="minorHAnsi"/>
                <w:color w:val="000000"/>
                <w:sz w:val="20"/>
                <w:szCs w:val="20"/>
                <w:lang w:bidi="hi-IN"/>
              </w:rPr>
            </w:pP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9030.4</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10206.8</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8118.6</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9624.7</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12225.4</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10505.9</w:t>
            </w:r>
          </w:p>
        </w:tc>
        <w:tc>
          <w:tcPr>
            <w:tcW w:w="960" w:type="dxa"/>
            <w:shd w:val="clear" w:color="auto" w:fill="auto"/>
            <w:vAlign w:val="center"/>
            <w:hideMark/>
          </w:tcPr>
          <w:p w:rsidR="00031843" w:rsidRPr="00031843" w:rsidRDefault="00031843" w:rsidP="00031843">
            <w:pPr>
              <w:spacing w:after="0" w:line="240" w:lineRule="auto"/>
              <w:jc w:val="center"/>
              <w:rPr>
                <w:rFonts w:eastAsia="Times New Roman" w:cstheme="minorHAnsi"/>
                <w:color w:val="000000"/>
                <w:sz w:val="20"/>
                <w:szCs w:val="20"/>
                <w:lang w:bidi="hi-IN"/>
              </w:rPr>
            </w:pPr>
            <w:r w:rsidRPr="00031843">
              <w:rPr>
                <w:rFonts w:eastAsia="Times New Roman" w:cstheme="minorHAnsi"/>
                <w:color w:val="000000"/>
                <w:sz w:val="20"/>
                <w:szCs w:val="20"/>
                <w:lang w:bidi="hi-IN"/>
              </w:rPr>
              <w:t>11425.0</w:t>
            </w:r>
          </w:p>
        </w:tc>
      </w:tr>
    </w:tbl>
    <w:p w:rsidR="00287C5F" w:rsidRDefault="00DB48BC" w:rsidP="0086684D">
      <w:pPr>
        <w:jc w:val="both"/>
      </w:pPr>
      <w:r w:rsidRPr="0086684D">
        <w:rPr>
          <w:i/>
          <w:iCs/>
        </w:rPr>
        <w:t>Note:</w:t>
      </w:r>
      <w:r>
        <w:t xml:space="preserve"> </w:t>
      </w:r>
      <w:r w:rsidR="00A7489C">
        <w:t>*</w:t>
      </w:r>
      <w:proofErr w:type="spellStart"/>
      <w:r w:rsidR="00A7489C" w:rsidRPr="00A7489C">
        <w:rPr>
          <w:i/>
          <w:iCs/>
        </w:rPr>
        <w:t>Rashtriya</w:t>
      </w:r>
      <w:proofErr w:type="spellEnd"/>
      <w:r w:rsidR="00A7489C" w:rsidRPr="00A7489C">
        <w:rPr>
          <w:i/>
          <w:iCs/>
        </w:rPr>
        <w:t xml:space="preserve"> </w:t>
      </w:r>
      <w:proofErr w:type="spellStart"/>
      <w:r w:rsidR="00A7489C" w:rsidRPr="00A7489C">
        <w:rPr>
          <w:i/>
          <w:iCs/>
        </w:rPr>
        <w:t>Swasthya</w:t>
      </w:r>
      <w:proofErr w:type="spellEnd"/>
      <w:r w:rsidR="00A7489C" w:rsidRPr="00A7489C">
        <w:rPr>
          <w:i/>
          <w:iCs/>
        </w:rPr>
        <w:t xml:space="preserve"> </w:t>
      </w:r>
      <w:proofErr w:type="spellStart"/>
      <w:r w:rsidR="00A7489C" w:rsidRPr="00A7489C">
        <w:rPr>
          <w:i/>
          <w:iCs/>
        </w:rPr>
        <w:t>Bima</w:t>
      </w:r>
      <w:proofErr w:type="spellEnd"/>
      <w:r w:rsidR="00A7489C" w:rsidRPr="00A7489C">
        <w:rPr>
          <w:i/>
          <w:iCs/>
        </w:rPr>
        <w:t xml:space="preserve"> </w:t>
      </w:r>
      <w:proofErr w:type="spellStart"/>
      <w:r w:rsidR="00A7489C" w:rsidRPr="00A7489C">
        <w:rPr>
          <w:i/>
          <w:iCs/>
        </w:rPr>
        <w:t>Yojana</w:t>
      </w:r>
      <w:proofErr w:type="spellEnd"/>
      <w:r w:rsidR="00A7489C">
        <w:t xml:space="preserve"> (</w:t>
      </w:r>
      <w:r>
        <w:t>RSBY</w:t>
      </w:r>
      <w:r w:rsidR="00A7489C">
        <w:t>),</w:t>
      </w:r>
      <w:r w:rsidR="00DF5EC4">
        <w:t xml:space="preserve"> which was under </w:t>
      </w:r>
      <w:r w:rsidR="00A7489C">
        <w:t xml:space="preserve">the </w:t>
      </w:r>
      <w:r w:rsidR="00DF5EC4">
        <w:t xml:space="preserve">Ministry of </w:t>
      </w:r>
      <w:r w:rsidR="00A7489C">
        <w:t xml:space="preserve">Labour and Employment was shifted to Ministry of Health and Family Welfare and renamed as </w:t>
      </w:r>
      <w:r w:rsidR="00A7489C">
        <w:rPr>
          <w:rStyle w:val="apple-converted-space"/>
          <w:rFonts w:ascii="Arial" w:hAnsi="Arial" w:cs="Arial"/>
          <w:color w:val="545454"/>
          <w:shd w:val="clear" w:color="auto" w:fill="FFFFFF"/>
        </w:rPr>
        <w:t> </w:t>
      </w:r>
      <w:proofErr w:type="spellStart"/>
      <w:r w:rsidR="00A7489C" w:rsidRPr="00A7489C">
        <w:rPr>
          <w:i/>
          <w:iCs/>
        </w:rPr>
        <w:t>Rashtriya</w:t>
      </w:r>
      <w:proofErr w:type="spellEnd"/>
      <w:r w:rsidR="00A7489C" w:rsidRPr="00A7489C">
        <w:rPr>
          <w:i/>
          <w:iCs/>
        </w:rPr>
        <w:t xml:space="preserve"> </w:t>
      </w:r>
      <w:proofErr w:type="spellStart"/>
      <w:r w:rsidR="00A7489C" w:rsidRPr="00A7489C">
        <w:rPr>
          <w:i/>
          <w:iCs/>
        </w:rPr>
        <w:t>Swasthya</w:t>
      </w:r>
      <w:proofErr w:type="spellEnd"/>
      <w:r w:rsidR="00A7489C" w:rsidRPr="00A7489C">
        <w:rPr>
          <w:i/>
          <w:iCs/>
        </w:rPr>
        <w:t xml:space="preserve"> Surak</w:t>
      </w:r>
      <w:r w:rsidR="00A7489C">
        <w:rPr>
          <w:i/>
          <w:iCs/>
        </w:rPr>
        <w:t>sh</w:t>
      </w:r>
      <w:r w:rsidR="00A7489C" w:rsidRPr="00A7489C">
        <w:rPr>
          <w:i/>
          <w:iCs/>
        </w:rPr>
        <w:t xml:space="preserve">a </w:t>
      </w:r>
      <w:proofErr w:type="spellStart"/>
      <w:r w:rsidR="00A7489C" w:rsidRPr="00A7489C">
        <w:rPr>
          <w:i/>
          <w:iCs/>
        </w:rPr>
        <w:t>Yojana</w:t>
      </w:r>
      <w:proofErr w:type="spellEnd"/>
      <w:r w:rsidR="00A7489C">
        <w:rPr>
          <w:i/>
          <w:iCs/>
        </w:rPr>
        <w:t xml:space="preserve"> </w:t>
      </w:r>
      <w:r w:rsidR="00A7489C">
        <w:t>(RSSY) and has been again renamed as National Health Protectio</w:t>
      </w:r>
      <w:r w:rsidR="00287C5F">
        <w:t>n Scheme in the current budget;</w:t>
      </w:r>
    </w:p>
    <w:p w:rsidR="00031843" w:rsidRDefault="00A7489C" w:rsidP="0086684D">
      <w:pPr>
        <w:jc w:val="both"/>
      </w:pPr>
      <w:r w:rsidRPr="0086684D">
        <w:rPr>
          <w:i/>
          <w:iCs/>
        </w:rPr>
        <w:t>Source:</w:t>
      </w:r>
      <w:r w:rsidR="0086684D">
        <w:t xml:space="preserve"> Compiled by CBGA from Union Budget documents, various years.</w:t>
      </w:r>
    </w:p>
    <w:p w:rsidR="00633C3D" w:rsidRPr="00633C3D" w:rsidRDefault="00633C3D" w:rsidP="00633C3D">
      <w:pPr>
        <w:spacing w:after="0" w:line="260" w:lineRule="exact"/>
        <w:jc w:val="center"/>
        <w:rPr>
          <w:rFonts w:ascii="Calibri" w:eastAsia="Calibri" w:hAnsi="Calibri" w:cs="Calibri"/>
        </w:rPr>
      </w:pPr>
      <w:r w:rsidRPr="00633C3D">
        <w:t xml:space="preserve">Figure 16.1: </w:t>
      </w:r>
      <w:r w:rsidRPr="00633C3D">
        <w:rPr>
          <w:rFonts w:ascii="Calibri" w:eastAsia="Calibri" w:hAnsi="Calibri" w:cs="Calibri"/>
          <w:spacing w:val="-19"/>
        </w:rPr>
        <w:t>T</w:t>
      </w:r>
      <w:r w:rsidRPr="00633C3D">
        <w:rPr>
          <w:rFonts w:ascii="Calibri" w:eastAsia="Calibri" w:hAnsi="Calibri" w:cs="Calibri"/>
        </w:rPr>
        <w:t>o</w:t>
      </w:r>
      <w:r w:rsidRPr="00633C3D">
        <w:rPr>
          <w:rFonts w:ascii="Calibri" w:eastAsia="Calibri" w:hAnsi="Calibri" w:cs="Calibri"/>
          <w:spacing w:val="-2"/>
        </w:rPr>
        <w:t>t</w:t>
      </w:r>
      <w:r w:rsidRPr="00633C3D">
        <w:rPr>
          <w:rFonts w:ascii="Calibri" w:eastAsia="Calibri" w:hAnsi="Calibri" w:cs="Calibri"/>
        </w:rPr>
        <w:t>al Union Bud</w:t>
      </w:r>
      <w:r w:rsidRPr="00633C3D">
        <w:rPr>
          <w:rFonts w:ascii="Calibri" w:eastAsia="Calibri" w:hAnsi="Calibri" w:cs="Calibri"/>
          <w:spacing w:val="-3"/>
        </w:rPr>
        <w:t>g</w:t>
      </w:r>
      <w:r w:rsidRPr="00633C3D">
        <w:rPr>
          <w:rFonts w:ascii="Calibri" w:eastAsia="Calibri" w:hAnsi="Calibri" w:cs="Calibri"/>
          <w:spacing w:val="-1"/>
        </w:rPr>
        <w:t>e</w:t>
      </w:r>
      <w:r w:rsidRPr="00633C3D">
        <w:rPr>
          <w:rFonts w:ascii="Calibri" w:eastAsia="Calibri" w:hAnsi="Calibri" w:cs="Calibri"/>
        </w:rPr>
        <w:t>t Allo</w:t>
      </w:r>
      <w:r w:rsidRPr="00633C3D">
        <w:rPr>
          <w:rFonts w:ascii="Calibri" w:eastAsia="Calibri" w:hAnsi="Calibri" w:cs="Calibri"/>
          <w:spacing w:val="-2"/>
        </w:rPr>
        <w:t>ca</w:t>
      </w:r>
      <w:r w:rsidRPr="00633C3D">
        <w:rPr>
          <w:rFonts w:ascii="Calibri" w:eastAsia="Calibri" w:hAnsi="Calibri" w:cs="Calibri"/>
        </w:rPr>
        <w:t>tion</w:t>
      </w:r>
      <w:r w:rsidRPr="00633C3D">
        <w:rPr>
          <w:rFonts w:ascii="Calibri" w:eastAsia="Calibri" w:hAnsi="Calibri" w:cs="Calibri"/>
          <w:spacing w:val="-4"/>
        </w:rPr>
        <w:t xml:space="preserve"> </w:t>
      </w:r>
      <w:r w:rsidRPr="00633C3D">
        <w:rPr>
          <w:rFonts w:ascii="Calibri" w:eastAsia="Calibri" w:hAnsi="Calibri" w:cs="Calibri"/>
          <w:spacing w:val="-3"/>
        </w:rPr>
        <w:t>f</w:t>
      </w:r>
      <w:r w:rsidRPr="00633C3D">
        <w:rPr>
          <w:rFonts w:ascii="Calibri" w:eastAsia="Calibri" w:hAnsi="Calibri" w:cs="Calibri"/>
        </w:rPr>
        <w:t xml:space="preserve">or Social Security </w:t>
      </w:r>
      <w:r w:rsidRPr="00633C3D">
        <w:rPr>
          <w:rFonts w:ascii="Calibri" w:eastAsia="Calibri" w:hAnsi="Calibri" w:cs="Calibri"/>
          <w:spacing w:val="-4"/>
        </w:rPr>
        <w:t>f</w:t>
      </w:r>
      <w:r w:rsidRPr="00633C3D">
        <w:rPr>
          <w:rFonts w:ascii="Calibri" w:eastAsia="Calibri" w:hAnsi="Calibri" w:cs="Calibri"/>
        </w:rPr>
        <w:t xml:space="preserve">or </w:t>
      </w:r>
      <w:proofErr w:type="spellStart"/>
      <w:r w:rsidRPr="00633C3D">
        <w:rPr>
          <w:rFonts w:ascii="Calibri" w:eastAsia="Calibri" w:hAnsi="Calibri" w:cs="Calibri"/>
        </w:rPr>
        <w:t>Uno</w:t>
      </w:r>
      <w:r w:rsidRPr="00633C3D">
        <w:rPr>
          <w:rFonts w:ascii="Calibri" w:eastAsia="Calibri" w:hAnsi="Calibri" w:cs="Calibri"/>
          <w:spacing w:val="-3"/>
        </w:rPr>
        <w:t>r</w:t>
      </w:r>
      <w:r w:rsidRPr="00633C3D">
        <w:rPr>
          <w:rFonts w:ascii="Calibri" w:eastAsia="Calibri" w:hAnsi="Calibri" w:cs="Calibri"/>
          <w:spacing w:val="-4"/>
        </w:rPr>
        <w:t>g</w:t>
      </w:r>
      <w:r w:rsidRPr="00633C3D">
        <w:rPr>
          <w:rFonts w:ascii="Calibri" w:eastAsia="Calibri" w:hAnsi="Calibri" w:cs="Calibri"/>
        </w:rPr>
        <w:t>anised</w:t>
      </w:r>
      <w:proofErr w:type="spellEnd"/>
      <w:r w:rsidRPr="00633C3D">
        <w:rPr>
          <w:rFonts w:ascii="Calibri" w:eastAsia="Calibri" w:hAnsi="Calibri" w:cs="Calibri"/>
        </w:rPr>
        <w:t xml:space="preserve"> </w:t>
      </w:r>
      <w:r w:rsidRPr="00633C3D">
        <w:rPr>
          <w:rFonts w:ascii="Calibri" w:eastAsia="Calibri" w:hAnsi="Calibri" w:cs="Calibri"/>
          <w:spacing w:val="-9"/>
        </w:rPr>
        <w:t>W</w:t>
      </w:r>
      <w:r w:rsidRPr="00633C3D">
        <w:rPr>
          <w:rFonts w:ascii="Calibri" w:eastAsia="Calibri" w:hAnsi="Calibri" w:cs="Calibri"/>
        </w:rPr>
        <w:t>or</w:t>
      </w:r>
      <w:r w:rsidRPr="00633C3D">
        <w:rPr>
          <w:rFonts w:ascii="Calibri" w:eastAsia="Calibri" w:hAnsi="Calibri" w:cs="Calibri"/>
          <w:spacing w:val="-6"/>
        </w:rPr>
        <w:t>k</w:t>
      </w:r>
      <w:r w:rsidRPr="00633C3D">
        <w:rPr>
          <w:rFonts w:ascii="Calibri" w:eastAsia="Calibri" w:hAnsi="Calibri" w:cs="Calibri"/>
        </w:rPr>
        <w:t>e</w:t>
      </w:r>
      <w:r w:rsidRPr="00633C3D">
        <w:rPr>
          <w:rFonts w:ascii="Calibri" w:eastAsia="Calibri" w:hAnsi="Calibri" w:cs="Calibri"/>
          <w:spacing w:val="-2"/>
        </w:rPr>
        <w:t>r</w:t>
      </w:r>
      <w:r w:rsidR="0017403C">
        <w:rPr>
          <w:rFonts w:ascii="Calibri" w:eastAsia="Calibri" w:hAnsi="Calibri" w:cs="Calibri"/>
        </w:rPr>
        <w:t>s as percentage</w:t>
      </w:r>
      <w:r w:rsidRPr="00633C3D">
        <w:rPr>
          <w:rFonts w:ascii="Calibri" w:eastAsia="Calibri" w:hAnsi="Calibri" w:cs="Calibri"/>
        </w:rPr>
        <w:t xml:space="preserve"> of GDP and Total Expenditure (in percent)</w:t>
      </w:r>
    </w:p>
    <w:p w:rsidR="00633C3D" w:rsidRDefault="00633C3D" w:rsidP="0086684D">
      <w:pPr>
        <w:jc w:val="both"/>
      </w:pPr>
      <w:r>
        <w:rPr>
          <w:noProof/>
          <w:lang w:val="en-IN" w:eastAsia="en-IN"/>
        </w:rPr>
        <w:drawing>
          <wp:inline distT="0" distB="0" distL="0" distR="0" wp14:anchorId="2CDB88A4" wp14:editId="54FE0B82">
            <wp:extent cx="5947576" cy="2282024"/>
            <wp:effectExtent l="0" t="0" r="15240"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633C3D">
        <w:rPr>
          <w:i/>
          <w:iCs/>
        </w:rPr>
        <w:t>Source:</w:t>
      </w:r>
      <w:r>
        <w:t xml:space="preserve"> Based on data Compiled by CBGA from Union Budget documents, various years. </w:t>
      </w:r>
    </w:p>
    <w:p w:rsidR="00155D23" w:rsidRDefault="00155D23" w:rsidP="0086684D">
      <w:pPr>
        <w:jc w:val="both"/>
      </w:pPr>
      <w:r>
        <w:t xml:space="preserve">Issuing of simple portable identity cards for the workers in the informal sector has been a major demand for which </w:t>
      </w:r>
      <w:r w:rsidR="0017403C">
        <w:t xml:space="preserve">Rs. </w:t>
      </w:r>
      <w:r>
        <w:t>144.5 crores was allocated in 2015-16</w:t>
      </w:r>
      <w:r w:rsidR="0017403C">
        <w:t>,</w:t>
      </w:r>
      <w:r>
        <w:t xml:space="preserve"> but almost the entire amount has remained unspent as this initiative has not taken off. In the </w:t>
      </w:r>
      <w:r w:rsidR="00620027">
        <w:t>Union Budget 2017-18</w:t>
      </w:r>
      <w:r w:rsidR="000101FE">
        <w:t>,</w:t>
      </w:r>
      <w:r>
        <w:t xml:space="preserve"> Rs. 100 crore has been allocated but this is not sufficient given the </w:t>
      </w:r>
      <w:r w:rsidR="008B3CD8">
        <w:t xml:space="preserve">fact that </w:t>
      </w:r>
      <w:r>
        <w:t>there are around 45 crore workers in the informal sector and if we assume the cost at Rs. 20 per card, the required amount would be around Rs. 900 crore.</w:t>
      </w:r>
    </w:p>
    <w:p w:rsidR="00E77020" w:rsidRDefault="00287C5F" w:rsidP="0086684D">
      <w:pPr>
        <w:jc w:val="both"/>
      </w:pPr>
      <w:r>
        <w:t>The NSAP, implemented by the</w:t>
      </w:r>
      <w:r w:rsidR="00027612">
        <w:t xml:space="preserve"> Ministry of Rural </w:t>
      </w:r>
      <w:r>
        <w:t>D</w:t>
      </w:r>
      <w:r w:rsidR="00027612">
        <w:t>evelopment</w:t>
      </w:r>
      <w:r>
        <w:t>,</w:t>
      </w:r>
      <w:r w:rsidR="00027612">
        <w:t xml:space="preserve"> is the only major programme </w:t>
      </w:r>
      <w:r w:rsidR="00AB4B5D">
        <w:t xml:space="preserve">with substantial allocation. However, the emphasis of this programme is mainly on old age and widow pension as shown in table </w:t>
      </w:r>
      <w:r w:rsidR="00620027">
        <w:t>16.</w:t>
      </w:r>
      <w:r w:rsidR="00AB4B5D">
        <w:t>2.</w:t>
      </w:r>
      <w:r w:rsidR="00567C14">
        <w:t xml:space="preserve"> Though states also contribute towards old age pension</w:t>
      </w:r>
      <w:r w:rsidR="002B1879">
        <w:t>,</w:t>
      </w:r>
      <w:r w:rsidR="00567C14">
        <w:t xml:space="preserve"> </w:t>
      </w:r>
      <w:r w:rsidR="00155D23">
        <w:t>an earlier study by CBGA in 2013</w:t>
      </w:r>
      <w:r w:rsidR="00383AA3">
        <w:t xml:space="preserve"> found that</w:t>
      </w:r>
      <w:r w:rsidR="00155D23">
        <w:t xml:space="preserve"> </w:t>
      </w:r>
      <w:r w:rsidR="00567C14">
        <w:t xml:space="preserve">the amount </w:t>
      </w:r>
      <w:r>
        <w:t xml:space="preserve">provisioned </w:t>
      </w:r>
      <w:r w:rsidR="00567C14">
        <w:t>for the old age pension</w:t>
      </w:r>
      <w:r w:rsidR="00620027">
        <w:t xml:space="preserve"> in different states </w:t>
      </w:r>
      <w:r w:rsidR="00155D23">
        <w:t>varies from Rs. 200 to Rs. 2</w:t>
      </w:r>
      <w:r w:rsidR="0040480A">
        <w:t>,</w:t>
      </w:r>
      <w:r w:rsidR="00155D23">
        <w:t>000</w:t>
      </w:r>
      <w:r>
        <w:t>.</w:t>
      </w:r>
      <w:r w:rsidR="00155D23">
        <w:t xml:space="preserve"> Hence, there i</w:t>
      </w:r>
      <w:r w:rsidR="00383AA3">
        <w:t>s a need for the Union G</w:t>
      </w:r>
      <w:r w:rsidR="00155D23">
        <w:t>overnment to scale up the all</w:t>
      </w:r>
      <w:r w:rsidR="00E77020">
        <w:t>ocation</w:t>
      </w:r>
      <w:r w:rsidR="00464185">
        <w:t xml:space="preserve"> to widen and strengthen the coverage and b</w:t>
      </w:r>
      <w:r w:rsidR="00E77020">
        <w:t>ring down the inter-</w:t>
      </w:r>
      <w:r w:rsidR="00155D23">
        <w:t>state disparity.</w:t>
      </w:r>
    </w:p>
    <w:p w:rsidR="00AB4B5D" w:rsidRDefault="00AB4B5D" w:rsidP="00620027">
      <w:pPr>
        <w:jc w:val="center"/>
      </w:pPr>
      <w:r>
        <w:lastRenderedPageBreak/>
        <w:t xml:space="preserve">Table </w:t>
      </w:r>
      <w:r w:rsidR="008B3CD8">
        <w:t>16.</w:t>
      </w:r>
      <w:r>
        <w:t xml:space="preserve">2: </w:t>
      </w:r>
      <w:r w:rsidR="008B3CD8">
        <w:t xml:space="preserve">Allocation for Different </w:t>
      </w:r>
      <w:r>
        <w:t xml:space="preserve">Components of National Social Assistance </w:t>
      </w:r>
      <w:proofErr w:type="spellStart"/>
      <w:r>
        <w:t>Program</w:t>
      </w:r>
      <w:r w:rsidR="00383AA3">
        <w:t>me</w:t>
      </w:r>
      <w:proofErr w:type="spellEnd"/>
      <w:r w:rsidR="00383AA3">
        <w:t xml:space="preserve"> (</w:t>
      </w:r>
      <w:proofErr w:type="spellStart"/>
      <w:r w:rsidR="00383AA3">
        <w:t>Rs</w:t>
      </w:r>
      <w:proofErr w:type="spellEnd"/>
      <w:r w:rsidR="00383AA3">
        <w:t>. c</w:t>
      </w:r>
      <w:r w:rsidR="00287C5F">
        <w:t>rore)</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5"/>
        <w:gridCol w:w="967"/>
        <w:gridCol w:w="968"/>
        <w:gridCol w:w="967"/>
        <w:gridCol w:w="968"/>
      </w:tblGrid>
      <w:tr w:rsidR="00620027" w:rsidRPr="00AB4B5D" w:rsidTr="00620027">
        <w:trPr>
          <w:trHeight w:val="300"/>
        </w:trPr>
        <w:tc>
          <w:tcPr>
            <w:tcW w:w="5505" w:type="dxa"/>
            <w:shd w:val="clear" w:color="auto" w:fill="auto"/>
            <w:noWrap/>
            <w:vAlign w:val="bottom"/>
            <w:hideMark/>
          </w:tcPr>
          <w:p w:rsidR="00AB4B5D" w:rsidRPr="00AB4B5D" w:rsidRDefault="00AB4B5D" w:rsidP="00AB4B5D">
            <w:pPr>
              <w:spacing w:after="0" w:line="240" w:lineRule="auto"/>
              <w:rPr>
                <w:rFonts w:ascii="Calibri" w:eastAsia="Times New Roman" w:hAnsi="Calibri" w:cs="Calibri"/>
                <w:color w:val="000000"/>
                <w:lang w:bidi="hi-IN"/>
              </w:rPr>
            </w:pPr>
            <w:r w:rsidRPr="00AB4B5D">
              <w:rPr>
                <w:rFonts w:ascii="Calibri" w:eastAsia="Times New Roman" w:hAnsi="Calibri" w:cs="Calibri"/>
                <w:color w:val="000000"/>
                <w:lang w:bidi="hi-IN"/>
              </w:rPr>
              <w:t xml:space="preserve">National Social Assistance </w:t>
            </w:r>
            <w:r w:rsidR="00287C5F" w:rsidRPr="00AB4B5D">
              <w:rPr>
                <w:rFonts w:ascii="Calibri" w:eastAsia="Times New Roman" w:hAnsi="Calibri" w:cs="Calibri"/>
                <w:color w:val="000000"/>
                <w:lang w:bidi="hi-IN"/>
              </w:rPr>
              <w:t>Program</w:t>
            </w:r>
            <w:r w:rsidR="00287C5F">
              <w:rPr>
                <w:rFonts w:ascii="Calibri" w:eastAsia="Times New Roman" w:hAnsi="Calibri" w:cs="Calibri"/>
                <w:color w:val="000000"/>
                <w:lang w:bidi="hi-IN"/>
              </w:rPr>
              <w:t>me</w:t>
            </w:r>
          </w:p>
        </w:tc>
        <w:tc>
          <w:tcPr>
            <w:tcW w:w="967" w:type="dxa"/>
            <w:shd w:val="clear" w:color="auto" w:fill="auto"/>
            <w:noWrap/>
            <w:vAlign w:val="bottom"/>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 xml:space="preserve">2015-16 </w:t>
            </w:r>
            <w:r w:rsidR="00DB48BC">
              <w:rPr>
                <w:rFonts w:ascii="Calibri" w:eastAsia="Times New Roman" w:hAnsi="Calibri" w:cs="Calibri"/>
                <w:color w:val="000000"/>
                <w:lang w:bidi="hi-IN"/>
              </w:rPr>
              <w:t>(</w:t>
            </w:r>
            <w:r w:rsidRPr="00AB4B5D">
              <w:rPr>
                <w:rFonts w:ascii="Calibri" w:eastAsia="Times New Roman" w:hAnsi="Calibri" w:cs="Calibri"/>
                <w:color w:val="000000"/>
                <w:lang w:bidi="hi-IN"/>
              </w:rPr>
              <w:t>A</w:t>
            </w:r>
            <w:r w:rsidR="00DB48BC">
              <w:rPr>
                <w:rFonts w:ascii="Calibri" w:eastAsia="Times New Roman" w:hAnsi="Calibri" w:cs="Calibri"/>
                <w:color w:val="000000"/>
                <w:lang w:bidi="hi-IN"/>
              </w:rPr>
              <w:t>)</w:t>
            </w:r>
          </w:p>
        </w:tc>
        <w:tc>
          <w:tcPr>
            <w:tcW w:w="968" w:type="dxa"/>
            <w:shd w:val="clear" w:color="auto" w:fill="auto"/>
            <w:noWrap/>
            <w:vAlign w:val="bottom"/>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2016-17 (BE)</w:t>
            </w:r>
          </w:p>
        </w:tc>
        <w:tc>
          <w:tcPr>
            <w:tcW w:w="967" w:type="dxa"/>
            <w:shd w:val="clear" w:color="auto" w:fill="auto"/>
            <w:noWrap/>
            <w:vAlign w:val="bottom"/>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2016-17 (RE)</w:t>
            </w:r>
          </w:p>
        </w:tc>
        <w:tc>
          <w:tcPr>
            <w:tcW w:w="968" w:type="dxa"/>
            <w:shd w:val="clear" w:color="auto" w:fill="auto"/>
            <w:noWrap/>
            <w:vAlign w:val="bottom"/>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2017-18 (BE)</w:t>
            </w:r>
          </w:p>
        </w:tc>
      </w:tr>
      <w:tr w:rsidR="00620027" w:rsidRPr="00AB4B5D" w:rsidTr="00620027">
        <w:trPr>
          <w:trHeight w:val="300"/>
        </w:trPr>
        <w:tc>
          <w:tcPr>
            <w:tcW w:w="5505" w:type="dxa"/>
            <w:shd w:val="clear" w:color="auto" w:fill="auto"/>
            <w:noWrap/>
            <w:vAlign w:val="bottom"/>
            <w:hideMark/>
          </w:tcPr>
          <w:p w:rsidR="00AB4B5D" w:rsidRPr="00AB4B5D" w:rsidRDefault="00AB4B5D" w:rsidP="00AB4B5D">
            <w:pPr>
              <w:spacing w:after="0" w:line="240" w:lineRule="auto"/>
              <w:rPr>
                <w:rFonts w:ascii="Calibri" w:eastAsia="Times New Roman" w:hAnsi="Calibri" w:cs="Calibri"/>
                <w:color w:val="000000"/>
                <w:lang w:bidi="hi-IN"/>
              </w:rPr>
            </w:pPr>
            <w:r w:rsidRPr="00AB4B5D">
              <w:rPr>
                <w:rFonts w:ascii="Calibri" w:eastAsia="Times New Roman" w:hAnsi="Calibri" w:cs="Calibri"/>
                <w:color w:val="000000"/>
                <w:lang w:bidi="hi-IN"/>
              </w:rPr>
              <w:t>Indira Gandhi National Old Age Pension Scheme (IGNOAPS)</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5562.7</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6130.9</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6130.9</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6126.9</w:t>
            </w:r>
          </w:p>
        </w:tc>
      </w:tr>
      <w:tr w:rsidR="00620027" w:rsidRPr="00AB4B5D" w:rsidTr="00620027">
        <w:trPr>
          <w:trHeight w:val="300"/>
        </w:trPr>
        <w:tc>
          <w:tcPr>
            <w:tcW w:w="5505" w:type="dxa"/>
            <w:shd w:val="clear" w:color="auto" w:fill="auto"/>
            <w:noWrap/>
            <w:vAlign w:val="bottom"/>
            <w:hideMark/>
          </w:tcPr>
          <w:p w:rsidR="00AB4B5D" w:rsidRPr="00AB4B5D" w:rsidRDefault="00AB4B5D" w:rsidP="00AB4B5D">
            <w:pPr>
              <w:spacing w:after="0" w:line="240" w:lineRule="auto"/>
              <w:rPr>
                <w:rFonts w:ascii="Calibri" w:eastAsia="Times New Roman" w:hAnsi="Calibri" w:cs="Calibri"/>
                <w:color w:val="000000"/>
                <w:lang w:bidi="hi-IN"/>
              </w:rPr>
            </w:pPr>
            <w:r w:rsidRPr="00AB4B5D">
              <w:rPr>
                <w:rFonts w:ascii="Calibri" w:eastAsia="Times New Roman" w:hAnsi="Calibri" w:cs="Calibri"/>
                <w:color w:val="000000"/>
                <w:lang w:bidi="hi-IN"/>
              </w:rPr>
              <w:t>National Family Benefit Scheme</w:t>
            </w:r>
            <w:r w:rsidR="00287C5F">
              <w:rPr>
                <w:rFonts w:ascii="Calibri" w:eastAsia="Times New Roman" w:hAnsi="Calibri" w:cs="Calibri"/>
                <w:color w:val="000000"/>
                <w:lang w:bidi="hi-IN"/>
              </w:rPr>
              <w:t xml:space="preserve"> (NFBS)</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639.4</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787.2</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787.2</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774.1</w:t>
            </w:r>
          </w:p>
        </w:tc>
      </w:tr>
      <w:tr w:rsidR="00620027" w:rsidRPr="00AB4B5D" w:rsidTr="00620027">
        <w:trPr>
          <w:trHeight w:val="300"/>
        </w:trPr>
        <w:tc>
          <w:tcPr>
            <w:tcW w:w="5505" w:type="dxa"/>
            <w:shd w:val="clear" w:color="auto" w:fill="auto"/>
            <w:noWrap/>
            <w:vAlign w:val="bottom"/>
            <w:hideMark/>
          </w:tcPr>
          <w:p w:rsidR="00AB4B5D" w:rsidRPr="00AB4B5D" w:rsidRDefault="00AB4B5D" w:rsidP="00AB4B5D">
            <w:pPr>
              <w:spacing w:after="0" w:line="240" w:lineRule="auto"/>
              <w:rPr>
                <w:rFonts w:ascii="Calibri" w:eastAsia="Times New Roman" w:hAnsi="Calibri" w:cs="Calibri"/>
                <w:color w:val="000000"/>
                <w:lang w:bidi="hi-IN"/>
              </w:rPr>
            </w:pPr>
            <w:r w:rsidRPr="00AB4B5D">
              <w:rPr>
                <w:rFonts w:ascii="Calibri" w:eastAsia="Times New Roman" w:hAnsi="Calibri" w:cs="Calibri"/>
                <w:color w:val="000000"/>
                <w:lang w:bidi="hi-IN"/>
              </w:rPr>
              <w:t>Indira Gandhi National Widow Pension Scheme(IGNWPS)</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2068.9</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2221.7</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2221.7</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2221.7</w:t>
            </w:r>
          </w:p>
        </w:tc>
      </w:tr>
      <w:tr w:rsidR="00620027" w:rsidRPr="00AB4B5D" w:rsidTr="00620027">
        <w:trPr>
          <w:trHeight w:val="300"/>
        </w:trPr>
        <w:tc>
          <w:tcPr>
            <w:tcW w:w="5505" w:type="dxa"/>
            <w:shd w:val="clear" w:color="auto" w:fill="auto"/>
            <w:noWrap/>
            <w:vAlign w:val="bottom"/>
            <w:hideMark/>
          </w:tcPr>
          <w:p w:rsidR="00AB4B5D" w:rsidRPr="00AB4B5D" w:rsidRDefault="00AB4B5D" w:rsidP="00AB4B5D">
            <w:pPr>
              <w:spacing w:after="0" w:line="240" w:lineRule="auto"/>
              <w:rPr>
                <w:rFonts w:ascii="Calibri" w:eastAsia="Times New Roman" w:hAnsi="Calibri" w:cs="Calibri"/>
                <w:color w:val="000000"/>
                <w:lang w:bidi="hi-IN"/>
              </w:rPr>
            </w:pPr>
            <w:r w:rsidRPr="00AB4B5D">
              <w:rPr>
                <w:rFonts w:ascii="Calibri" w:eastAsia="Times New Roman" w:hAnsi="Calibri" w:cs="Calibri"/>
                <w:color w:val="000000"/>
                <w:lang w:bidi="hi-IN"/>
              </w:rPr>
              <w:t>Indira Gandhi National Disability Pension Scheme(IGNDPS)</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288.0</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279.3</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279.3</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274.3</w:t>
            </w:r>
          </w:p>
        </w:tc>
      </w:tr>
      <w:tr w:rsidR="00620027" w:rsidRPr="00AB4B5D" w:rsidTr="00620027">
        <w:trPr>
          <w:trHeight w:val="300"/>
        </w:trPr>
        <w:tc>
          <w:tcPr>
            <w:tcW w:w="5505" w:type="dxa"/>
            <w:shd w:val="clear" w:color="auto" w:fill="auto"/>
            <w:noWrap/>
            <w:vAlign w:val="bottom"/>
            <w:hideMark/>
          </w:tcPr>
          <w:p w:rsidR="00AB4B5D" w:rsidRPr="00AB4B5D" w:rsidRDefault="00AB4B5D" w:rsidP="00AB4B5D">
            <w:pPr>
              <w:spacing w:after="0" w:line="240" w:lineRule="auto"/>
              <w:rPr>
                <w:rFonts w:ascii="Calibri" w:eastAsia="Times New Roman" w:hAnsi="Calibri" w:cs="Calibri"/>
                <w:color w:val="000000"/>
                <w:lang w:bidi="hi-IN"/>
              </w:rPr>
            </w:pPr>
            <w:r w:rsidRPr="00AB4B5D">
              <w:rPr>
                <w:rFonts w:ascii="Calibri" w:eastAsia="Times New Roman" w:hAnsi="Calibri" w:cs="Calibri"/>
                <w:color w:val="000000"/>
                <w:lang w:bidi="hi-IN"/>
              </w:rPr>
              <w:t>Annapurna Scheme</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56.3</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75.8</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75.8</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75.8</w:t>
            </w:r>
          </w:p>
        </w:tc>
      </w:tr>
      <w:tr w:rsidR="00620027" w:rsidRPr="00AB4B5D" w:rsidTr="00620027">
        <w:trPr>
          <w:trHeight w:val="300"/>
        </w:trPr>
        <w:tc>
          <w:tcPr>
            <w:tcW w:w="5505" w:type="dxa"/>
            <w:shd w:val="clear" w:color="auto" w:fill="auto"/>
            <w:noWrap/>
            <w:vAlign w:val="bottom"/>
            <w:hideMark/>
          </w:tcPr>
          <w:p w:rsidR="00AB4B5D" w:rsidRPr="00AB4B5D" w:rsidRDefault="00AB4B5D" w:rsidP="008B3CD8">
            <w:pPr>
              <w:spacing w:after="0" w:line="240" w:lineRule="auto"/>
              <w:rPr>
                <w:rFonts w:ascii="Calibri" w:eastAsia="Times New Roman" w:hAnsi="Calibri" w:cs="Calibri"/>
                <w:color w:val="000000"/>
                <w:lang w:bidi="hi-IN"/>
              </w:rPr>
            </w:pPr>
            <w:r w:rsidRPr="00AB4B5D">
              <w:rPr>
                <w:rFonts w:ascii="Calibri" w:eastAsia="Times New Roman" w:hAnsi="Calibri" w:cs="Calibri"/>
                <w:color w:val="000000"/>
                <w:lang w:bidi="hi-IN"/>
              </w:rPr>
              <w:t>National Social Assistance Program (Adm</w:t>
            </w:r>
            <w:r w:rsidR="008B3CD8">
              <w:rPr>
                <w:rFonts w:ascii="Calibri" w:eastAsia="Times New Roman" w:hAnsi="Calibri" w:cs="Calibri"/>
                <w:color w:val="000000"/>
                <w:lang w:bidi="hi-IN"/>
              </w:rPr>
              <w:t xml:space="preserve">. </w:t>
            </w:r>
            <w:r w:rsidRPr="00AB4B5D">
              <w:rPr>
                <w:rFonts w:ascii="Calibri" w:eastAsia="Times New Roman" w:hAnsi="Calibri" w:cs="Calibri"/>
                <w:color w:val="000000"/>
                <w:lang w:bidi="hi-IN"/>
              </w:rPr>
              <w:t>Expenditure)</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1.1</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5.2</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5.2</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27.3</w:t>
            </w:r>
          </w:p>
        </w:tc>
      </w:tr>
      <w:tr w:rsidR="00620027" w:rsidRPr="00AB4B5D" w:rsidTr="00620027">
        <w:trPr>
          <w:trHeight w:val="300"/>
        </w:trPr>
        <w:tc>
          <w:tcPr>
            <w:tcW w:w="5505" w:type="dxa"/>
            <w:shd w:val="clear" w:color="auto" w:fill="auto"/>
            <w:noWrap/>
            <w:vAlign w:val="bottom"/>
            <w:hideMark/>
          </w:tcPr>
          <w:p w:rsidR="00AB4B5D" w:rsidRPr="00AB4B5D" w:rsidRDefault="00AB4B5D" w:rsidP="00AB4B5D">
            <w:pPr>
              <w:spacing w:after="0" w:line="240" w:lineRule="auto"/>
              <w:rPr>
                <w:rFonts w:ascii="Calibri" w:eastAsia="Times New Roman" w:hAnsi="Calibri" w:cs="Calibri"/>
                <w:color w:val="000000"/>
                <w:lang w:bidi="hi-IN"/>
              </w:rPr>
            </w:pPr>
            <w:r w:rsidRPr="00AB4B5D">
              <w:rPr>
                <w:rFonts w:ascii="Calibri" w:eastAsia="Times New Roman" w:hAnsi="Calibri" w:cs="Calibri"/>
                <w:color w:val="000000"/>
                <w:lang w:bidi="hi-IN"/>
              </w:rPr>
              <w:t>Total-National Social Assistance Prog</w:t>
            </w:r>
            <w:r w:rsidR="00287C5F">
              <w:rPr>
                <w:rFonts w:ascii="Calibri" w:eastAsia="Times New Roman" w:hAnsi="Calibri" w:cs="Calibri"/>
                <w:color w:val="000000"/>
                <w:lang w:bidi="hi-IN"/>
              </w:rPr>
              <w:t>r</w:t>
            </w:r>
            <w:r w:rsidRPr="00AB4B5D">
              <w:rPr>
                <w:rFonts w:ascii="Calibri" w:eastAsia="Times New Roman" w:hAnsi="Calibri" w:cs="Calibri"/>
                <w:color w:val="000000"/>
                <w:lang w:bidi="hi-IN"/>
              </w:rPr>
              <w:t>am</w:t>
            </w:r>
            <w:r w:rsidR="00287C5F">
              <w:rPr>
                <w:rFonts w:ascii="Calibri" w:eastAsia="Times New Roman" w:hAnsi="Calibri" w:cs="Calibri"/>
                <w:color w:val="000000"/>
                <w:lang w:bidi="hi-IN"/>
              </w:rPr>
              <w:t>me</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8616.4</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9500.0</w:t>
            </w:r>
          </w:p>
        </w:tc>
        <w:tc>
          <w:tcPr>
            <w:tcW w:w="967"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9500.0</w:t>
            </w:r>
          </w:p>
        </w:tc>
        <w:tc>
          <w:tcPr>
            <w:tcW w:w="968" w:type="dxa"/>
            <w:shd w:val="clear" w:color="auto" w:fill="auto"/>
            <w:noWrap/>
            <w:hideMark/>
          </w:tcPr>
          <w:p w:rsidR="00AB4B5D" w:rsidRPr="00AB4B5D" w:rsidRDefault="00AB4B5D" w:rsidP="00620027">
            <w:pPr>
              <w:spacing w:after="0" w:line="240" w:lineRule="auto"/>
              <w:jc w:val="center"/>
              <w:rPr>
                <w:rFonts w:ascii="Calibri" w:eastAsia="Times New Roman" w:hAnsi="Calibri" w:cs="Calibri"/>
                <w:color w:val="000000"/>
                <w:lang w:bidi="hi-IN"/>
              </w:rPr>
            </w:pPr>
            <w:r w:rsidRPr="00AB4B5D">
              <w:rPr>
                <w:rFonts w:ascii="Calibri" w:eastAsia="Times New Roman" w:hAnsi="Calibri" w:cs="Calibri"/>
                <w:color w:val="000000"/>
                <w:lang w:bidi="hi-IN"/>
              </w:rPr>
              <w:t>9500.0</w:t>
            </w:r>
          </w:p>
        </w:tc>
      </w:tr>
    </w:tbl>
    <w:p w:rsidR="00C11B46" w:rsidRPr="0086684D" w:rsidRDefault="00027612">
      <w:pPr>
        <w:rPr>
          <w:i/>
          <w:iCs/>
        </w:rPr>
      </w:pPr>
      <w:r>
        <w:t xml:space="preserve"> </w:t>
      </w:r>
      <w:r w:rsidR="008B3CD8" w:rsidRPr="0086684D">
        <w:rPr>
          <w:i/>
          <w:iCs/>
        </w:rPr>
        <w:t xml:space="preserve">Source: </w:t>
      </w:r>
      <w:r w:rsidR="0086684D">
        <w:t>Compiled by CBGA from Union Budget documents, various years.</w:t>
      </w:r>
    </w:p>
    <w:p w:rsidR="009C2A94" w:rsidRDefault="00287C5F" w:rsidP="0086684D">
      <w:pPr>
        <w:jc w:val="both"/>
      </w:pPr>
      <w:r>
        <w:t>It has been demanded</w:t>
      </w:r>
      <w:r w:rsidR="009C2A94">
        <w:t xml:space="preserve"> to enhance the </w:t>
      </w:r>
      <w:r>
        <w:t xml:space="preserve">amount of </w:t>
      </w:r>
      <w:r w:rsidR="009C2A94">
        <w:t>old age pension and pegging it with the inflation so that the amount gets revised automatically to cover the rising cost of living. There are approximately 10.5 crore senior citizens in the country and if a pension</w:t>
      </w:r>
      <w:r w:rsidR="00BD3DBF">
        <w:t xml:space="preserve"> is fixed at half the existing </w:t>
      </w:r>
      <w:r w:rsidR="00464185">
        <w:t xml:space="preserve">daily </w:t>
      </w:r>
      <w:r w:rsidR="00BD3DBF">
        <w:t>minimum wage</w:t>
      </w:r>
      <w:r w:rsidR="00464185">
        <w:t xml:space="preserve"> rate (Rs. 170)</w:t>
      </w:r>
      <w:r w:rsidR="00BD3DBF">
        <w:t>, the total expenditure would come to around Rs. 3.2 lakh crore</w:t>
      </w:r>
      <w:r w:rsidR="002C4888">
        <w:t xml:space="preserve"> per annum</w:t>
      </w:r>
      <w:r w:rsidR="00BD3DBF">
        <w:t>, which can be shared betw</w:t>
      </w:r>
      <w:r w:rsidR="00607B38">
        <w:t xml:space="preserve">een the Centre and the States, </w:t>
      </w:r>
      <w:r w:rsidR="00BD3DBF">
        <w:t xml:space="preserve">for universal coverage. Table 3 shows various expenditure scenarios </w:t>
      </w:r>
      <w:r w:rsidR="00464185">
        <w:t xml:space="preserve">for different level of coverage. </w:t>
      </w:r>
    </w:p>
    <w:p w:rsidR="009C2A94" w:rsidRDefault="00BD3DBF" w:rsidP="00620027">
      <w:pPr>
        <w:jc w:val="center"/>
      </w:pPr>
      <w:r>
        <w:t xml:space="preserve">Table </w:t>
      </w:r>
      <w:r w:rsidR="008B3CD8">
        <w:t>16.3</w:t>
      </w:r>
      <w:r>
        <w:t>:</w:t>
      </w:r>
      <w:r w:rsidR="00620027">
        <w:t xml:space="preserve"> Different Expenditure Scenarios for Widening</w:t>
      </w:r>
      <w:r w:rsidR="00464185">
        <w:t xml:space="preserve"> and Strengthening</w:t>
      </w:r>
      <w:r w:rsidR="00620027">
        <w:t xml:space="preserve"> Pension Coverage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5"/>
        <w:gridCol w:w="941"/>
        <w:gridCol w:w="941"/>
        <w:gridCol w:w="941"/>
        <w:gridCol w:w="942"/>
      </w:tblGrid>
      <w:tr w:rsidR="00CA32AE" w:rsidRPr="00CA32AE" w:rsidTr="00CA32AE">
        <w:trPr>
          <w:trHeight w:val="260"/>
        </w:trPr>
        <w:tc>
          <w:tcPr>
            <w:tcW w:w="5595" w:type="dxa"/>
            <w:shd w:val="clear" w:color="auto" w:fill="auto"/>
            <w:noWrap/>
            <w:vAlign w:val="center"/>
            <w:hideMark/>
          </w:tcPr>
          <w:p w:rsidR="00CA32AE" w:rsidRPr="00CA32AE" w:rsidRDefault="00CA32AE" w:rsidP="00CA32AE">
            <w:pPr>
              <w:spacing w:after="0" w:line="240" w:lineRule="auto"/>
              <w:rPr>
                <w:rFonts w:ascii="Calibri" w:eastAsia="Times New Roman" w:hAnsi="Calibri" w:cs="Calibri"/>
                <w:color w:val="000000"/>
                <w:lang w:bidi="hi-IN"/>
              </w:rPr>
            </w:pPr>
            <w:r w:rsidRPr="00CA32AE">
              <w:rPr>
                <w:rFonts w:ascii="Calibri" w:eastAsia="Times New Roman" w:hAnsi="Calibri" w:cs="Calibri"/>
                <w:color w:val="000000"/>
                <w:lang w:bidi="hi-IN"/>
              </w:rPr>
              <w:t>Coverage</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100%</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90%</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80%</w:t>
            </w:r>
          </w:p>
        </w:tc>
        <w:tc>
          <w:tcPr>
            <w:tcW w:w="942"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75%</w:t>
            </w:r>
          </w:p>
        </w:tc>
      </w:tr>
      <w:tr w:rsidR="00CA32AE" w:rsidRPr="00CA32AE" w:rsidTr="00CA32AE">
        <w:trPr>
          <w:trHeight w:val="206"/>
        </w:trPr>
        <w:tc>
          <w:tcPr>
            <w:tcW w:w="5595" w:type="dxa"/>
            <w:shd w:val="clear" w:color="auto" w:fill="auto"/>
            <w:noWrap/>
            <w:vAlign w:val="center"/>
            <w:hideMark/>
          </w:tcPr>
          <w:p w:rsidR="00CA32AE" w:rsidRPr="00CA32AE" w:rsidRDefault="00CA32AE" w:rsidP="00CA32AE">
            <w:pPr>
              <w:spacing w:after="0" w:line="240" w:lineRule="auto"/>
              <w:rPr>
                <w:rFonts w:ascii="Calibri" w:eastAsia="Times New Roman" w:hAnsi="Calibri" w:cs="Calibri"/>
                <w:color w:val="000000"/>
                <w:lang w:bidi="hi-IN"/>
              </w:rPr>
            </w:pPr>
            <w:r w:rsidRPr="00CA32AE">
              <w:rPr>
                <w:rFonts w:ascii="Calibri" w:eastAsia="Times New Roman" w:hAnsi="Calibri" w:cs="Calibri"/>
                <w:color w:val="000000"/>
                <w:lang w:bidi="hi-IN"/>
              </w:rPr>
              <w:t>Population &gt; 60 years of age (crore)</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10.5</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9.45</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8.4</w:t>
            </w:r>
          </w:p>
        </w:tc>
        <w:tc>
          <w:tcPr>
            <w:tcW w:w="942"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7.9</w:t>
            </w:r>
          </w:p>
        </w:tc>
      </w:tr>
      <w:tr w:rsidR="00CA32AE" w:rsidRPr="00CA32AE" w:rsidTr="00CA32AE">
        <w:trPr>
          <w:trHeight w:val="521"/>
        </w:trPr>
        <w:tc>
          <w:tcPr>
            <w:tcW w:w="5595" w:type="dxa"/>
            <w:shd w:val="clear" w:color="auto" w:fill="auto"/>
            <w:vAlign w:val="center"/>
            <w:hideMark/>
          </w:tcPr>
          <w:p w:rsidR="00CA32AE" w:rsidRPr="00CA32AE" w:rsidRDefault="00CA32AE" w:rsidP="00CA32AE">
            <w:pPr>
              <w:spacing w:after="0" w:line="240" w:lineRule="auto"/>
              <w:rPr>
                <w:rFonts w:ascii="Calibri" w:eastAsia="Times New Roman" w:hAnsi="Calibri" w:cs="Calibri"/>
                <w:color w:val="000000"/>
                <w:lang w:bidi="hi-IN"/>
              </w:rPr>
            </w:pPr>
            <w:r w:rsidRPr="00CA32AE">
              <w:rPr>
                <w:rFonts w:ascii="Calibri" w:eastAsia="Times New Roman" w:hAnsi="Calibri" w:cs="Calibri"/>
                <w:color w:val="000000"/>
                <w:lang w:bidi="hi-IN"/>
              </w:rPr>
              <w:t>Pension per month @ of Rs. 85 per day (50 % of the national minimum wages</w:t>
            </w:r>
            <w:r>
              <w:rPr>
                <w:rFonts w:ascii="Calibri" w:eastAsia="Times New Roman" w:hAnsi="Calibri" w:cs="Calibri"/>
                <w:color w:val="000000"/>
                <w:lang w:bidi="hi-IN"/>
              </w:rPr>
              <w:t>; Rs.</w:t>
            </w:r>
            <w:r w:rsidRPr="00CA32AE">
              <w:rPr>
                <w:rFonts w:ascii="Calibri" w:eastAsia="Times New Roman" w:hAnsi="Calibri" w:cs="Calibri"/>
                <w:color w:val="000000"/>
                <w:lang w:bidi="hi-IN"/>
              </w:rPr>
              <w:t>)</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2550</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2550</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2550</w:t>
            </w:r>
          </w:p>
        </w:tc>
        <w:tc>
          <w:tcPr>
            <w:tcW w:w="942"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2550</w:t>
            </w:r>
          </w:p>
        </w:tc>
      </w:tr>
      <w:tr w:rsidR="00CA32AE" w:rsidRPr="00CA32AE" w:rsidTr="00CA32AE">
        <w:trPr>
          <w:trHeight w:val="242"/>
        </w:trPr>
        <w:tc>
          <w:tcPr>
            <w:tcW w:w="5595" w:type="dxa"/>
            <w:shd w:val="clear" w:color="auto" w:fill="auto"/>
            <w:vAlign w:val="center"/>
            <w:hideMark/>
          </w:tcPr>
          <w:p w:rsidR="00CA32AE" w:rsidRPr="00CA32AE" w:rsidRDefault="00CA32AE" w:rsidP="00CA32AE">
            <w:pPr>
              <w:spacing w:after="0" w:line="240" w:lineRule="auto"/>
              <w:rPr>
                <w:rFonts w:ascii="Calibri" w:eastAsia="Times New Roman" w:hAnsi="Calibri" w:cs="Calibri"/>
                <w:color w:val="000000"/>
                <w:lang w:bidi="hi-IN"/>
              </w:rPr>
            </w:pPr>
            <w:r w:rsidRPr="00CA32AE">
              <w:rPr>
                <w:rFonts w:ascii="Calibri" w:eastAsia="Times New Roman" w:hAnsi="Calibri" w:cs="Calibri"/>
                <w:color w:val="000000"/>
                <w:lang w:bidi="hi-IN"/>
              </w:rPr>
              <w:t xml:space="preserve">Per Annum Expenditure </w:t>
            </w:r>
            <w:r>
              <w:rPr>
                <w:rFonts w:ascii="Calibri" w:eastAsia="Times New Roman" w:hAnsi="Calibri" w:cs="Calibri"/>
                <w:color w:val="000000"/>
                <w:lang w:bidi="hi-IN"/>
              </w:rPr>
              <w:t>(Rs.)</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30600</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30600</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30600</w:t>
            </w:r>
          </w:p>
        </w:tc>
        <w:tc>
          <w:tcPr>
            <w:tcW w:w="942"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30600</w:t>
            </w:r>
          </w:p>
        </w:tc>
      </w:tr>
      <w:tr w:rsidR="00CA32AE" w:rsidRPr="00CA32AE" w:rsidTr="00CA32AE">
        <w:trPr>
          <w:trHeight w:val="233"/>
        </w:trPr>
        <w:tc>
          <w:tcPr>
            <w:tcW w:w="5595" w:type="dxa"/>
            <w:shd w:val="clear" w:color="auto" w:fill="auto"/>
            <w:noWrap/>
            <w:vAlign w:val="center"/>
            <w:hideMark/>
          </w:tcPr>
          <w:p w:rsidR="00CA32AE" w:rsidRPr="00CA32AE" w:rsidRDefault="00CA32AE" w:rsidP="00CA32AE">
            <w:pPr>
              <w:spacing w:after="0" w:line="240" w:lineRule="auto"/>
              <w:rPr>
                <w:rFonts w:ascii="Calibri" w:eastAsia="Times New Roman" w:hAnsi="Calibri" w:cs="Calibri"/>
                <w:color w:val="000000"/>
                <w:lang w:bidi="hi-IN"/>
              </w:rPr>
            </w:pPr>
            <w:r w:rsidRPr="00CA32AE">
              <w:rPr>
                <w:rFonts w:ascii="Calibri" w:eastAsia="Times New Roman" w:hAnsi="Calibri" w:cs="Calibri"/>
                <w:color w:val="000000"/>
                <w:lang w:bidi="hi-IN"/>
              </w:rPr>
              <w:t>Total Annual Expenditure on pension (Rs. Lakh crore)</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3.2</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2.9</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2.6</w:t>
            </w:r>
          </w:p>
        </w:tc>
        <w:tc>
          <w:tcPr>
            <w:tcW w:w="942"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2.4</w:t>
            </w:r>
          </w:p>
        </w:tc>
      </w:tr>
      <w:tr w:rsidR="00CA32AE" w:rsidRPr="00CA32AE" w:rsidTr="00CA32AE">
        <w:trPr>
          <w:trHeight w:val="413"/>
        </w:trPr>
        <w:tc>
          <w:tcPr>
            <w:tcW w:w="5595" w:type="dxa"/>
            <w:shd w:val="clear" w:color="auto" w:fill="auto"/>
            <w:noWrap/>
            <w:vAlign w:val="center"/>
            <w:hideMark/>
          </w:tcPr>
          <w:p w:rsidR="00CA32AE" w:rsidRPr="00CA32AE" w:rsidRDefault="00CA32AE" w:rsidP="00CA32AE">
            <w:pPr>
              <w:spacing w:after="0" w:line="240" w:lineRule="auto"/>
              <w:rPr>
                <w:rFonts w:ascii="Calibri" w:eastAsia="Times New Roman" w:hAnsi="Calibri" w:cs="Calibri"/>
                <w:color w:val="000000"/>
                <w:lang w:bidi="hi-IN"/>
              </w:rPr>
            </w:pPr>
            <w:r w:rsidRPr="00CA32AE">
              <w:rPr>
                <w:rFonts w:ascii="Calibri" w:eastAsia="Times New Roman" w:hAnsi="Calibri" w:cs="Calibri"/>
                <w:color w:val="000000"/>
                <w:lang w:bidi="hi-IN"/>
              </w:rPr>
              <w:t>Annual Expenditure on pension as % of Total Expenditure for 2017-18 (BE)</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15.0</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13.5</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12.0</w:t>
            </w:r>
          </w:p>
        </w:tc>
        <w:tc>
          <w:tcPr>
            <w:tcW w:w="942"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11.3</w:t>
            </w:r>
          </w:p>
        </w:tc>
      </w:tr>
      <w:tr w:rsidR="00CA32AE" w:rsidRPr="00CA32AE" w:rsidTr="00CA32AE">
        <w:trPr>
          <w:trHeight w:val="134"/>
        </w:trPr>
        <w:tc>
          <w:tcPr>
            <w:tcW w:w="5595" w:type="dxa"/>
            <w:shd w:val="clear" w:color="auto" w:fill="auto"/>
            <w:noWrap/>
            <w:vAlign w:val="center"/>
            <w:hideMark/>
          </w:tcPr>
          <w:p w:rsidR="00CA32AE" w:rsidRPr="00CA32AE" w:rsidRDefault="00CA32AE" w:rsidP="00CA32AE">
            <w:pPr>
              <w:spacing w:after="0" w:line="240" w:lineRule="auto"/>
              <w:rPr>
                <w:rFonts w:ascii="Calibri" w:eastAsia="Times New Roman" w:hAnsi="Calibri" w:cs="Calibri"/>
                <w:color w:val="000000"/>
                <w:lang w:bidi="hi-IN"/>
              </w:rPr>
            </w:pPr>
            <w:r>
              <w:rPr>
                <w:rFonts w:ascii="Calibri" w:eastAsia="Times New Roman" w:hAnsi="Calibri" w:cs="Calibri"/>
                <w:color w:val="000000"/>
                <w:lang w:bidi="hi-IN"/>
              </w:rPr>
              <w:t>Annual Expenditure on Pens</w:t>
            </w:r>
            <w:r w:rsidRPr="00CA32AE">
              <w:rPr>
                <w:rFonts w:ascii="Calibri" w:eastAsia="Times New Roman" w:hAnsi="Calibri" w:cs="Calibri"/>
                <w:color w:val="000000"/>
                <w:lang w:bidi="hi-IN"/>
              </w:rPr>
              <w:t xml:space="preserve">ion as % </w:t>
            </w:r>
            <w:r>
              <w:rPr>
                <w:rFonts w:ascii="Calibri" w:eastAsia="Times New Roman" w:hAnsi="Calibri" w:cs="Calibri"/>
                <w:color w:val="000000"/>
                <w:lang w:bidi="hi-IN"/>
              </w:rPr>
              <w:t xml:space="preserve">of </w:t>
            </w:r>
            <w:r w:rsidRPr="00CA32AE">
              <w:rPr>
                <w:rFonts w:ascii="Calibri" w:eastAsia="Times New Roman" w:hAnsi="Calibri" w:cs="Calibri"/>
                <w:color w:val="000000"/>
                <w:lang w:bidi="hi-IN"/>
              </w:rPr>
              <w:t>GDP</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1.91</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1.72</w:t>
            </w:r>
          </w:p>
        </w:tc>
        <w:tc>
          <w:tcPr>
            <w:tcW w:w="941"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1.53</w:t>
            </w:r>
          </w:p>
        </w:tc>
        <w:tc>
          <w:tcPr>
            <w:tcW w:w="942" w:type="dxa"/>
            <w:shd w:val="clear" w:color="auto" w:fill="auto"/>
            <w:noWrap/>
            <w:vAlign w:val="center"/>
            <w:hideMark/>
          </w:tcPr>
          <w:p w:rsidR="00CA32AE" w:rsidRPr="00CA32AE" w:rsidRDefault="00CA32AE" w:rsidP="00CA32AE">
            <w:pPr>
              <w:spacing w:after="0" w:line="240" w:lineRule="auto"/>
              <w:jc w:val="center"/>
              <w:rPr>
                <w:rFonts w:ascii="Calibri" w:eastAsia="Times New Roman" w:hAnsi="Calibri" w:cs="Calibri"/>
                <w:color w:val="000000"/>
                <w:lang w:bidi="hi-IN"/>
              </w:rPr>
            </w:pPr>
            <w:r w:rsidRPr="00CA32AE">
              <w:rPr>
                <w:rFonts w:ascii="Calibri" w:eastAsia="Times New Roman" w:hAnsi="Calibri" w:cs="Calibri"/>
                <w:color w:val="000000"/>
                <w:lang w:bidi="hi-IN"/>
              </w:rPr>
              <w:t>1.43</w:t>
            </w:r>
          </w:p>
        </w:tc>
      </w:tr>
    </w:tbl>
    <w:p w:rsidR="009C2A94" w:rsidRPr="00620027" w:rsidRDefault="00BD3DBF">
      <w:r w:rsidRPr="0086684D">
        <w:rPr>
          <w:i/>
          <w:iCs/>
        </w:rPr>
        <w:t>Source:</w:t>
      </w:r>
      <w:r w:rsidR="00620027">
        <w:rPr>
          <w:i/>
          <w:iCs/>
        </w:rPr>
        <w:t xml:space="preserve"> </w:t>
      </w:r>
      <w:r w:rsidR="00620027" w:rsidRPr="00620027">
        <w:t>Computed by CBGA</w:t>
      </w:r>
    </w:p>
    <w:p w:rsidR="00B84C14" w:rsidRDefault="00BD3DBF" w:rsidP="00633C3D">
      <w:pPr>
        <w:jc w:val="both"/>
      </w:pPr>
      <w:r w:rsidRPr="00DB48BC">
        <w:t>Given the requirement</w:t>
      </w:r>
      <w:r w:rsidR="00B84C14" w:rsidRPr="00DB48BC">
        <w:t xml:space="preserve"> as estimated in table </w:t>
      </w:r>
      <w:r w:rsidR="00464185">
        <w:t>16.</w:t>
      </w:r>
      <w:r w:rsidR="00B84C14" w:rsidRPr="00DB48BC">
        <w:t>3 and the wider informal nature of the economy</w:t>
      </w:r>
      <w:r w:rsidRPr="00DB48BC">
        <w:t xml:space="preserve">, there is a need to </w:t>
      </w:r>
      <w:r w:rsidR="00B84C14" w:rsidRPr="00DB48BC">
        <w:t xml:space="preserve">substantially hike the allocation for social security cover. </w:t>
      </w:r>
      <w:r w:rsidR="00C06C8C" w:rsidRPr="00DB48BC">
        <w:t xml:space="preserve">On the contrary, the Union Budget 2017-18 has kept the allocation for NSAP same, which in real terms is a cut if we factor in the inflation rate. </w:t>
      </w:r>
      <w:r w:rsidR="00F2222D" w:rsidRPr="00DB48BC">
        <w:t xml:space="preserve">Similarly a cut in </w:t>
      </w:r>
      <w:r w:rsidR="00A7489C">
        <w:t xml:space="preserve">National Health Protection, </w:t>
      </w:r>
      <w:r w:rsidR="00A7489C">
        <w:rPr>
          <w:rFonts w:eastAsia="Times New Roman" w:cstheme="minorHAnsi"/>
          <w:i/>
          <w:iCs/>
          <w:color w:val="000000"/>
          <w:lang w:bidi="hi-IN"/>
        </w:rPr>
        <w:t xml:space="preserve">Atal Pension </w:t>
      </w:r>
      <w:proofErr w:type="spellStart"/>
      <w:r w:rsidR="00A7489C">
        <w:rPr>
          <w:rFonts w:eastAsia="Times New Roman" w:cstheme="minorHAnsi"/>
          <w:i/>
          <w:iCs/>
          <w:color w:val="000000"/>
          <w:lang w:bidi="hi-IN"/>
        </w:rPr>
        <w:t>Y</w:t>
      </w:r>
      <w:r w:rsidR="00F2222D" w:rsidRPr="00031843">
        <w:rPr>
          <w:rFonts w:eastAsia="Times New Roman" w:cstheme="minorHAnsi"/>
          <w:i/>
          <w:iCs/>
          <w:color w:val="000000"/>
          <w:lang w:bidi="hi-IN"/>
        </w:rPr>
        <w:t>ojana</w:t>
      </w:r>
      <w:proofErr w:type="spellEnd"/>
      <w:r w:rsidR="00F2222D" w:rsidRPr="00DB48BC">
        <w:t xml:space="preserve">, </w:t>
      </w:r>
      <w:proofErr w:type="spellStart"/>
      <w:r w:rsidR="00A7489C">
        <w:rPr>
          <w:i/>
          <w:iCs/>
        </w:rPr>
        <w:t>Aam</w:t>
      </w:r>
      <w:proofErr w:type="spellEnd"/>
      <w:r w:rsidR="00A7489C">
        <w:rPr>
          <w:i/>
          <w:iCs/>
        </w:rPr>
        <w:t xml:space="preserve"> </w:t>
      </w:r>
      <w:proofErr w:type="spellStart"/>
      <w:r w:rsidR="00A7489C">
        <w:rPr>
          <w:i/>
          <w:iCs/>
        </w:rPr>
        <w:t>Admi</w:t>
      </w:r>
      <w:proofErr w:type="spellEnd"/>
      <w:r w:rsidR="00A7489C">
        <w:rPr>
          <w:i/>
          <w:iCs/>
        </w:rPr>
        <w:t xml:space="preserve"> </w:t>
      </w:r>
      <w:proofErr w:type="spellStart"/>
      <w:r w:rsidR="00A7489C">
        <w:rPr>
          <w:i/>
          <w:iCs/>
        </w:rPr>
        <w:t>Bima</w:t>
      </w:r>
      <w:proofErr w:type="spellEnd"/>
      <w:r w:rsidR="00A7489C">
        <w:rPr>
          <w:i/>
          <w:iCs/>
        </w:rPr>
        <w:t xml:space="preserve"> </w:t>
      </w:r>
      <w:proofErr w:type="spellStart"/>
      <w:r w:rsidR="00A7489C">
        <w:rPr>
          <w:i/>
          <w:iCs/>
        </w:rPr>
        <w:t>Y</w:t>
      </w:r>
      <w:r w:rsidR="00F2222D" w:rsidRPr="00DB48BC">
        <w:rPr>
          <w:i/>
          <w:iCs/>
        </w:rPr>
        <w:t>ojana</w:t>
      </w:r>
      <w:proofErr w:type="spellEnd"/>
      <w:r w:rsidR="00F2222D" w:rsidRPr="00DB48BC">
        <w:t xml:space="preserve"> and </w:t>
      </w:r>
      <w:proofErr w:type="spellStart"/>
      <w:r w:rsidR="00F2222D" w:rsidRPr="00031843">
        <w:rPr>
          <w:rFonts w:eastAsia="Times New Roman" w:cstheme="minorHAnsi"/>
          <w:i/>
          <w:iCs/>
          <w:color w:val="000000"/>
          <w:lang w:bidi="hi-IN"/>
        </w:rPr>
        <w:t>Swavalamban</w:t>
      </w:r>
      <w:proofErr w:type="spellEnd"/>
      <w:r w:rsidR="00F2222D" w:rsidRPr="00DB48BC">
        <w:rPr>
          <w:rFonts w:eastAsia="Times New Roman" w:cstheme="minorHAnsi"/>
          <w:color w:val="000000"/>
          <w:lang w:bidi="hi-IN"/>
        </w:rPr>
        <w:t xml:space="preserve"> s</w:t>
      </w:r>
      <w:r w:rsidR="00F2222D" w:rsidRPr="00031843">
        <w:rPr>
          <w:rFonts w:eastAsia="Times New Roman" w:cstheme="minorHAnsi"/>
          <w:color w:val="000000"/>
          <w:lang w:bidi="hi-IN"/>
        </w:rPr>
        <w:t>cheme</w:t>
      </w:r>
      <w:r w:rsidR="00F2222D" w:rsidRPr="00DB48BC">
        <w:rPr>
          <w:rFonts w:eastAsia="Times New Roman" w:cstheme="minorHAnsi"/>
          <w:color w:val="000000"/>
          <w:lang w:bidi="hi-IN"/>
        </w:rPr>
        <w:t xml:space="preserve"> shows that the already smaller amounts that were allocated earlier are being further shrunk which clearly shows that social protection is losing focus in the current policy </w:t>
      </w:r>
      <w:r w:rsidR="00A7489C">
        <w:rPr>
          <w:rFonts w:eastAsia="Times New Roman" w:cstheme="minorHAnsi"/>
          <w:color w:val="000000"/>
          <w:lang w:bidi="hi-IN"/>
        </w:rPr>
        <w:t xml:space="preserve">making regime. </w:t>
      </w:r>
      <w:r w:rsidR="00DF5EC4">
        <w:rPr>
          <w:rFonts w:eastAsia="Times New Roman" w:cstheme="minorHAnsi"/>
          <w:color w:val="000000"/>
          <w:lang w:bidi="hi-IN"/>
        </w:rPr>
        <w:t>This argument is further corroborated by the fact that o</w:t>
      </w:r>
      <w:r w:rsidR="00C06C8C" w:rsidRPr="00DB48BC">
        <w:t>verall allocation for the social security has declined in absolute terms in 2017-18 (BE) when compared to 2016-17 (BE)</w:t>
      </w:r>
      <w:r w:rsidR="00A7489C">
        <w:t>.</w:t>
      </w:r>
    </w:p>
    <w:sectPr w:rsidR="00B84C1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EDF" w:rsidRDefault="00151EDF" w:rsidP="00031843">
      <w:pPr>
        <w:spacing w:after="0" w:line="240" w:lineRule="auto"/>
      </w:pPr>
      <w:r>
        <w:separator/>
      </w:r>
    </w:p>
  </w:endnote>
  <w:endnote w:type="continuationSeparator" w:id="0">
    <w:p w:rsidR="00151EDF" w:rsidRDefault="00151EDF" w:rsidP="0003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866073"/>
      <w:docPartObj>
        <w:docPartGallery w:val="Page Numbers (Bottom of Page)"/>
        <w:docPartUnique/>
      </w:docPartObj>
    </w:sdtPr>
    <w:sdtEndPr>
      <w:rPr>
        <w:noProof/>
      </w:rPr>
    </w:sdtEndPr>
    <w:sdtContent>
      <w:p w:rsidR="00DD4C73" w:rsidRDefault="00DD4C73">
        <w:pPr>
          <w:pStyle w:val="Footer"/>
          <w:jc w:val="center"/>
        </w:pPr>
        <w:r>
          <w:fldChar w:fldCharType="begin"/>
        </w:r>
        <w:r>
          <w:instrText xml:space="preserve"> PAGE   \* MERGEFORMAT </w:instrText>
        </w:r>
        <w:r>
          <w:fldChar w:fldCharType="separate"/>
        </w:r>
        <w:r w:rsidR="00FA07D1">
          <w:rPr>
            <w:noProof/>
          </w:rPr>
          <w:t>3</w:t>
        </w:r>
        <w:r>
          <w:rPr>
            <w:noProof/>
          </w:rPr>
          <w:fldChar w:fldCharType="end"/>
        </w:r>
      </w:p>
    </w:sdtContent>
  </w:sdt>
  <w:p w:rsidR="00DD4C73" w:rsidRDefault="00DD4C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EDF" w:rsidRDefault="00151EDF" w:rsidP="00031843">
      <w:pPr>
        <w:spacing w:after="0" w:line="240" w:lineRule="auto"/>
      </w:pPr>
      <w:r>
        <w:separator/>
      </w:r>
    </w:p>
  </w:footnote>
  <w:footnote w:type="continuationSeparator" w:id="0">
    <w:p w:rsidR="00151EDF" w:rsidRDefault="00151EDF" w:rsidP="00031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65532"/>
    <w:multiLevelType w:val="hybridMultilevel"/>
    <w:tmpl w:val="BFD2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9698A"/>
    <w:multiLevelType w:val="hybridMultilevel"/>
    <w:tmpl w:val="21C6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43"/>
    <w:rsid w:val="000101FE"/>
    <w:rsid w:val="00027612"/>
    <w:rsid w:val="00031843"/>
    <w:rsid w:val="00062E58"/>
    <w:rsid w:val="000A4D11"/>
    <w:rsid w:val="00115239"/>
    <w:rsid w:val="00151EDF"/>
    <w:rsid w:val="00155D23"/>
    <w:rsid w:val="0017403C"/>
    <w:rsid w:val="001D439E"/>
    <w:rsid w:val="00287C5F"/>
    <w:rsid w:val="002B1879"/>
    <w:rsid w:val="002C4888"/>
    <w:rsid w:val="0030222D"/>
    <w:rsid w:val="00383AA3"/>
    <w:rsid w:val="003E016F"/>
    <w:rsid w:val="0040480A"/>
    <w:rsid w:val="00464185"/>
    <w:rsid w:val="004839CE"/>
    <w:rsid w:val="004E03FE"/>
    <w:rsid w:val="005274F3"/>
    <w:rsid w:val="00567654"/>
    <w:rsid w:val="00567C14"/>
    <w:rsid w:val="005B3D4F"/>
    <w:rsid w:val="005E1510"/>
    <w:rsid w:val="00607B38"/>
    <w:rsid w:val="00620027"/>
    <w:rsid w:val="00633C3D"/>
    <w:rsid w:val="006E5A9F"/>
    <w:rsid w:val="006E628D"/>
    <w:rsid w:val="00702FE9"/>
    <w:rsid w:val="0086684D"/>
    <w:rsid w:val="008B3CD8"/>
    <w:rsid w:val="008E21D8"/>
    <w:rsid w:val="009115D8"/>
    <w:rsid w:val="009C2A94"/>
    <w:rsid w:val="00A27B0D"/>
    <w:rsid w:val="00A7489C"/>
    <w:rsid w:val="00AA592F"/>
    <w:rsid w:val="00AB4B5D"/>
    <w:rsid w:val="00B84C14"/>
    <w:rsid w:val="00BD3DBF"/>
    <w:rsid w:val="00BF0C25"/>
    <w:rsid w:val="00BF796E"/>
    <w:rsid w:val="00C06C8C"/>
    <w:rsid w:val="00C11B46"/>
    <w:rsid w:val="00C14A36"/>
    <w:rsid w:val="00C437D2"/>
    <w:rsid w:val="00CA32AE"/>
    <w:rsid w:val="00DB48BC"/>
    <w:rsid w:val="00DD4C73"/>
    <w:rsid w:val="00DF5EC4"/>
    <w:rsid w:val="00E31AE2"/>
    <w:rsid w:val="00E77020"/>
    <w:rsid w:val="00EA6347"/>
    <w:rsid w:val="00F2222D"/>
    <w:rsid w:val="00F94453"/>
    <w:rsid w:val="00FA07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14"/>
    <w:rPr>
      <w:rFonts w:ascii="Tahoma" w:hAnsi="Tahoma" w:cs="Tahoma"/>
      <w:sz w:val="16"/>
      <w:szCs w:val="16"/>
    </w:rPr>
  </w:style>
  <w:style w:type="character" w:customStyle="1" w:styleId="apple-converted-space">
    <w:name w:val="apple-converted-space"/>
    <w:basedOn w:val="DefaultParagraphFont"/>
    <w:rsid w:val="00A7489C"/>
  </w:style>
  <w:style w:type="table" w:styleId="TableGrid">
    <w:name w:val="Table Grid"/>
    <w:basedOn w:val="TableNormal"/>
    <w:uiPriority w:val="59"/>
    <w:rsid w:val="008B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CD8"/>
    <w:pPr>
      <w:ind w:left="720"/>
      <w:contextualSpacing/>
    </w:pPr>
  </w:style>
  <w:style w:type="paragraph" w:styleId="Header">
    <w:name w:val="header"/>
    <w:basedOn w:val="Normal"/>
    <w:link w:val="HeaderChar"/>
    <w:uiPriority w:val="99"/>
    <w:unhideWhenUsed/>
    <w:rsid w:val="00DD4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73"/>
  </w:style>
  <w:style w:type="paragraph" w:styleId="Footer">
    <w:name w:val="footer"/>
    <w:basedOn w:val="Normal"/>
    <w:link w:val="FooterChar"/>
    <w:uiPriority w:val="99"/>
    <w:unhideWhenUsed/>
    <w:rsid w:val="00DD4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14"/>
    <w:rPr>
      <w:rFonts w:ascii="Tahoma" w:hAnsi="Tahoma" w:cs="Tahoma"/>
      <w:sz w:val="16"/>
      <w:szCs w:val="16"/>
    </w:rPr>
  </w:style>
  <w:style w:type="character" w:customStyle="1" w:styleId="apple-converted-space">
    <w:name w:val="apple-converted-space"/>
    <w:basedOn w:val="DefaultParagraphFont"/>
    <w:rsid w:val="00A7489C"/>
  </w:style>
  <w:style w:type="table" w:styleId="TableGrid">
    <w:name w:val="Table Grid"/>
    <w:basedOn w:val="TableNormal"/>
    <w:uiPriority w:val="59"/>
    <w:rsid w:val="008B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CD8"/>
    <w:pPr>
      <w:ind w:left="720"/>
      <w:contextualSpacing/>
    </w:pPr>
  </w:style>
  <w:style w:type="paragraph" w:styleId="Header">
    <w:name w:val="header"/>
    <w:basedOn w:val="Normal"/>
    <w:link w:val="HeaderChar"/>
    <w:uiPriority w:val="99"/>
    <w:unhideWhenUsed/>
    <w:rsid w:val="00DD4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73"/>
  </w:style>
  <w:style w:type="paragraph" w:styleId="Footer">
    <w:name w:val="footer"/>
    <w:basedOn w:val="Normal"/>
    <w:link w:val="FooterChar"/>
    <w:uiPriority w:val="99"/>
    <w:unhideWhenUsed/>
    <w:rsid w:val="00DD4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32865">
      <w:bodyDiv w:val="1"/>
      <w:marLeft w:val="0"/>
      <w:marRight w:val="0"/>
      <w:marTop w:val="0"/>
      <w:marBottom w:val="0"/>
      <w:divBdr>
        <w:top w:val="none" w:sz="0" w:space="0" w:color="auto"/>
        <w:left w:val="none" w:sz="0" w:space="0" w:color="auto"/>
        <w:bottom w:val="none" w:sz="0" w:space="0" w:color="auto"/>
        <w:right w:val="none" w:sz="0" w:space="0" w:color="auto"/>
      </w:divBdr>
    </w:div>
    <w:div w:id="626591439">
      <w:bodyDiv w:val="1"/>
      <w:marLeft w:val="0"/>
      <w:marRight w:val="0"/>
      <w:marTop w:val="0"/>
      <w:marBottom w:val="0"/>
      <w:divBdr>
        <w:top w:val="none" w:sz="0" w:space="0" w:color="auto"/>
        <w:left w:val="none" w:sz="0" w:space="0" w:color="auto"/>
        <w:bottom w:val="none" w:sz="0" w:space="0" w:color="auto"/>
        <w:right w:val="none" w:sz="0" w:space="0" w:color="auto"/>
      </w:divBdr>
    </w:div>
    <w:div w:id="770707314">
      <w:bodyDiv w:val="1"/>
      <w:marLeft w:val="0"/>
      <w:marRight w:val="0"/>
      <w:marTop w:val="0"/>
      <w:marBottom w:val="0"/>
      <w:divBdr>
        <w:top w:val="none" w:sz="0" w:space="0" w:color="auto"/>
        <w:left w:val="none" w:sz="0" w:space="0" w:color="auto"/>
        <w:bottom w:val="none" w:sz="0" w:space="0" w:color="auto"/>
        <w:right w:val="none" w:sz="0" w:space="0" w:color="auto"/>
      </w:divBdr>
    </w:div>
    <w:div w:id="1443451933">
      <w:bodyDiv w:val="1"/>
      <w:marLeft w:val="0"/>
      <w:marRight w:val="0"/>
      <w:marTop w:val="0"/>
      <w:marBottom w:val="0"/>
      <w:divBdr>
        <w:top w:val="none" w:sz="0" w:space="0" w:color="auto"/>
        <w:left w:val="none" w:sz="0" w:space="0" w:color="auto"/>
        <w:bottom w:val="none" w:sz="0" w:space="0" w:color="auto"/>
        <w:right w:val="none" w:sz="0" w:space="0" w:color="auto"/>
      </w:divBdr>
    </w:div>
    <w:div w:id="157509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r\Desktop\GDP%20and%20Total%20Union%20Budget%20Expendit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Sheet1!$A$12</c:f>
              <c:strCache>
                <c:ptCount val="1"/>
                <c:pt idx="0">
                  <c:v>Social Security as % of Total Exp</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Sheet1!$B$11:$H$11</c:f>
              <c:strCache>
                <c:ptCount val="7"/>
                <c:pt idx="0">
                  <c:v>2012-13 A</c:v>
                </c:pt>
                <c:pt idx="1">
                  <c:v>2013-14 A</c:v>
                </c:pt>
                <c:pt idx="2">
                  <c:v>2014-15 A</c:v>
                </c:pt>
                <c:pt idx="3">
                  <c:v>2015-16 A</c:v>
                </c:pt>
                <c:pt idx="4">
                  <c:v>2016-17 (BE)</c:v>
                </c:pt>
                <c:pt idx="5">
                  <c:v>2016-17 (RE)</c:v>
                </c:pt>
                <c:pt idx="6">
                  <c:v>2017-18 (BE)</c:v>
                </c:pt>
              </c:strCache>
            </c:strRef>
          </c:cat>
          <c:val>
            <c:numRef>
              <c:f>Sheet1!$B$12:$H$12</c:f>
              <c:numCache>
                <c:formatCode>0.00</c:formatCode>
                <c:ptCount val="7"/>
                <c:pt idx="0">
                  <c:v>0.6402849744606387</c:v>
                </c:pt>
                <c:pt idx="1">
                  <c:v>0.65451406812799662</c:v>
                </c:pt>
                <c:pt idx="2">
                  <c:v>0.48799253218631311</c:v>
                </c:pt>
                <c:pt idx="3">
                  <c:v>0.53745484517107878</c:v>
                </c:pt>
                <c:pt idx="4">
                  <c:v>0.61805000859427917</c:v>
                </c:pt>
                <c:pt idx="5">
                  <c:v>0.52153661102249937</c:v>
                </c:pt>
                <c:pt idx="6">
                  <c:v>0.53220355563215771</c:v>
                </c:pt>
              </c:numCache>
            </c:numRef>
          </c:val>
          <c:extLst xmlns:c16r2="http://schemas.microsoft.com/office/drawing/2015/06/chart">
            <c:ext xmlns:c16="http://schemas.microsoft.com/office/drawing/2014/chart" uri="{C3380CC4-5D6E-409C-BE32-E72D297353CC}">
              <c16:uniqueId val="{00000000-AE9D-46C9-8DAE-0F0EF1E7C40C}"/>
            </c:ext>
          </c:extLst>
        </c:ser>
        <c:dLbls>
          <c:showLegendKey val="0"/>
          <c:showVal val="0"/>
          <c:showCatName val="0"/>
          <c:showSerName val="0"/>
          <c:showPercent val="0"/>
          <c:showBubbleSize val="0"/>
        </c:dLbls>
        <c:gapWidth val="75"/>
        <c:overlap val="-25"/>
        <c:axId val="92228224"/>
        <c:axId val="92254592"/>
      </c:barChart>
      <c:lineChart>
        <c:grouping val="standard"/>
        <c:varyColors val="0"/>
        <c:ser>
          <c:idx val="1"/>
          <c:order val="1"/>
          <c:tx>
            <c:strRef>
              <c:f>Sheet1!$A$13</c:f>
              <c:strCache>
                <c:ptCount val="1"/>
                <c:pt idx="0">
                  <c:v>Social Security as % of GDP</c:v>
                </c:pt>
              </c:strCache>
            </c:strRef>
          </c:tx>
          <c:marker>
            <c:symbol val="none"/>
          </c:marker>
          <c:dLbls>
            <c:spPr>
              <a:noFill/>
              <a:ln>
                <a:noFill/>
              </a:ln>
              <a:effectLst/>
            </c:spPr>
            <c:dLblPos val="b"/>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Sheet1!$B$11:$H$11</c:f>
              <c:strCache>
                <c:ptCount val="7"/>
                <c:pt idx="0">
                  <c:v>2012-13 A</c:v>
                </c:pt>
                <c:pt idx="1">
                  <c:v>2013-14 A</c:v>
                </c:pt>
                <c:pt idx="2">
                  <c:v>2014-15 A</c:v>
                </c:pt>
                <c:pt idx="3">
                  <c:v>2015-16 A</c:v>
                </c:pt>
                <c:pt idx="4">
                  <c:v>2016-17 (BE)</c:v>
                </c:pt>
                <c:pt idx="5">
                  <c:v>2016-17 (RE)</c:v>
                </c:pt>
                <c:pt idx="6">
                  <c:v>2017-18 (BE)</c:v>
                </c:pt>
              </c:strCache>
            </c:strRef>
          </c:cat>
          <c:val>
            <c:numRef>
              <c:f>Sheet1!$B$13:$H$13</c:f>
              <c:numCache>
                <c:formatCode>0.00</c:formatCode>
                <c:ptCount val="7"/>
                <c:pt idx="0">
                  <c:v>9.0788483664225775E-2</c:v>
                </c:pt>
                <c:pt idx="1">
                  <c:v>9.0835023118575969E-2</c:v>
                </c:pt>
                <c:pt idx="2">
                  <c:v>6.5294868024117256E-2</c:v>
                </c:pt>
                <c:pt idx="3">
                  <c:v>7.0379649311596182E-2</c:v>
                </c:pt>
                <c:pt idx="4">
                  <c:v>8.1094872988357408E-2</c:v>
                </c:pt>
                <c:pt idx="5">
                  <c:v>6.9688696752841991E-2</c:v>
                </c:pt>
                <c:pt idx="6">
                  <c:v>6.7814396892587045E-2</c:v>
                </c:pt>
              </c:numCache>
            </c:numRef>
          </c:val>
          <c:smooth val="0"/>
          <c:extLst xmlns:c16r2="http://schemas.microsoft.com/office/drawing/2015/06/chart">
            <c:ext xmlns:c16="http://schemas.microsoft.com/office/drawing/2014/chart" uri="{C3380CC4-5D6E-409C-BE32-E72D297353CC}">
              <c16:uniqueId val="{00000001-AE9D-46C9-8DAE-0F0EF1E7C40C}"/>
            </c:ext>
          </c:extLst>
        </c:ser>
        <c:dLbls>
          <c:showLegendKey val="0"/>
          <c:showVal val="0"/>
          <c:showCatName val="0"/>
          <c:showSerName val="0"/>
          <c:showPercent val="0"/>
          <c:showBubbleSize val="0"/>
        </c:dLbls>
        <c:marker val="1"/>
        <c:smooth val="0"/>
        <c:axId val="92257664"/>
        <c:axId val="92256128"/>
      </c:lineChart>
      <c:catAx>
        <c:axId val="92228224"/>
        <c:scaling>
          <c:orientation val="minMax"/>
        </c:scaling>
        <c:delete val="0"/>
        <c:axPos val="b"/>
        <c:numFmt formatCode="General" sourceLinked="0"/>
        <c:majorTickMark val="none"/>
        <c:minorTickMark val="none"/>
        <c:tickLblPos val="nextTo"/>
        <c:crossAx val="92254592"/>
        <c:crosses val="autoZero"/>
        <c:auto val="1"/>
        <c:lblAlgn val="ctr"/>
        <c:lblOffset val="100"/>
        <c:noMultiLvlLbl val="0"/>
      </c:catAx>
      <c:valAx>
        <c:axId val="92254592"/>
        <c:scaling>
          <c:orientation val="minMax"/>
        </c:scaling>
        <c:delete val="0"/>
        <c:axPos val="l"/>
        <c:numFmt formatCode="0.00" sourceLinked="1"/>
        <c:majorTickMark val="none"/>
        <c:minorTickMark val="none"/>
        <c:tickLblPos val="nextTo"/>
        <c:crossAx val="92228224"/>
        <c:crosses val="autoZero"/>
        <c:crossBetween val="between"/>
      </c:valAx>
      <c:valAx>
        <c:axId val="92256128"/>
        <c:scaling>
          <c:orientation val="minMax"/>
        </c:scaling>
        <c:delete val="0"/>
        <c:axPos val="r"/>
        <c:numFmt formatCode="0.00" sourceLinked="1"/>
        <c:majorTickMark val="out"/>
        <c:minorTickMark val="none"/>
        <c:tickLblPos val="nextTo"/>
        <c:crossAx val="92257664"/>
        <c:crosses val="max"/>
        <c:crossBetween val="between"/>
      </c:valAx>
      <c:catAx>
        <c:axId val="92257664"/>
        <c:scaling>
          <c:orientation val="minMax"/>
        </c:scaling>
        <c:delete val="1"/>
        <c:axPos val="b"/>
        <c:numFmt formatCode="General" sourceLinked="1"/>
        <c:majorTickMark val="out"/>
        <c:minorTickMark val="none"/>
        <c:tickLblPos val="nextTo"/>
        <c:crossAx val="92256128"/>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Priyanka</cp:lastModifiedBy>
  <cp:revision>2</cp:revision>
  <dcterms:created xsi:type="dcterms:W3CDTF">2017-02-02T01:00:00Z</dcterms:created>
  <dcterms:modified xsi:type="dcterms:W3CDTF">2017-02-02T01:00:00Z</dcterms:modified>
</cp:coreProperties>
</file>