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F03" w:rsidRPr="00DE4C5B" w:rsidRDefault="00DE4C5B" w:rsidP="00FD225C">
      <w:pPr>
        <w:jc w:val="center"/>
        <w:rPr>
          <w:rFonts w:ascii="Calibri" w:hAnsi="Calibri"/>
          <w:b/>
          <w:bCs/>
        </w:rPr>
      </w:pPr>
      <w:r>
        <w:rPr>
          <w:rFonts w:ascii="Calibri" w:hAnsi="Calibri"/>
          <w:b/>
          <w:bCs/>
        </w:rPr>
        <w:t xml:space="preserve">17. </w:t>
      </w:r>
      <w:r w:rsidR="006F119E" w:rsidRPr="00DE4C5B">
        <w:rPr>
          <w:rFonts w:ascii="Calibri" w:hAnsi="Calibri"/>
          <w:b/>
          <w:bCs/>
        </w:rPr>
        <w:t>URBAN POOR</w:t>
      </w:r>
    </w:p>
    <w:tbl>
      <w:tblPr>
        <w:tblStyle w:val="TableGrid"/>
        <w:tblW w:w="9360" w:type="dxa"/>
        <w:tblInd w:w="108" w:type="dxa"/>
        <w:tblLook w:val="04A0" w:firstRow="1" w:lastRow="0" w:firstColumn="1" w:lastColumn="0" w:noHBand="0" w:noVBand="1"/>
      </w:tblPr>
      <w:tblGrid>
        <w:gridCol w:w="9360"/>
      </w:tblGrid>
      <w:tr w:rsidR="00E240D5" w:rsidRPr="00731F1B" w:rsidTr="00876439">
        <w:tc>
          <w:tcPr>
            <w:tcW w:w="9360" w:type="dxa"/>
          </w:tcPr>
          <w:p w:rsidR="00E240D5" w:rsidRPr="00731F1B" w:rsidRDefault="00E240D5" w:rsidP="0070720B">
            <w:pPr>
              <w:spacing w:line="276" w:lineRule="auto"/>
              <w:jc w:val="center"/>
              <w:rPr>
                <w:rFonts w:ascii="Calibri" w:hAnsi="Calibri"/>
                <w:b/>
                <w:bCs/>
              </w:rPr>
            </w:pPr>
            <w:r w:rsidRPr="00731F1B">
              <w:rPr>
                <w:rFonts w:ascii="Calibri" w:hAnsi="Calibri"/>
                <w:b/>
                <w:bCs/>
              </w:rPr>
              <w:t>Highlights</w:t>
            </w:r>
            <w:r w:rsidR="00E82CED">
              <w:rPr>
                <w:rFonts w:ascii="Calibri" w:hAnsi="Calibri"/>
                <w:b/>
                <w:bCs/>
              </w:rPr>
              <w:br/>
            </w:r>
          </w:p>
          <w:p w:rsidR="00876439" w:rsidRPr="00731F1B" w:rsidRDefault="00E240D5" w:rsidP="00876439">
            <w:pPr>
              <w:pStyle w:val="ListParagraph"/>
              <w:numPr>
                <w:ilvl w:val="0"/>
                <w:numId w:val="6"/>
              </w:numPr>
              <w:spacing w:line="276" w:lineRule="auto"/>
              <w:jc w:val="both"/>
              <w:rPr>
                <w:rFonts w:ascii="Calibri" w:hAnsi="Calibri"/>
                <w:b/>
                <w:bCs/>
              </w:rPr>
            </w:pPr>
            <w:r w:rsidRPr="00731F1B">
              <w:rPr>
                <w:rFonts w:ascii="Calibri" w:eastAsia="Times New Roman" w:hAnsi="Calibri" w:cs="Calibri"/>
                <w:color w:val="000000"/>
                <w:lang w:bidi="hi-IN"/>
              </w:rPr>
              <w:t xml:space="preserve">Credit Linked Subsidy Scheme (CLSS)-II for Middle Income Group (MIG) in </w:t>
            </w:r>
            <w:r w:rsidRPr="00731F1B">
              <w:rPr>
                <w:i/>
                <w:iCs/>
              </w:rPr>
              <w:t xml:space="preserve">Pradhan </w:t>
            </w:r>
            <w:proofErr w:type="spellStart"/>
            <w:r w:rsidRPr="00731F1B">
              <w:rPr>
                <w:i/>
                <w:iCs/>
              </w:rPr>
              <w:t>Mantri</w:t>
            </w:r>
            <w:proofErr w:type="spellEnd"/>
            <w:r w:rsidRPr="00731F1B">
              <w:rPr>
                <w:i/>
                <w:iCs/>
              </w:rPr>
              <w:t xml:space="preserve"> </w:t>
            </w:r>
            <w:proofErr w:type="spellStart"/>
            <w:r w:rsidRPr="00731F1B">
              <w:rPr>
                <w:i/>
                <w:iCs/>
              </w:rPr>
              <w:t>Awas</w:t>
            </w:r>
            <w:proofErr w:type="spellEnd"/>
            <w:r w:rsidRPr="00731F1B">
              <w:rPr>
                <w:i/>
                <w:iCs/>
              </w:rPr>
              <w:t xml:space="preserve"> </w:t>
            </w:r>
            <w:proofErr w:type="spellStart"/>
            <w:r w:rsidRPr="00731F1B">
              <w:rPr>
                <w:i/>
                <w:iCs/>
              </w:rPr>
              <w:t>Yojna</w:t>
            </w:r>
            <w:proofErr w:type="spellEnd"/>
            <w:r w:rsidRPr="00731F1B">
              <w:t xml:space="preserve"> (PMAY)-Urban introduced </w:t>
            </w:r>
            <w:r w:rsidRPr="00731F1B">
              <w:rPr>
                <w:rFonts w:ascii="Calibri" w:eastAsia="Times New Roman" w:hAnsi="Calibri" w:cs="Calibri"/>
                <w:color w:val="000000"/>
                <w:lang w:bidi="hi-IN"/>
              </w:rPr>
              <w:t xml:space="preserve">with allocation of </w:t>
            </w:r>
            <w:proofErr w:type="spellStart"/>
            <w:r w:rsidRPr="00731F1B">
              <w:rPr>
                <w:rFonts w:ascii="Calibri" w:eastAsia="Times New Roman" w:hAnsi="Calibri" w:cs="Calibri"/>
                <w:color w:val="000000"/>
                <w:lang w:bidi="hi-IN"/>
              </w:rPr>
              <w:t>Rs</w:t>
            </w:r>
            <w:proofErr w:type="spellEnd"/>
            <w:r w:rsidRPr="00731F1B">
              <w:rPr>
                <w:rFonts w:ascii="Calibri" w:eastAsia="Times New Roman" w:hAnsi="Calibri" w:cs="Calibri"/>
                <w:color w:val="000000"/>
                <w:lang w:bidi="hi-IN"/>
              </w:rPr>
              <w:t xml:space="preserve"> 1</w:t>
            </w:r>
            <w:r w:rsidR="0070720B">
              <w:rPr>
                <w:rFonts w:ascii="Calibri" w:eastAsia="Times New Roman" w:hAnsi="Calibri" w:cs="Calibri"/>
                <w:color w:val="000000"/>
                <w:lang w:bidi="hi-IN"/>
              </w:rPr>
              <w:t>,</w:t>
            </w:r>
            <w:r w:rsidRPr="00731F1B">
              <w:rPr>
                <w:rFonts w:ascii="Calibri" w:eastAsia="Times New Roman" w:hAnsi="Calibri" w:cs="Calibri"/>
                <w:color w:val="000000"/>
                <w:lang w:bidi="hi-IN"/>
              </w:rPr>
              <w:t>000 crore</w:t>
            </w:r>
            <w:r w:rsidR="0070720B">
              <w:rPr>
                <w:rFonts w:ascii="Calibri" w:eastAsia="Times New Roman" w:hAnsi="Calibri" w:cs="Calibri"/>
                <w:color w:val="000000"/>
                <w:lang w:bidi="hi-IN"/>
              </w:rPr>
              <w:t>.</w:t>
            </w:r>
            <w:r w:rsidR="00876439" w:rsidRPr="00731F1B">
              <w:rPr>
                <w:rFonts w:ascii="Calibri" w:eastAsia="Times New Roman" w:hAnsi="Calibri" w:cs="Calibri"/>
                <w:color w:val="000000"/>
                <w:lang w:bidi="hi-IN"/>
              </w:rPr>
              <w:t xml:space="preserve"> </w:t>
            </w:r>
          </w:p>
          <w:p w:rsidR="00E240D5" w:rsidRPr="00731F1B" w:rsidRDefault="00876439" w:rsidP="00876439">
            <w:pPr>
              <w:pStyle w:val="ListParagraph"/>
              <w:numPr>
                <w:ilvl w:val="0"/>
                <w:numId w:val="6"/>
              </w:numPr>
              <w:spacing w:line="276" w:lineRule="auto"/>
              <w:jc w:val="both"/>
              <w:rPr>
                <w:rFonts w:ascii="Calibri" w:hAnsi="Calibri"/>
                <w:b/>
                <w:bCs/>
              </w:rPr>
            </w:pPr>
            <w:r w:rsidRPr="00731F1B">
              <w:rPr>
                <w:rFonts w:ascii="Calibri" w:eastAsia="Times New Roman" w:hAnsi="Calibri" w:cs="Calibri"/>
                <w:color w:val="000000"/>
                <w:lang w:bidi="hi-IN"/>
              </w:rPr>
              <w:t>Total allocation for PMAY increased from 5</w:t>
            </w:r>
            <w:r w:rsidR="00E82CED">
              <w:rPr>
                <w:rFonts w:ascii="Calibri" w:eastAsia="Times New Roman" w:hAnsi="Calibri" w:cs="Calibri"/>
                <w:color w:val="000000"/>
                <w:lang w:bidi="hi-IN"/>
              </w:rPr>
              <w:t>,</w:t>
            </w:r>
            <w:r w:rsidRPr="00731F1B">
              <w:rPr>
                <w:rFonts w:ascii="Calibri" w:eastAsia="Times New Roman" w:hAnsi="Calibri" w:cs="Calibri"/>
                <w:color w:val="000000"/>
                <w:lang w:bidi="hi-IN"/>
              </w:rPr>
              <w:t xml:space="preserve">075 in 2016-17 (BE) to </w:t>
            </w:r>
            <w:proofErr w:type="spellStart"/>
            <w:r w:rsidRPr="00731F1B">
              <w:rPr>
                <w:rFonts w:ascii="Calibri" w:eastAsia="Times New Roman" w:hAnsi="Calibri" w:cs="Calibri"/>
                <w:color w:val="000000"/>
                <w:lang w:bidi="hi-IN"/>
              </w:rPr>
              <w:t>Rs</w:t>
            </w:r>
            <w:proofErr w:type="spellEnd"/>
            <w:r w:rsidRPr="00731F1B">
              <w:rPr>
                <w:rFonts w:ascii="Calibri" w:eastAsia="Times New Roman" w:hAnsi="Calibri" w:cs="Calibri"/>
                <w:color w:val="000000"/>
                <w:lang w:bidi="hi-IN"/>
              </w:rPr>
              <w:t>. 6</w:t>
            </w:r>
            <w:r w:rsidR="0070720B">
              <w:rPr>
                <w:rFonts w:ascii="Calibri" w:eastAsia="Times New Roman" w:hAnsi="Calibri" w:cs="Calibri"/>
                <w:color w:val="000000"/>
                <w:lang w:bidi="hi-IN"/>
              </w:rPr>
              <w:t>,</w:t>
            </w:r>
            <w:r w:rsidRPr="00731F1B">
              <w:rPr>
                <w:rFonts w:ascii="Calibri" w:eastAsia="Times New Roman" w:hAnsi="Calibri" w:cs="Calibri"/>
                <w:color w:val="000000"/>
                <w:lang w:bidi="hi-IN"/>
              </w:rPr>
              <w:t>043 crore in 2017-18 (BE)</w:t>
            </w:r>
          </w:p>
          <w:p w:rsidR="00E240D5" w:rsidRPr="00731F1B" w:rsidRDefault="00E240D5" w:rsidP="00876439">
            <w:pPr>
              <w:pStyle w:val="ListParagraph"/>
              <w:numPr>
                <w:ilvl w:val="0"/>
                <w:numId w:val="6"/>
              </w:numPr>
              <w:spacing w:line="276" w:lineRule="auto"/>
              <w:jc w:val="both"/>
              <w:rPr>
                <w:rFonts w:ascii="Calibri" w:hAnsi="Calibri"/>
                <w:b/>
                <w:bCs/>
              </w:rPr>
            </w:pPr>
            <w:r w:rsidRPr="00731F1B">
              <w:t xml:space="preserve">The expenditure by Ministry of Housing and Urban Poverty Alleviation in 2015-16 was only </w:t>
            </w:r>
            <w:proofErr w:type="spellStart"/>
            <w:r w:rsidRPr="00731F1B">
              <w:t>Rs</w:t>
            </w:r>
            <w:proofErr w:type="spellEnd"/>
            <w:r w:rsidRPr="00731F1B">
              <w:t>. 1</w:t>
            </w:r>
            <w:r w:rsidR="0070720B">
              <w:t>,</w:t>
            </w:r>
            <w:r w:rsidRPr="00731F1B">
              <w:t xml:space="preserve">761 crore against the budget allocation of </w:t>
            </w:r>
            <w:proofErr w:type="spellStart"/>
            <w:r w:rsidRPr="00731F1B">
              <w:t>Rs</w:t>
            </w:r>
            <w:proofErr w:type="spellEnd"/>
            <w:r w:rsidRPr="00731F1B">
              <w:t>. 5</w:t>
            </w:r>
            <w:r w:rsidR="0070720B">
              <w:t>,</w:t>
            </w:r>
            <w:r w:rsidRPr="00731F1B">
              <w:t>635 crore</w:t>
            </w:r>
            <w:r w:rsidR="0070720B">
              <w:t>.</w:t>
            </w:r>
          </w:p>
          <w:p w:rsidR="00E240D5" w:rsidRPr="00731F1B" w:rsidRDefault="00876439" w:rsidP="00876439">
            <w:pPr>
              <w:pStyle w:val="ListParagraph"/>
              <w:numPr>
                <w:ilvl w:val="0"/>
                <w:numId w:val="6"/>
              </w:numPr>
              <w:spacing w:line="276" w:lineRule="auto"/>
              <w:jc w:val="both"/>
              <w:rPr>
                <w:rFonts w:ascii="Calibri" w:hAnsi="Calibri"/>
                <w:b/>
                <w:bCs/>
              </w:rPr>
            </w:pPr>
            <w:r w:rsidRPr="00731F1B">
              <w:t xml:space="preserve">Total allocation for MRTS and Metro projects is </w:t>
            </w:r>
            <w:proofErr w:type="spellStart"/>
            <w:r w:rsidRPr="00731F1B">
              <w:t>Rs</w:t>
            </w:r>
            <w:proofErr w:type="spellEnd"/>
            <w:r w:rsidRPr="00731F1B">
              <w:t>. 18</w:t>
            </w:r>
            <w:r w:rsidR="0070720B">
              <w:t>,</w:t>
            </w:r>
            <w:r w:rsidRPr="00731F1B">
              <w:t xml:space="preserve">000 crore out of the total budget of </w:t>
            </w:r>
            <w:proofErr w:type="spellStart"/>
            <w:r w:rsidRPr="00731F1B">
              <w:t>Rs</w:t>
            </w:r>
            <w:proofErr w:type="spellEnd"/>
            <w:r w:rsidRPr="00731F1B">
              <w:t>. 34</w:t>
            </w:r>
            <w:r w:rsidR="0070720B">
              <w:t>,</w:t>
            </w:r>
            <w:r w:rsidRPr="00731F1B">
              <w:t>212 crore of Ministry of Urban Development</w:t>
            </w:r>
            <w:r w:rsidR="0070720B">
              <w:t>.</w:t>
            </w:r>
          </w:p>
        </w:tc>
      </w:tr>
    </w:tbl>
    <w:p w:rsidR="00E240D5" w:rsidRPr="00731F1B" w:rsidRDefault="00E240D5" w:rsidP="00E240D5">
      <w:pPr>
        <w:pStyle w:val="ListParagraph"/>
        <w:jc w:val="both"/>
        <w:rPr>
          <w:rFonts w:ascii="Calibri" w:hAnsi="Calibri"/>
          <w:b/>
          <w:bCs/>
        </w:rPr>
      </w:pPr>
    </w:p>
    <w:p w:rsidR="00A12C01" w:rsidRPr="00731F1B" w:rsidRDefault="003213EF" w:rsidP="000D1947">
      <w:pPr>
        <w:jc w:val="both"/>
      </w:pPr>
      <w:r w:rsidRPr="00731F1B">
        <w:t>Poverty estimates by Expert Group (</w:t>
      </w:r>
      <w:proofErr w:type="spellStart"/>
      <w:r w:rsidRPr="00731F1B">
        <w:t>Rangrajan</w:t>
      </w:r>
      <w:proofErr w:type="spellEnd"/>
      <w:r w:rsidR="00E45D18">
        <w:t>, 2014)</w:t>
      </w:r>
      <w:r w:rsidRPr="00731F1B">
        <w:t xml:space="preserve"> show that </w:t>
      </w:r>
      <w:r w:rsidR="00251730" w:rsidRPr="00731F1B">
        <w:t xml:space="preserve">in 2011-12 there were 103 million people in urban areas living under the poverty line. As per Census 2011, 13.7 million households or 17.4 percent of the urban households in India live in slums. By 2030, 575 million </w:t>
      </w:r>
      <w:r w:rsidR="00881C64">
        <w:t>people</w:t>
      </w:r>
      <w:r w:rsidR="0070720B">
        <w:t xml:space="preserve"> </w:t>
      </w:r>
      <w:r w:rsidR="00FD225C">
        <w:t>i.</w:t>
      </w:r>
      <w:r w:rsidR="00881C64">
        <w:t>e.</w:t>
      </w:r>
      <w:r w:rsidR="00251730" w:rsidRPr="00731F1B">
        <w:t xml:space="preserve"> double the current urban population, will live in urban areas. Projections show that Mumbai and Delhi will be amongst the five larges</w:t>
      </w:r>
      <w:r w:rsidR="00A12C01" w:rsidRPr="00731F1B">
        <w:t>t cities in the world. It will be a challeng</w:t>
      </w:r>
      <w:r w:rsidR="00881C64">
        <w:t>e</w:t>
      </w:r>
      <w:r w:rsidR="00A12C01" w:rsidRPr="00731F1B">
        <w:t xml:space="preserve">  even to provide basic amenities like safe drinking water, sanitation and adequate housing. </w:t>
      </w:r>
    </w:p>
    <w:p w:rsidR="00D2497F" w:rsidRPr="00FD225C" w:rsidRDefault="00D2497F" w:rsidP="000E2AB3">
      <w:pPr>
        <w:spacing w:after="0"/>
        <w:ind w:right="404"/>
        <w:jc w:val="center"/>
        <w:rPr>
          <w:rFonts w:ascii="Calibri" w:eastAsia="Calibri" w:hAnsi="Calibri" w:cs="Calibri"/>
          <w:b/>
        </w:rPr>
      </w:pPr>
      <w:r w:rsidRPr="00FD225C">
        <w:rPr>
          <w:rFonts w:ascii="Calibri" w:eastAsia="Calibri" w:hAnsi="Calibri" w:cs="Calibri"/>
          <w:b/>
        </w:rPr>
        <w:t>Figu</w:t>
      </w:r>
      <w:r w:rsidRPr="00FD225C">
        <w:rPr>
          <w:rFonts w:ascii="Calibri" w:eastAsia="Calibri" w:hAnsi="Calibri" w:cs="Calibri"/>
          <w:b/>
          <w:spacing w:val="-3"/>
        </w:rPr>
        <w:t>r</w:t>
      </w:r>
      <w:r w:rsidRPr="00FD225C">
        <w:rPr>
          <w:rFonts w:ascii="Calibri" w:eastAsia="Calibri" w:hAnsi="Calibri" w:cs="Calibri"/>
          <w:b/>
        </w:rPr>
        <w:t xml:space="preserve">e 17.1: </w:t>
      </w:r>
      <w:r w:rsidR="000E2AB3" w:rsidRPr="00FD225C">
        <w:rPr>
          <w:rFonts w:ascii="Calibri" w:eastAsia="Calibri" w:hAnsi="Calibri" w:cs="Calibri"/>
          <w:b/>
        </w:rPr>
        <w:t xml:space="preserve">Total Expenditure/ </w:t>
      </w:r>
      <w:r w:rsidRPr="00FD225C">
        <w:rPr>
          <w:rFonts w:ascii="Calibri" w:eastAsia="Calibri" w:hAnsi="Calibri" w:cs="Calibri"/>
          <w:b/>
        </w:rPr>
        <w:t>Bud</w:t>
      </w:r>
      <w:r w:rsidRPr="00FD225C">
        <w:rPr>
          <w:rFonts w:ascii="Calibri" w:eastAsia="Calibri" w:hAnsi="Calibri" w:cs="Calibri"/>
          <w:b/>
          <w:spacing w:val="-3"/>
        </w:rPr>
        <w:t>g</w:t>
      </w:r>
      <w:r w:rsidRPr="00FD225C">
        <w:rPr>
          <w:rFonts w:ascii="Calibri" w:eastAsia="Calibri" w:hAnsi="Calibri" w:cs="Calibri"/>
          <w:b/>
          <w:spacing w:val="-1"/>
        </w:rPr>
        <w:t>e</w:t>
      </w:r>
      <w:r w:rsidRPr="00FD225C">
        <w:rPr>
          <w:rFonts w:ascii="Calibri" w:eastAsia="Calibri" w:hAnsi="Calibri" w:cs="Calibri"/>
          <w:b/>
        </w:rPr>
        <w:t>t Outl</w:t>
      </w:r>
      <w:r w:rsidRPr="00FD225C">
        <w:rPr>
          <w:rFonts w:ascii="Calibri" w:eastAsia="Calibri" w:hAnsi="Calibri" w:cs="Calibri"/>
          <w:b/>
          <w:spacing w:val="-4"/>
        </w:rPr>
        <w:t>a</w:t>
      </w:r>
      <w:r w:rsidRPr="00FD225C">
        <w:rPr>
          <w:rFonts w:ascii="Calibri" w:eastAsia="Calibri" w:hAnsi="Calibri" w:cs="Calibri"/>
          <w:b/>
        </w:rPr>
        <w:t xml:space="preserve">y </w:t>
      </w:r>
      <w:r w:rsidRPr="00FD225C">
        <w:rPr>
          <w:rFonts w:ascii="Calibri" w:eastAsia="Calibri" w:hAnsi="Calibri" w:cs="Calibri"/>
          <w:b/>
          <w:spacing w:val="-3"/>
        </w:rPr>
        <w:t>f</w:t>
      </w:r>
      <w:r w:rsidRPr="00FD225C">
        <w:rPr>
          <w:rFonts w:ascii="Calibri" w:eastAsia="Calibri" w:hAnsi="Calibri" w:cs="Calibri"/>
          <w:b/>
        </w:rPr>
        <w:t>or Mini</w:t>
      </w:r>
      <w:r w:rsidRPr="00FD225C">
        <w:rPr>
          <w:rFonts w:ascii="Calibri" w:eastAsia="Calibri" w:hAnsi="Calibri" w:cs="Calibri"/>
          <w:b/>
          <w:spacing w:val="-3"/>
        </w:rPr>
        <w:t>s</w:t>
      </w:r>
      <w:r w:rsidRPr="00FD225C">
        <w:rPr>
          <w:rFonts w:ascii="Calibri" w:eastAsia="Calibri" w:hAnsi="Calibri" w:cs="Calibri"/>
          <w:b/>
        </w:rPr>
        <w:t>t</w:t>
      </w:r>
      <w:r w:rsidRPr="00FD225C">
        <w:rPr>
          <w:rFonts w:ascii="Calibri" w:eastAsia="Calibri" w:hAnsi="Calibri" w:cs="Calibri"/>
          <w:b/>
          <w:spacing w:val="1"/>
        </w:rPr>
        <w:t>r</w:t>
      </w:r>
      <w:r w:rsidRPr="00FD225C">
        <w:rPr>
          <w:rFonts w:ascii="Calibri" w:eastAsia="Calibri" w:hAnsi="Calibri" w:cs="Calibri"/>
          <w:b/>
        </w:rPr>
        <w:t xml:space="preserve">y of </w:t>
      </w:r>
      <w:bookmarkStart w:id="0" w:name="_GoBack"/>
      <w:bookmarkEnd w:id="0"/>
      <w:r w:rsidRPr="00FD225C">
        <w:rPr>
          <w:rFonts w:ascii="Calibri" w:eastAsia="Calibri" w:hAnsi="Calibri" w:cs="Calibri"/>
          <w:b/>
        </w:rPr>
        <w:t xml:space="preserve">Housing and Urban </w:t>
      </w:r>
      <w:r w:rsidRPr="00FD225C">
        <w:rPr>
          <w:rFonts w:ascii="Calibri" w:eastAsia="Calibri" w:hAnsi="Calibri" w:cs="Calibri"/>
          <w:b/>
          <w:spacing w:val="-4"/>
        </w:rPr>
        <w:t>P</w:t>
      </w:r>
      <w:r w:rsidRPr="00FD225C">
        <w:rPr>
          <w:rFonts w:ascii="Calibri" w:eastAsia="Calibri" w:hAnsi="Calibri" w:cs="Calibri"/>
          <w:b/>
          <w:spacing w:val="-1"/>
        </w:rPr>
        <w:t>o</w:t>
      </w:r>
      <w:r w:rsidRPr="00FD225C">
        <w:rPr>
          <w:rFonts w:ascii="Calibri" w:eastAsia="Calibri" w:hAnsi="Calibri" w:cs="Calibri"/>
          <w:b/>
          <w:spacing w:val="-2"/>
        </w:rPr>
        <w:t>v</w:t>
      </w:r>
      <w:r w:rsidRPr="00FD225C">
        <w:rPr>
          <w:rFonts w:ascii="Calibri" w:eastAsia="Calibri" w:hAnsi="Calibri" w:cs="Calibri"/>
          <w:b/>
        </w:rPr>
        <w:t>erty All</w:t>
      </w:r>
      <w:r w:rsidRPr="00FD225C">
        <w:rPr>
          <w:rFonts w:ascii="Calibri" w:eastAsia="Calibri" w:hAnsi="Calibri" w:cs="Calibri"/>
          <w:b/>
          <w:spacing w:val="-1"/>
        </w:rPr>
        <w:t>e</w:t>
      </w:r>
      <w:r w:rsidRPr="00FD225C">
        <w:rPr>
          <w:rFonts w:ascii="Calibri" w:eastAsia="Calibri" w:hAnsi="Calibri" w:cs="Calibri"/>
          <w:b/>
        </w:rPr>
        <w:t>vi</w:t>
      </w:r>
      <w:r w:rsidRPr="00FD225C">
        <w:rPr>
          <w:rFonts w:ascii="Calibri" w:eastAsia="Calibri" w:hAnsi="Calibri" w:cs="Calibri"/>
          <w:b/>
          <w:spacing w:val="-2"/>
        </w:rPr>
        <w:t>a</w:t>
      </w:r>
      <w:r w:rsidRPr="00FD225C">
        <w:rPr>
          <w:rFonts w:ascii="Calibri" w:eastAsia="Calibri" w:hAnsi="Calibri" w:cs="Calibri"/>
          <w:b/>
        </w:rPr>
        <w:t>tion</w:t>
      </w:r>
      <w:r w:rsidRPr="00FD225C">
        <w:rPr>
          <w:rFonts w:ascii="Calibri" w:eastAsia="Calibri" w:hAnsi="Calibri" w:cs="Calibri"/>
          <w:b/>
          <w:spacing w:val="-4"/>
        </w:rPr>
        <w:t xml:space="preserve"> </w:t>
      </w:r>
      <w:r w:rsidRPr="00FD225C">
        <w:rPr>
          <w:rFonts w:ascii="Calibri" w:eastAsia="Calibri" w:hAnsi="Calibri" w:cs="Calibri"/>
          <w:b/>
        </w:rPr>
        <w:t>(</w:t>
      </w:r>
      <w:proofErr w:type="spellStart"/>
      <w:r w:rsidRPr="00FD225C">
        <w:rPr>
          <w:rFonts w:ascii="Calibri" w:eastAsia="Calibri" w:hAnsi="Calibri" w:cs="Calibri"/>
          <w:b/>
        </w:rPr>
        <w:t>Rs</w:t>
      </w:r>
      <w:proofErr w:type="spellEnd"/>
      <w:r w:rsidRPr="00FD225C">
        <w:rPr>
          <w:rFonts w:ascii="Calibri" w:eastAsia="Calibri" w:hAnsi="Calibri" w:cs="Calibri"/>
          <w:b/>
        </w:rPr>
        <w:t>. c</w:t>
      </w:r>
      <w:r w:rsidRPr="00FD225C">
        <w:rPr>
          <w:rFonts w:ascii="Calibri" w:eastAsia="Calibri" w:hAnsi="Calibri" w:cs="Calibri"/>
          <w:b/>
          <w:spacing w:val="-3"/>
        </w:rPr>
        <w:t>r</w:t>
      </w:r>
      <w:r w:rsidRPr="00FD225C">
        <w:rPr>
          <w:rFonts w:ascii="Calibri" w:eastAsia="Calibri" w:hAnsi="Calibri" w:cs="Calibri"/>
          <w:b/>
        </w:rPr>
        <w:t>o</w:t>
      </w:r>
      <w:r w:rsidRPr="00FD225C">
        <w:rPr>
          <w:rFonts w:ascii="Calibri" w:eastAsia="Calibri" w:hAnsi="Calibri" w:cs="Calibri"/>
          <w:b/>
          <w:spacing w:val="-2"/>
        </w:rPr>
        <w:t>r</w:t>
      </w:r>
      <w:r w:rsidRPr="00FD225C">
        <w:rPr>
          <w:rFonts w:ascii="Calibri" w:eastAsia="Calibri" w:hAnsi="Calibri" w:cs="Calibri"/>
          <w:b/>
        </w:rPr>
        <w:t>e)</w:t>
      </w:r>
    </w:p>
    <w:p w:rsidR="00D2497F" w:rsidRPr="00521A87" w:rsidRDefault="00D2497F" w:rsidP="00D2497F">
      <w:pPr>
        <w:jc w:val="both"/>
        <w:rPr>
          <w:rFonts w:ascii="Calibri" w:eastAsia="Times New Roman" w:hAnsi="Calibri" w:cs="Times New Roman"/>
          <w:color w:val="000000"/>
        </w:rPr>
      </w:pPr>
      <w:r>
        <w:rPr>
          <w:noProof/>
          <w:lang w:val="en-IN" w:eastAsia="en-IN" w:bidi="ar-SA"/>
        </w:rPr>
        <w:drawing>
          <wp:inline distT="0" distB="0" distL="0" distR="0" wp14:anchorId="29979EEB" wp14:editId="38B858A4">
            <wp:extent cx="5621572" cy="2075290"/>
            <wp:effectExtent l="0" t="0" r="17780" b="203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2497F" w:rsidRPr="00731F1B" w:rsidRDefault="00D2497F" w:rsidP="002D41C2">
      <w:pPr>
        <w:spacing w:before="23" w:after="0"/>
        <w:ind w:right="-20"/>
        <w:jc w:val="both"/>
        <w:rPr>
          <w:rFonts w:cstheme="minorHAnsi"/>
        </w:rPr>
      </w:pPr>
      <w:r w:rsidRPr="00731F1B">
        <w:rPr>
          <w:rFonts w:cstheme="minorHAnsi"/>
          <w:i/>
          <w:iCs/>
        </w:rPr>
        <w:t>Note:</w:t>
      </w:r>
      <w:r w:rsidRPr="00731F1B">
        <w:rPr>
          <w:rFonts w:cstheme="minorHAnsi"/>
        </w:rPr>
        <w:t xml:space="preserve"> From 2014-15 JNNURM (BSUP and IHSDP) was transferred to </w:t>
      </w:r>
      <w:proofErr w:type="spellStart"/>
      <w:r w:rsidRPr="00731F1B">
        <w:rPr>
          <w:rFonts w:cstheme="minorHAnsi"/>
        </w:rPr>
        <w:t>MoHUPA</w:t>
      </w:r>
      <w:proofErr w:type="spellEnd"/>
      <w:r w:rsidRPr="00731F1B">
        <w:rPr>
          <w:rFonts w:cstheme="minorHAnsi"/>
        </w:rPr>
        <w:t xml:space="preserve"> which was earlier with Ministry of Finance.</w:t>
      </w:r>
    </w:p>
    <w:p w:rsidR="00FD225C" w:rsidRDefault="00D2497F" w:rsidP="00FD225C">
      <w:pPr>
        <w:spacing w:before="23" w:after="0"/>
        <w:ind w:right="-20"/>
        <w:jc w:val="both"/>
        <w:rPr>
          <w:rFonts w:cstheme="minorHAnsi"/>
        </w:rPr>
      </w:pPr>
      <w:r w:rsidRPr="00731F1B">
        <w:rPr>
          <w:rFonts w:cstheme="minorHAnsi"/>
          <w:i/>
          <w:iCs/>
        </w:rPr>
        <w:t>Source:</w:t>
      </w:r>
      <w:r w:rsidRPr="00731F1B">
        <w:rPr>
          <w:rFonts w:cstheme="minorHAnsi"/>
        </w:rPr>
        <w:t xml:space="preserve"> Compiled by CBGA from Union Budget, various years</w:t>
      </w:r>
    </w:p>
    <w:p w:rsidR="002D41C2" w:rsidRDefault="00FD225C" w:rsidP="00FD225C">
      <w:pPr>
        <w:spacing w:before="23" w:after="0"/>
        <w:ind w:right="-20"/>
        <w:jc w:val="both"/>
        <w:rPr>
          <w:rFonts w:cstheme="minorHAnsi"/>
        </w:rPr>
      </w:pPr>
      <w:r>
        <w:rPr>
          <w:rFonts w:cstheme="minorHAnsi"/>
        </w:rPr>
        <w:br/>
      </w:r>
      <w:r w:rsidR="00A12C01" w:rsidRPr="00731F1B">
        <w:rPr>
          <w:rFonts w:cstheme="minorHAnsi"/>
        </w:rPr>
        <w:t xml:space="preserve">The </w:t>
      </w:r>
      <w:r w:rsidR="009F124B" w:rsidRPr="00731F1B">
        <w:rPr>
          <w:rFonts w:cstheme="minorHAnsi"/>
        </w:rPr>
        <w:t>expenditure by</w:t>
      </w:r>
      <w:r w:rsidR="00E82CED">
        <w:rPr>
          <w:rFonts w:cstheme="minorHAnsi"/>
        </w:rPr>
        <w:t xml:space="preserve"> </w:t>
      </w:r>
      <w:proofErr w:type="spellStart"/>
      <w:r w:rsidR="00E82CED">
        <w:rPr>
          <w:rFonts w:cstheme="minorHAnsi"/>
        </w:rPr>
        <w:t>MoHUPA</w:t>
      </w:r>
      <w:proofErr w:type="spellEnd"/>
      <w:r w:rsidR="00A12C01" w:rsidRPr="00731F1B">
        <w:rPr>
          <w:rFonts w:cstheme="minorHAnsi"/>
        </w:rPr>
        <w:t xml:space="preserve"> </w:t>
      </w:r>
      <w:r w:rsidR="009F124B" w:rsidRPr="00731F1B">
        <w:rPr>
          <w:rFonts w:cstheme="minorHAnsi"/>
        </w:rPr>
        <w:t xml:space="preserve">in 2015-16 was only </w:t>
      </w:r>
      <w:proofErr w:type="spellStart"/>
      <w:r w:rsidR="009F124B" w:rsidRPr="00731F1B">
        <w:rPr>
          <w:rFonts w:cstheme="minorHAnsi"/>
        </w:rPr>
        <w:t>Rs</w:t>
      </w:r>
      <w:proofErr w:type="spellEnd"/>
      <w:r w:rsidR="009F124B" w:rsidRPr="00731F1B">
        <w:rPr>
          <w:rFonts w:cstheme="minorHAnsi"/>
        </w:rPr>
        <w:t>. 1</w:t>
      </w:r>
      <w:r w:rsidR="00EF0A76">
        <w:rPr>
          <w:rFonts w:cstheme="minorHAnsi"/>
        </w:rPr>
        <w:t>,</w:t>
      </w:r>
      <w:r w:rsidR="009F124B" w:rsidRPr="00731F1B">
        <w:rPr>
          <w:rFonts w:cstheme="minorHAnsi"/>
        </w:rPr>
        <w:t xml:space="preserve">761 crore against </w:t>
      </w:r>
      <w:r w:rsidR="00D2497F" w:rsidRPr="00731F1B">
        <w:rPr>
          <w:rFonts w:cstheme="minorHAnsi"/>
        </w:rPr>
        <w:t xml:space="preserve">the budget allocation of </w:t>
      </w:r>
      <w:proofErr w:type="spellStart"/>
      <w:r w:rsidR="00D2497F" w:rsidRPr="00731F1B">
        <w:rPr>
          <w:rFonts w:cstheme="minorHAnsi"/>
        </w:rPr>
        <w:t>Rs</w:t>
      </w:r>
      <w:proofErr w:type="spellEnd"/>
      <w:r w:rsidR="00D2497F" w:rsidRPr="00731F1B">
        <w:rPr>
          <w:rFonts w:cstheme="minorHAnsi"/>
        </w:rPr>
        <w:t>. 5</w:t>
      </w:r>
      <w:r w:rsidR="00EF0A76">
        <w:rPr>
          <w:rFonts w:cstheme="minorHAnsi"/>
        </w:rPr>
        <w:t>,</w:t>
      </w:r>
      <w:r w:rsidR="00D2497F" w:rsidRPr="00731F1B">
        <w:rPr>
          <w:rFonts w:cstheme="minorHAnsi"/>
        </w:rPr>
        <w:t xml:space="preserve">635 crore (Figure 17.1). </w:t>
      </w:r>
      <w:r w:rsidR="002D41C2" w:rsidRPr="00731F1B">
        <w:rPr>
          <w:rFonts w:cstheme="minorHAnsi"/>
        </w:rPr>
        <w:t xml:space="preserve">The allocation for 2017-18 has been raised by </w:t>
      </w:r>
      <w:proofErr w:type="spellStart"/>
      <w:r w:rsidR="002D41C2" w:rsidRPr="00731F1B">
        <w:rPr>
          <w:rFonts w:cstheme="minorHAnsi"/>
        </w:rPr>
        <w:t>Rs</w:t>
      </w:r>
      <w:proofErr w:type="spellEnd"/>
      <w:r w:rsidR="002D41C2" w:rsidRPr="00731F1B">
        <w:rPr>
          <w:rFonts w:cstheme="minorHAnsi"/>
        </w:rPr>
        <w:t>. 1</w:t>
      </w:r>
      <w:r w:rsidR="00EF0A76">
        <w:rPr>
          <w:rFonts w:cstheme="minorHAnsi"/>
        </w:rPr>
        <w:t>,</w:t>
      </w:r>
      <w:r w:rsidR="002D41C2" w:rsidRPr="00731F1B">
        <w:rPr>
          <w:rFonts w:cstheme="minorHAnsi"/>
        </w:rPr>
        <w:t xml:space="preserve">000 crore over the previous year </w:t>
      </w:r>
      <w:r w:rsidR="00AC2910" w:rsidRPr="00731F1B">
        <w:rPr>
          <w:rFonts w:cstheme="minorHAnsi"/>
        </w:rPr>
        <w:t xml:space="preserve">due to addition of a </w:t>
      </w:r>
      <w:r w:rsidR="002D41C2" w:rsidRPr="00731F1B">
        <w:rPr>
          <w:rFonts w:cstheme="minorHAnsi"/>
        </w:rPr>
        <w:t>new component in PMAY</w:t>
      </w:r>
      <w:r w:rsidR="00AC2910" w:rsidRPr="00731F1B">
        <w:rPr>
          <w:rFonts w:cstheme="minorHAnsi"/>
        </w:rPr>
        <w:t>; Credit Linked Subsidy Scheme (CLSS)-II for Middle Income Group</w:t>
      </w:r>
      <w:r w:rsidR="002D41C2" w:rsidRPr="00731F1B">
        <w:rPr>
          <w:rFonts w:cstheme="minorHAnsi"/>
        </w:rPr>
        <w:t>. Th</w:t>
      </w:r>
      <w:r w:rsidR="00AC2910" w:rsidRPr="00731F1B">
        <w:rPr>
          <w:rFonts w:cstheme="minorHAnsi"/>
        </w:rPr>
        <w:t xml:space="preserve">e allocation for other interventions has remained stagnant (Table 17.1). </w:t>
      </w:r>
    </w:p>
    <w:p w:rsidR="00E82CED" w:rsidRPr="00731F1B" w:rsidRDefault="00E82CED" w:rsidP="00FD225C">
      <w:pPr>
        <w:spacing w:before="23" w:after="0"/>
        <w:ind w:right="-20"/>
        <w:jc w:val="both"/>
        <w:rPr>
          <w:rFonts w:cstheme="minorHAnsi"/>
        </w:rPr>
      </w:pPr>
    </w:p>
    <w:p w:rsidR="00AC2910" w:rsidRPr="00FD225C" w:rsidRDefault="00AC2910" w:rsidP="00731F1B">
      <w:pPr>
        <w:jc w:val="center"/>
        <w:rPr>
          <w:rFonts w:cstheme="minorHAnsi"/>
          <w:b/>
        </w:rPr>
      </w:pPr>
      <w:r w:rsidRPr="00FD225C">
        <w:rPr>
          <w:rFonts w:cstheme="minorHAnsi"/>
          <w:b/>
        </w:rPr>
        <w:t xml:space="preserve">Table 17.1: Different Components of </w:t>
      </w:r>
      <w:r w:rsidRPr="00FD225C">
        <w:rPr>
          <w:rFonts w:cstheme="minorHAnsi"/>
          <w:b/>
          <w:lang w:bidi="hi-IN"/>
        </w:rPr>
        <w:t xml:space="preserve">Pradhan </w:t>
      </w:r>
      <w:proofErr w:type="spellStart"/>
      <w:r w:rsidRPr="00FD225C">
        <w:rPr>
          <w:rFonts w:cstheme="minorHAnsi"/>
          <w:b/>
          <w:lang w:bidi="hi-IN"/>
        </w:rPr>
        <w:t>Mantri</w:t>
      </w:r>
      <w:proofErr w:type="spellEnd"/>
      <w:r w:rsidRPr="00FD225C">
        <w:rPr>
          <w:rFonts w:cstheme="minorHAnsi"/>
          <w:b/>
          <w:lang w:bidi="hi-IN"/>
        </w:rPr>
        <w:t xml:space="preserve"> </w:t>
      </w:r>
      <w:proofErr w:type="spellStart"/>
      <w:r w:rsidRPr="00FD225C">
        <w:rPr>
          <w:rFonts w:cstheme="minorHAnsi"/>
          <w:b/>
          <w:lang w:bidi="hi-IN"/>
        </w:rPr>
        <w:t>Awas</w:t>
      </w:r>
      <w:proofErr w:type="spellEnd"/>
      <w:r w:rsidRPr="00FD225C">
        <w:rPr>
          <w:rFonts w:cstheme="minorHAnsi"/>
          <w:b/>
          <w:lang w:bidi="hi-IN"/>
        </w:rPr>
        <w:t xml:space="preserve"> </w:t>
      </w:r>
      <w:proofErr w:type="spellStart"/>
      <w:r w:rsidRPr="00FD225C">
        <w:rPr>
          <w:rFonts w:cstheme="minorHAnsi"/>
          <w:b/>
          <w:lang w:bidi="hi-IN"/>
        </w:rPr>
        <w:t>Yojna</w:t>
      </w:r>
      <w:proofErr w:type="spellEnd"/>
      <w:r w:rsidRPr="00FD225C">
        <w:rPr>
          <w:rFonts w:cstheme="minorHAnsi"/>
          <w:b/>
          <w:lang w:bidi="hi-IN"/>
        </w:rPr>
        <w:t>, Urban (PMAY)</w:t>
      </w:r>
    </w:p>
    <w:tbl>
      <w:tblPr>
        <w:tblW w:w="9503" w:type="dxa"/>
        <w:tblInd w:w="93" w:type="dxa"/>
        <w:tblLook w:val="04A0" w:firstRow="1" w:lastRow="0" w:firstColumn="1" w:lastColumn="0" w:noHBand="0" w:noVBand="1"/>
      </w:tblPr>
      <w:tblGrid>
        <w:gridCol w:w="5415"/>
        <w:gridCol w:w="1022"/>
        <w:gridCol w:w="1022"/>
        <w:gridCol w:w="1022"/>
        <w:gridCol w:w="1022"/>
      </w:tblGrid>
      <w:tr w:rsidR="00AC2910" w:rsidRPr="00731F1B" w:rsidTr="00731F1B">
        <w:trPr>
          <w:trHeight w:val="664"/>
        </w:trPr>
        <w:tc>
          <w:tcPr>
            <w:tcW w:w="54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PMAY-Urban</w:t>
            </w:r>
          </w:p>
        </w:tc>
        <w:tc>
          <w:tcPr>
            <w:tcW w:w="1022" w:type="dxa"/>
            <w:tcBorders>
              <w:top w:val="single" w:sz="8" w:space="0" w:color="auto"/>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2015-16 (A)</w:t>
            </w:r>
          </w:p>
        </w:tc>
        <w:tc>
          <w:tcPr>
            <w:tcW w:w="1022" w:type="dxa"/>
            <w:tcBorders>
              <w:top w:val="single" w:sz="8" w:space="0" w:color="auto"/>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2016-17 (BE)</w:t>
            </w:r>
          </w:p>
        </w:tc>
        <w:tc>
          <w:tcPr>
            <w:tcW w:w="1022" w:type="dxa"/>
            <w:tcBorders>
              <w:top w:val="single" w:sz="8" w:space="0" w:color="auto"/>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2016-17 (RE)</w:t>
            </w:r>
          </w:p>
        </w:tc>
        <w:tc>
          <w:tcPr>
            <w:tcW w:w="1022" w:type="dxa"/>
            <w:tcBorders>
              <w:top w:val="single" w:sz="8" w:space="0" w:color="auto"/>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2017-18 (BE)</w:t>
            </w:r>
          </w:p>
        </w:tc>
      </w:tr>
      <w:tr w:rsidR="00AC2910" w:rsidRPr="00731F1B" w:rsidTr="00731F1B">
        <w:trPr>
          <w:trHeight w:val="466"/>
        </w:trPr>
        <w:tc>
          <w:tcPr>
            <w:tcW w:w="5415" w:type="dxa"/>
            <w:tcBorders>
              <w:top w:val="nil"/>
              <w:left w:val="single" w:sz="8" w:space="0" w:color="auto"/>
              <w:bottom w:val="single" w:sz="8" w:space="0" w:color="auto"/>
              <w:right w:val="single" w:sz="8" w:space="0" w:color="auto"/>
            </w:tcBorders>
            <w:shd w:val="clear" w:color="auto" w:fill="auto"/>
            <w:noWrap/>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Credit Linked Subsidy Scheme (CLSS)-I for Economically Weaker Section(EWS)/ Lower Income Group (LIG)</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200.1</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475</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475</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400</w:t>
            </w:r>
          </w:p>
        </w:tc>
      </w:tr>
      <w:tr w:rsidR="00AC2910" w:rsidRPr="00731F1B" w:rsidTr="00731F1B">
        <w:trPr>
          <w:trHeight w:val="439"/>
        </w:trPr>
        <w:tc>
          <w:tcPr>
            <w:tcW w:w="5415" w:type="dxa"/>
            <w:tcBorders>
              <w:top w:val="nil"/>
              <w:left w:val="single" w:sz="8" w:space="0" w:color="auto"/>
              <w:bottom w:val="single" w:sz="8" w:space="0" w:color="auto"/>
              <w:right w:val="single" w:sz="8" w:space="0" w:color="auto"/>
            </w:tcBorders>
            <w:shd w:val="clear" w:color="auto" w:fill="auto"/>
            <w:noWrap/>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Credit Linked Subsidy Scheme (CLSS)-II for Middle Income Group (MIG)</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1000</w:t>
            </w:r>
          </w:p>
        </w:tc>
      </w:tr>
      <w:tr w:rsidR="00AC2910" w:rsidRPr="00731F1B" w:rsidTr="00731F1B">
        <w:trPr>
          <w:trHeight w:val="312"/>
        </w:trPr>
        <w:tc>
          <w:tcPr>
            <w:tcW w:w="5415" w:type="dxa"/>
            <w:tcBorders>
              <w:top w:val="nil"/>
              <w:left w:val="single" w:sz="8" w:space="0" w:color="auto"/>
              <w:bottom w:val="single" w:sz="8" w:space="0" w:color="auto"/>
              <w:right w:val="single" w:sz="8" w:space="0" w:color="auto"/>
            </w:tcBorders>
            <w:shd w:val="clear" w:color="auto" w:fill="auto"/>
            <w:noWrap/>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Credit Risk Guarantee Fund Trust (CRGFT)</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15</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15</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15</w:t>
            </w:r>
          </w:p>
        </w:tc>
      </w:tr>
      <w:tr w:rsidR="00AC2910" w:rsidRPr="00731F1B" w:rsidTr="00731F1B">
        <w:trPr>
          <w:trHeight w:val="817"/>
        </w:trPr>
        <w:tc>
          <w:tcPr>
            <w:tcW w:w="5415" w:type="dxa"/>
            <w:tcBorders>
              <w:top w:val="nil"/>
              <w:left w:val="single" w:sz="8" w:space="0" w:color="auto"/>
              <w:bottom w:val="single" w:sz="8" w:space="0" w:color="auto"/>
              <w:right w:val="single" w:sz="8" w:space="0" w:color="auto"/>
            </w:tcBorders>
            <w:shd w:val="clear" w:color="auto" w:fill="auto"/>
            <w:noWrap/>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Institutional Dev. For Inclusive Urban Governance, Building Material and Technology Promotion Council (BMTPC) and National Building Organisation (NBO)</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17.6</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10.1</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13.1</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11.8</w:t>
            </w:r>
          </w:p>
        </w:tc>
      </w:tr>
      <w:tr w:rsidR="00AC2910" w:rsidRPr="00731F1B" w:rsidTr="00731F1B">
        <w:trPr>
          <w:trHeight w:val="312"/>
        </w:trPr>
        <w:tc>
          <w:tcPr>
            <w:tcW w:w="5415" w:type="dxa"/>
            <w:tcBorders>
              <w:top w:val="nil"/>
              <w:left w:val="single" w:sz="8" w:space="0" w:color="auto"/>
              <w:bottom w:val="single" w:sz="8" w:space="0" w:color="auto"/>
              <w:right w:val="single" w:sz="8" w:space="0" w:color="auto"/>
            </w:tcBorders>
            <w:shd w:val="clear" w:color="auto" w:fill="auto"/>
            <w:noWrap/>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Other Items of Central Component</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45.9</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69.9</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45.6</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55</w:t>
            </w:r>
          </w:p>
        </w:tc>
      </w:tr>
      <w:tr w:rsidR="00AC2910" w:rsidRPr="00731F1B" w:rsidTr="00731F1B">
        <w:trPr>
          <w:trHeight w:val="907"/>
        </w:trPr>
        <w:tc>
          <w:tcPr>
            <w:tcW w:w="5415" w:type="dxa"/>
            <w:tcBorders>
              <w:top w:val="nil"/>
              <w:left w:val="single" w:sz="8" w:space="0" w:color="auto"/>
              <w:bottom w:val="single" w:sz="8" w:space="0" w:color="auto"/>
              <w:right w:val="single" w:sz="8" w:space="0" w:color="auto"/>
            </w:tcBorders>
            <w:shd w:val="clear" w:color="auto" w:fill="auto"/>
            <w:noWrap/>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 xml:space="preserve">Scheme for drinking water supply for slums affected with Japanese Encephalitis and Acute </w:t>
            </w:r>
            <w:proofErr w:type="spellStart"/>
            <w:r w:rsidRPr="00731F1B">
              <w:rPr>
                <w:rFonts w:eastAsia="Times New Roman" w:cstheme="minorHAnsi"/>
                <w:color w:val="000000"/>
                <w:lang w:bidi="hi-IN"/>
              </w:rPr>
              <w:t>Encephalities</w:t>
            </w:r>
            <w:proofErr w:type="spellEnd"/>
            <w:r w:rsidRPr="00731F1B">
              <w:rPr>
                <w:rFonts w:eastAsia="Times New Roman" w:cstheme="minorHAnsi"/>
                <w:color w:val="000000"/>
                <w:lang w:bidi="hi-IN"/>
              </w:rPr>
              <w:t xml:space="preserve"> Syndrome (JE/AEs)</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5</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10</w:t>
            </w:r>
          </w:p>
        </w:tc>
      </w:tr>
      <w:tr w:rsidR="00AC2910" w:rsidRPr="00731F1B" w:rsidTr="00731F1B">
        <w:trPr>
          <w:trHeight w:val="312"/>
        </w:trPr>
        <w:tc>
          <w:tcPr>
            <w:tcW w:w="5415" w:type="dxa"/>
            <w:tcBorders>
              <w:top w:val="nil"/>
              <w:left w:val="single" w:sz="8" w:space="0" w:color="auto"/>
              <w:bottom w:val="single" w:sz="8" w:space="0" w:color="auto"/>
              <w:right w:val="single" w:sz="8" w:space="0" w:color="auto"/>
            </w:tcBorders>
            <w:shd w:val="clear" w:color="auto" w:fill="auto"/>
            <w:noWrap/>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Other Items of States/UTs Component</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876439" w:rsidP="00876439">
            <w:pPr>
              <w:spacing w:after="0" w:line="240" w:lineRule="auto"/>
              <w:jc w:val="both"/>
              <w:rPr>
                <w:rFonts w:eastAsia="Times New Roman" w:cstheme="minorHAnsi"/>
                <w:color w:val="000000"/>
                <w:lang w:bidi="hi-IN"/>
              </w:rPr>
            </w:pPr>
            <w:r w:rsidRPr="00731F1B">
              <w:rPr>
                <w:rFonts w:eastAsia="Times New Roman" w:cstheme="minorHAnsi"/>
                <w:color w:val="000000"/>
                <w:lang w:bidi="hi-IN"/>
              </w:rPr>
              <w:t>1224</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4500</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876439">
            <w:pPr>
              <w:spacing w:after="0" w:line="240" w:lineRule="auto"/>
              <w:jc w:val="both"/>
              <w:rPr>
                <w:rFonts w:eastAsia="Times New Roman" w:cstheme="minorHAnsi"/>
                <w:color w:val="000000"/>
                <w:lang w:bidi="hi-IN"/>
              </w:rPr>
            </w:pPr>
            <w:r w:rsidRPr="00731F1B">
              <w:rPr>
                <w:rFonts w:eastAsia="Times New Roman" w:cstheme="minorHAnsi"/>
                <w:color w:val="000000"/>
                <w:lang w:bidi="hi-IN"/>
              </w:rPr>
              <w:t>4387</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4551</w:t>
            </w:r>
          </w:p>
        </w:tc>
      </w:tr>
      <w:tr w:rsidR="00AC2910" w:rsidRPr="00731F1B" w:rsidTr="00731F1B">
        <w:trPr>
          <w:trHeight w:val="312"/>
        </w:trPr>
        <w:tc>
          <w:tcPr>
            <w:tcW w:w="5415" w:type="dxa"/>
            <w:tcBorders>
              <w:top w:val="nil"/>
              <w:left w:val="single" w:sz="8" w:space="0" w:color="auto"/>
              <w:bottom w:val="single" w:sz="8" w:space="0" w:color="auto"/>
              <w:right w:val="single" w:sz="8" w:space="0" w:color="auto"/>
            </w:tcBorders>
            <w:shd w:val="clear" w:color="auto" w:fill="auto"/>
            <w:noWrap/>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Total PMAY- Urban</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876439">
            <w:pPr>
              <w:spacing w:after="0" w:line="240" w:lineRule="auto"/>
              <w:jc w:val="both"/>
              <w:rPr>
                <w:rFonts w:eastAsia="Times New Roman" w:cstheme="minorHAnsi"/>
                <w:color w:val="000000"/>
                <w:lang w:bidi="hi-IN"/>
              </w:rPr>
            </w:pPr>
            <w:r w:rsidRPr="00731F1B">
              <w:rPr>
                <w:rFonts w:eastAsia="Times New Roman" w:cstheme="minorHAnsi"/>
                <w:color w:val="000000"/>
                <w:lang w:bidi="hi-IN"/>
              </w:rPr>
              <w:t>1487</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031ABE">
            <w:pPr>
              <w:spacing w:after="0" w:line="240" w:lineRule="auto"/>
              <w:jc w:val="both"/>
              <w:rPr>
                <w:rFonts w:eastAsia="Times New Roman" w:cstheme="minorHAnsi"/>
                <w:color w:val="000000"/>
                <w:lang w:bidi="hi-IN"/>
              </w:rPr>
            </w:pPr>
            <w:r w:rsidRPr="00731F1B">
              <w:rPr>
                <w:rFonts w:eastAsia="Times New Roman" w:cstheme="minorHAnsi"/>
                <w:color w:val="000000"/>
                <w:lang w:bidi="hi-IN"/>
              </w:rPr>
              <w:t>5075</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AC2910" w:rsidP="00876439">
            <w:pPr>
              <w:spacing w:after="0" w:line="240" w:lineRule="auto"/>
              <w:jc w:val="both"/>
              <w:rPr>
                <w:rFonts w:eastAsia="Times New Roman" w:cstheme="minorHAnsi"/>
                <w:color w:val="000000"/>
                <w:lang w:bidi="hi-IN"/>
              </w:rPr>
            </w:pPr>
            <w:r w:rsidRPr="00731F1B">
              <w:rPr>
                <w:rFonts w:eastAsia="Times New Roman" w:cstheme="minorHAnsi"/>
                <w:color w:val="000000"/>
                <w:lang w:bidi="hi-IN"/>
              </w:rPr>
              <w:t>4936</w:t>
            </w:r>
          </w:p>
        </w:tc>
        <w:tc>
          <w:tcPr>
            <w:tcW w:w="1022" w:type="dxa"/>
            <w:tcBorders>
              <w:top w:val="nil"/>
              <w:left w:val="nil"/>
              <w:bottom w:val="single" w:sz="8" w:space="0" w:color="auto"/>
              <w:right w:val="single" w:sz="8" w:space="0" w:color="auto"/>
            </w:tcBorders>
            <w:shd w:val="clear" w:color="auto" w:fill="auto"/>
            <w:vAlign w:val="center"/>
            <w:hideMark/>
          </w:tcPr>
          <w:p w:rsidR="00AC2910" w:rsidRPr="00731F1B" w:rsidRDefault="00876439" w:rsidP="00876439">
            <w:pPr>
              <w:spacing w:after="0" w:line="240" w:lineRule="auto"/>
              <w:jc w:val="both"/>
              <w:rPr>
                <w:rFonts w:eastAsia="Times New Roman" w:cstheme="minorHAnsi"/>
                <w:color w:val="000000"/>
                <w:lang w:bidi="hi-IN"/>
              </w:rPr>
            </w:pPr>
            <w:r w:rsidRPr="00731F1B">
              <w:rPr>
                <w:rFonts w:eastAsia="Times New Roman" w:cstheme="minorHAnsi"/>
                <w:color w:val="000000"/>
                <w:lang w:bidi="hi-IN"/>
              </w:rPr>
              <w:t>6043</w:t>
            </w:r>
          </w:p>
        </w:tc>
      </w:tr>
    </w:tbl>
    <w:p w:rsidR="00731F1B" w:rsidRPr="00731F1B" w:rsidRDefault="00731F1B" w:rsidP="00731F1B">
      <w:pPr>
        <w:spacing w:before="23" w:after="0"/>
        <w:ind w:right="-20"/>
        <w:jc w:val="both"/>
        <w:rPr>
          <w:rFonts w:cstheme="minorHAnsi"/>
        </w:rPr>
      </w:pPr>
      <w:r w:rsidRPr="00731F1B">
        <w:rPr>
          <w:rFonts w:cstheme="minorHAnsi"/>
          <w:i/>
          <w:iCs/>
        </w:rPr>
        <w:t>Source:</w:t>
      </w:r>
      <w:r w:rsidRPr="00731F1B">
        <w:rPr>
          <w:rFonts w:cstheme="minorHAnsi"/>
        </w:rPr>
        <w:t xml:space="preserve"> Compiled by CBGA from Union Budget, 2017-18</w:t>
      </w:r>
    </w:p>
    <w:p w:rsidR="00AC2910" w:rsidRPr="00731F1B" w:rsidRDefault="00AC2910" w:rsidP="00A12C01">
      <w:pPr>
        <w:jc w:val="both"/>
        <w:rPr>
          <w:rFonts w:cstheme="minorHAnsi"/>
        </w:rPr>
      </w:pPr>
    </w:p>
    <w:p w:rsidR="00D2497F" w:rsidRPr="00731F1B" w:rsidRDefault="00AC2910" w:rsidP="00A12C01">
      <w:pPr>
        <w:jc w:val="both"/>
        <w:rPr>
          <w:rFonts w:cstheme="minorHAnsi"/>
        </w:rPr>
      </w:pPr>
      <w:r w:rsidRPr="00731F1B">
        <w:rPr>
          <w:rFonts w:cstheme="minorHAnsi"/>
        </w:rPr>
        <w:t>As can be seen in the above table, the main</w:t>
      </w:r>
      <w:r w:rsidR="00D2497F" w:rsidRPr="00731F1B">
        <w:rPr>
          <w:rFonts w:cstheme="minorHAnsi"/>
        </w:rPr>
        <w:t xml:space="preserve"> emphasis of </w:t>
      </w:r>
      <w:proofErr w:type="spellStart"/>
      <w:r w:rsidR="00D2497F" w:rsidRPr="00731F1B">
        <w:rPr>
          <w:rFonts w:cstheme="minorHAnsi"/>
        </w:rPr>
        <w:t>MoHUPA</w:t>
      </w:r>
      <w:proofErr w:type="spellEnd"/>
      <w:r w:rsidR="00D2497F" w:rsidRPr="00731F1B">
        <w:rPr>
          <w:rFonts w:cstheme="minorHAnsi"/>
        </w:rPr>
        <w:t xml:space="preserve"> has been on provision of housing for the urban poor, Pradhan </w:t>
      </w:r>
      <w:proofErr w:type="spellStart"/>
      <w:r w:rsidR="00D2497F" w:rsidRPr="00731F1B">
        <w:rPr>
          <w:rFonts w:cstheme="minorHAnsi"/>
        </w:rPr>
        <w:t>Mantri</w:t>
      </w:r>
      <w:proofErr w:type="spellEnd"/>
      <w:r w:rsidR="00D2497F" w:rsidRPr="00731F1B">
        <w:rPr>
          <w:rFonts w:cstheme="minorHAnsi"/>
        </w:rPr>
        <w:t xml:space="preserve"> </w:t>
      </w:r>
      <w:proofErr w:type="spellStart"/>
      <w:r w:rsidR="00D2497F" w:rsidRPr="00731F1B">
        <w:rPr>
          <w:rFonts w:cstheme="minorHAnsi"/>
        </w:rPr>
        <w:t>Awas</w:t>
      </w:r>
      <w:proofErr w:type="spellEnd"/>
      <w:r w:rsidR="00D2497F" w:rsidRPr="00731F1B">
        <w:rPr>
          <w:rFonts w:cstheme="minorHAnsi"/>
        </w:rPr>
        <w:t xml:space="preserve"> </w:t>
      </w:r>
      <w:proofErr w:type="spellStart"/>
      <w:r w:rsidR="00D2497F" w:rsidRPr="00731F1B">
        <w:rPr>
          <w:rFonts w:cstheme="minorHAnsi"/>
        </w:rPr>
        <w:t>Yojna</w:t>
      </w:r>
      <w:proofErr w:type="spellEnd"/>
      <w:r w:rsidR="00D2497F" w:rsidRPr="00731F1B">
        <w:rPr>
          <w:rFonts w:cstheme="minorHAnsi"/>
        </w:rPr>
        <w:t xml:space="preserve"> (PMAY)-Urban being the flagship </w:t>
      </w:r>
      <w:r w:rsidR="00621CA6">
        <w:rPr>
          <w:rFonts w:cstheme="minorHAnsi"/>
        </w:rPr>
        <w:t>scheme</w:t>
      </w:r>
      <w:r w:rsidR="00621CA6" w:rsidRPr="00731F1B">
        <w:rPr>
          <w:rFonts w:cstheme="minorHAnsi"/>
        </w:rPr>
        <w:t xml:space="preserve"> </w:t>
      </w:r>
      <w:r w:rsidR="00D2497F" w:rsidRPr="00731F1B">
        <w:rPr>
          <w:rFonts w:cstheme="minorHAnsi"/>
        </w:rPr>
        <w:t>for this intervention. However</w:t>
      </w:r>
      <w:r w:rsidR="00EF0A76">
        <w:rPr>
          <w:rFonts w:cstheme="minorHAnsi"/>
        </w:rPr>
        <w:t>,</w:t>
      </w:r>
      <w:r w:rsidR="00D2497F" w:rsidRPr="00731F1B">
        <w:rPr>
          <w:rFonts w:cstheme="minorHAnsi"/>
        </w:rPr>
        <w:t xml:space="preserve"> the progress in this scheme, which was talked about a lot after </w:t>
      </w:r>
      <w:proofErr w:type="spellStart"/>
      <w:r w:rsidR="00D2497F" w:rsidRPr="00731F1B">
        <w:rPr>
          <w:rFonts w:cstheme="minorHAnsi"/>
        </w:rPr>
        <w:t>demonitisation</w:t>
      </w:r>
      <w:proofErr w:type="spellEnd"/>
      <w:r w:rsidR="00D2497F" w:rsidRPr="00731F1B">
        <w:rPr>
          <w:rFonts w:cstheme="minorHAnsi"/>
        </w:rPr>
        <w:t>, has not been significant (see Box 17.1)</w:t>
      </w:r>
      <w:r w:rsidR="009A5AE7" w:rsidRPr="00731F1B">
        <w:rPr>
          <w:rFonts w:cstheme="minorHAnsi"/>
        </w:rPr>
        <w:t xml:space="preserve">. The </w:t>
      </w:r>
      <w:r w:rsidR="006F3700" w:rsidRPr="00731F1B">
        <w:rPr>
          <w:rFonts w:cstheme="minorHAnsi"/>
        </w:rPr>
        <w:t>expenditure</w:t>
      </w:r>
      <w:r w:rsidR="009A5AE7" w:rsidRPr="00731F1B">
        <w:rPr>
          <w:rFonts w:cstheme="minorHAnsi"/>
        </w:rPr>
        <w:t xml:space="preserve"> on housing as well as livelihood for urban poor has de</w:t>
      </w:r>
      <w:r w:rsidR="006F3700" w:rsidRPr="00731F1B">
        <w:rPr>
          <w:rFonts w:cstheme="minorHAnsi"/>
        </w:rPr>
        <w:t>clined over the years as</w:t>
      </w:r>
      <w:r w:rsidR="009A5AE7" w:rsidRPr="00731F1B">
        <w:rPr>
          <w:rFonts w:cstheme="minorHAnsi"/>
        </w:rPr>
        <w:t xml:space="preserve"> shown in table 17.2 </w:t>
      </w:r>
    </w:p>
    <w:p w:rsidR="00D2497F" w:rsidRPr="00FD225C" w:rsidRDefault="00D2497F" w:rsidP="00D2497F">
      <w:pPr>
        <w:jc w:val="center"/>
        <w:rPr>
          <w:rFonts w:cstheme="minorHAnsi"/>
          <w:b/>
        </w:rPr>
      </w:pPr>
      <w:r w:rsidRPr="00FD225C">
        <w:rPr>
          <w:rFonts w:cstheme="minorHAnsi"/>
          <w:b/>
        </w:rPr>
        <w:t xml:space="preserve">Box 17.1: Progress under </w:t>
      </w:r>
      <w:r w:rsidRPr="00FD225C">
        <w:rPr>
          <w:rFonts w:cstheme="minorHAnsi"/>
          <w:b/>
          <w:lang w:bidi="hi-IN"/>
        </w:rPr>
        <w:t xml:space="preserve">Pradhan </w:t>
      </w:r>
      <w:proofErr w:type="spellStart"/>
      <w:r w:rsidRPr="00FD225C">
        <w:rPr>
          <w:rFonts w:cstheme="minorHAnsi"/>
          <w:b/>
          <w:lang w:bidi="hi-IN"/>
        </w:rPr>
        <w:t>Mantri</w:t>
      </w:r>
      <w:proofErr w:type="spellEnd"/>
      <w:r w:rsidRPr="00FD225C">
        <w:rPr>
          <w:rFonts w:cstheme="minorHAnsi"/>
          <w:b/>
          <w:lang w:bidi="hi-IN"/>
        </w:rPr>
        <w:t xml:space="preserve"> </w:t>
      </w:r>
      <w:proofErr w:type="spellStart"/>
      <w:r w:rsidRPr="00FD225C">
        <w:rPr>
          <w:rFonts w:cstheme="minorHAnsi"/>
          <w:b/>
          <w:lang w:bidi="hi-IN"/>
        </w:rPr>
        <w:t>Awas</w:t>
      </w:r>
      <w:proofErr w:type="spellEnd"/>
      <w:r w:rsidRPr="00FD225C">
        <w:rPr>
          <w:rFonts w:cstheme="minorHAnsi"/>
          <w:b/>
          <w:lang w:bidi="hi-IN"/>
        </w:rPr>
        <w:t xml:space="preserve"> </w:t>
      </w:r>
      <w:proofErr w:type="spellStart"/>
      <w:r w:rsidRPr="00FD225C">
        <w:rPr>
          <w:rFonts w:cstheme="minorHAnsi"/>
          <w:b/>
          <w:lang w:bidi="hi-IN"/>
        </w:rPr>
        <w:t>Yojna</w:t>
      </w:r>
      <w:proofErr w:type="spellEnd"/>
      <w:r w:rsidRPr="00FD225C">
        <w:rPr>
          <w:rFonts w:cstheme="minorHAnsi"/>
          <w:b/>
          <w:lang w:bidi="hi-IN"/>
        </w:rPr>
        <w:t xml:space="preserve">, Urban (PMAY) </w:t>
      </w:r>
    </w:p>
    <w:tbl>
      <w:tblPr>
        <w:tblStyle w:val="TableGrid"/>
        <w:tblW w:w="0" w:type="auto"/>
        <w:tblInd w:w="108" w:type="dxa"/>
        <w:shd w:val="clear" w:color="auto" w:fill="B8CCE4" w:themeFill="accent1" w:themeFillTint="66"/>
        <w:tblLook w:val="04A0" w:firstRow="1" w:lastRow="0" w:firstColumn="1" w:lastColumn="0" w:noHBand="0" w:noVBand="1"/>
      </w:tblPr>
      <w:tblGrid>
        <w:gridCol w:w="9360"/>
      </w:tblGrid>
      <w:tr w:rsidR="00D2497F" w:rsidRPr="00731F1B" w:rsidTr="00731F1B">
        <w:trPr>
          <w:trHeight w:val="2530"/>
        </w:trPr>
        <w:tc>
          <w:tcPr>
            <w:tcW w:w="9360" w:type="dxa"/>
            <w:shd w:val="clear" w:color="auto" w:fill="B8CCE4" w:themeFill="accent1" w:themeFillTint="66"/>
          </w:tcPr>
          <w:p w:rsidR="00D2497F" w:rsidRPr="00731F1B" w:rsidRDefault="00D2497F" w:rsidP="00031ABE">
            <w:pPr>
              <w:autoSpaceDE w:val="0"/>
              <w:autoSpaceDN w:val="0"/>
              <w:adjustRightInd w:val="0"/>
              <w:jc w:val="both"/>
              <w:rPr>
                <w:rFonts w:cstheme="minorHAnsi"/>
                <w:lang w:bidi="hi-IN"/>
              </w:rPr>
            </w:pPr>
            <w:r w:rsidRPr="00731F1B">
              <w:rPr>
                <w:rFonts w:cstheme="minorHAnsi"/>
                <w:lang w:bidi="hi-IN"/>
              </w:rPr>
              <w:t xml:space="preserve">Pradhan </w:t>
            </w:r>
            <w:proofErr w:type="spellStart"/>
            <w:r w:rsidRPr="00731F1B">
              <w:rPr>
                <w:rFonts w:cstheme="minorHAnsi"/>
                <w:lang w:bidi="hi-IN"/>
              </w:rPr>
              <w:t>Mantri</w:t>
            </w:r>
            <w:proofErr w:type="spellEnd"/>
            <w:r w:rsidRPr="00731F1B">
              <w:rPr>
                <w:rFonts w:cstheme="minorHAnsi"/>
                <w:lang w:bidi="hi-IN"/>
              </w:rPr>
              <w:t xml:space="preserve"> </w:t>
            </w:r>
            <w:proofErr w:type="spellStart"/>
            <w:r w:rsidRPr="00731F1B">
              <w:rPr>
                <w:rFonts w:cstheme="minorHAnsi"/>
                <w:lang w:bidi="hi-IN"/>
              </w:rPr>
              <w:t>Awas</w:t>
            </w:r>
            <w:proofErr w:type="spellEnd"/>
            <w:r w:rsidRPr="00731F1B">
              <w:rPr>
                <w:rFonts w:cstheme="minorHAnsi"/>
                <w:lang w:bidi="hi-IN"/>
              </w:rPr>
              <w:t xml:space="preserve"> </w:t>
            </w:r>
            <w:proofErr w:type="spellStart"/>
            <w:r w:rsidRPr="00731F1B">
              <w:rPr>
                <w:rFonts w:cstheme="minorHAnsi"/>
                <w:lang w:bidi="hi-IN"/>
              </w:rPr>
              <w:t>Yojna</w:t>
            </w:r>
            <w:proofErr w:type="spellEnd"/>
            <w:r w:rsidRPr="00731F1B">
              <w:rPr>
                <w:rFonts w:cstheme="minorHAnsi"/>
                <w:lang w:bidi="hi-IN"/>
              </w:rPr>
              <w:t>, Urban (PMAY) was launched on 25th June, 2015 with the target of providing housing for all by 2022.</w:t>
            </w:r>
            <w:r w:rsidR="00EF0A76">
              <w:rPr>
                <w:rFonts w:cstheme="minorHAnsi"/>
                <w:lang w:bidi="hi-IN"/>
              </w:rPr>
              <w:t xml:space="preserve"> </w:t>
            </w:r>
            <w:r w:rsidR="00EE3193">
              <w:rPr>
                <w:rFonts w:cstheme="minorHAnsi"/>
                <w:lang w:bidi="hi-IN"/>
              </w:rPr>
              <w:t>All the States and UTs</w:t>
            </w:r>
            <w:r w:rsidRPr="00731F1B">
              <w:rPr>
                <w:rFonts w:cstheme="minorHAnsi"/>
                <w:lang w:bidi="hi-IN"/>
              </w:rPr>
              <w:t xml:space="preserve"> </w:t>
            </w:r>
            <w:r w:rsidR="00EE3193">
              <w:rPr>
                <w:rFonts w:cstheme="minorHAnsi"/>
                <w:lang w:bidi="hi-IN"/>
              </w:rPr>
              <w:t>e</w:t>
            </w:r>
            <w:r w:rsidRPr="00731F1B">
              <w:rPr>
                <w:rFonts w:cstheme="minorHAnsi"/>
                <w:lang w:bidi="hi-IN"/>
              </w:rPr>
              <w:t xml:space="preserve">xcept for Delhi and </w:t>
            </w:r>
            <w:proofErr w:type="spellStart"/>
            <w:r w:rsidRPr="00731F1B">
              <w:rPr>
                <w:rFonts w:cstheme="minorHAnsi"/>
                <w:lang w:bidi="hi-IN"/>
              </w:rPr>
              <w:t>Lakshdweep</w:t>
            </w:r>
            <w:proofErr w:type="spellEnd"/>
            <w:r w:rsidRPr="00731F1B">
              <w:rPr>
                <w:rFonts w:cstheme="minorHAnsi"/>
                <w:lang w:bidi="hi-IN"/>
              </w:rPr>
              <w:t>, are covered in this scheme. As per the latest progress report, 3</w:t>
            </w:r>
            <w:r w:rsidR="00EF0A76">
              <w:rPr>
                <w:rFonts w:cstheme="minorHAnsi"/>
                <w:lang w:bidi="hi-IN"/>
              </w:rPr>
              <w:t>,</w:t>
            </w:r>
            <w:r w:rsidRPr="00731F1B">
              <w:rPr>
                <w:rFonts w:cstheme="minorHAnsi"/>
                <w:lang w:bidi="hi-IN"/>
              </w:rPr>
              <w:t>833 cities were included and 2</w:t>
            </w:r>
            <w:r w:rsidR="00EF0A76">
              <w:rPr>
                <w:rFonts w:cstheme="minorHAnsi"/>
                <w:lang w:bidi="hi-IN"/>
              </w:rPr>
              <w:t>,</w:t>
            </w:r>
            <w:r w:rsidRPr="00731F1B">
              <w:rPr>
                <w:rFonts w:cstheme="minorHAnsi"/>
                <w:lang w:bidi="hi-IN"/>
              </w:rPr>
              <w:t>691 projects in 1</w:t>
            </w:r>
            <w:r w:rsidR="00EF0A76">
              <w:rPr>
                <w:rFonts w:cstheme="minorHAnsi"/>
                <w:lang w:bidi="hi-IN"/>
              </w:rPr>
              <w:t>,</w:t>
            </w:r>
            <w:r w:rsidRPr="00731F1B">
              <w:rPr>
                <w:rFonts w:cstheme="minorHAnsi"/>
                <w:lang w:bidi="hi-IN"/>
              </w:rPr>
              <w:t xml:space="preserve">748 cities were under consideration with a total estimated cost of </w:t>
            </w:r>
            <w:proofErr w:type="spellStart"/>
            <w:r w:rsidRPr="00731F1B">
              <w:rPr>
                <w:rFonts w:cstheme="minorHAnsi"/>
                <w:lang w:bidi="hi-IN"/>
              </w:rPr>
              <w:t>Rs</w:t>
            </w:r>
            <w:proofErr w:type="spellEnd"/>
            <w:r w:rsidRPr="00731F1B">
              <w:rPr>
                <w:rFonts w:cstheme="minorHAnsi"/>
                <w:lang w:bidi="hi-IN"/>
              </w:rPr>
              <w:t>. 72</w:t>
            </w:r>
            <w:r w:rsidR="00EF0A76">
              <w:rPr>
                <w:rFonts w:cstheme="minorHAnsi"/>
                <w:lang w:bidi="hi-IN"/>
              </w:rPr>
              <w:t>,</w:t>
            </w:r>
            <w:r w:rsidRPr="00731F1B">
              <w:rPr>
                <w:rFonts w:cstheme="minorHAnsi"/>
                <w:lang w:bidi="hi-IN"/>
              </w:rPr>
              <w:t xml:space="preserve">031 crore. The share of central assistance approved is </w:t>
            </w:r>
            <w:proofErr w:type="spellStart"/>
            <w:r w:rsidRPr="00731F1B">
              <w:rPr>
                <w:rFonts w:cstheme="minorHAnsi"/>
                <w:lang w:bidi="hi-IN"/>
              </w:rPr>
              <w:t>Rs</w:t>
            </w:r>
            <w:proofErr w:type="spellEnd"/>
            <w:r w:rsidRPr="00731F1B">
              <w:rPr>
                <w:rFonts w:cstheme="minorHAnsi"/>
                <w:lang w:bidi="hi-IN"/>
              </w:rPr>
              <w:t>. 19</w:t>
            </w:r>
            <w:r w:rsidR="00EF0A76">
              <w:rPr>
                <w:rFonts w:cstheme="minorHAnsi"/>
                <w:lang w:bidi="hi-IN"/>
              </w:rPr>
              <w:t>,</w:t>
            </w:r>
            <w:r w:rsidRPr="00731F1B">
              <w:rPr>
                <w:rFonts w:cstheme="minorHAnsi"/>
                <w:lang w:bidi="hi-IN"/>
              </w:rPr>
              <w:t xml:space="preserve">633 crore out of which only </w:t>
            </w:r>
            <w:proofErr w:type="spellStart"/>
            <w:r w:rsidRPr="00731F1B">
              <w:rPr>
                <w:rFonts w:cstheme="minorHAnsi"/>
                <w:lang w:bidi="hi-IN"/>
              </w:rPr>
              <w:t>Rs</w:t>
            </w:r>
            <w:proofErr w:type="spellEnd"/>
            <w:r w:rsidRPr="00731F1B">
              <w:rPr>
                <w:rFonts w:cstheme="minorHAnsi"/>
                <w:lang w:bidi="hi-IN"/>
              </w:rPr>
              <w:t>. 4</w:t>
            </w:r>
            <w:r w:rsidR="00EF0A76">
              <w:rPr>
                <w:rFonts w:cstheme="minorHAnsi"/>
                <w:lang w:bidi="hi-IN"/>
              </w:rPr>
              <w:t>,</w:t>
            </w:r>
            <w:r w:rsidRPr="00731F1B">
              <w:rPr>
                <w:rFonts w:cstheme="minorHAnsi"/>
                <w:lang w:bidi="hi-IN"/>
              </w:rPr>
              <w:t xml:space="preserve">464 crore has been released so far. </w:t>
            </w:r>
          </w:p>
          <w:p w:rsidR="00D2497F" w:rsidRPr="00731F1B" w:rsidRDefault="00D2497F" w:rsidP="00031ABE">
            <w:pPr>
              <w:autoSpaceDE w:val="0"/>
              <w:autoSpaceDN w:val="0"/>
              <w:adjustRightInd w:val="0"/>
              <w:jc w:val="both"/>
              <w:rPr>
                <w:rFonts w:cstheme="minorHAnsi"/>
                <w:b/>
                <w:bCs/>
              </w:rPr>
            </w:pPr>
            <w:r w:rsidRPr="00731F1B">
              <w:rPr>
                <w:rFonts w:cstheme="minorHAnsi"/>
                <w:lang w:bidi="hi-IN"/>
              </w:rPr>
              <w:t>The physical progress shows that out of the total target of 13</w:t>
            </w:r>
            <w:r w:rsidR="00FD225C" w:rsidRPr="00731F1B">
              <w:rPr>
                <w:rFonts w:cstheme="minorHAnsi"/>
                <w:lang w:bidi="hi-IN"/>
              </w:rPr>
              <w:t>, 28,295</w:t>
            </w:r>
            <w:r w:rsidRPr="00731F1B">
              <w:rPr>
                <w:rFonts w:cstheme="minorHAnsi"/>
                <w:lang w:bidi="hi-IN"/>
              </w:rPr>
              <w:t xml:space="preserve"> houses</w:t>
            </w:r>
            <w:r w:rsidR="00890C8F">
              <w:rPr>
                <w:rFonts w:cstheme="minorHAnsi"/>
                <w:lang w:bidi="hi-IN"/>
              </w:rPr>
              <w:t>,</w:t>
            </w:r>
            <w:r w:rsidRPr="00731F1B">
              <w:rPr>
                <w:rFonts w:cstheme="minorHAnsi"/>
                <w:lang w:bidi="hi-IN"/>
              </w:rPr>
              <w:t xml:space="preserve"> only 9</w:t>
            </w:r>
            <w:r w:rsidR="00EF0A76">
              <w:rPr>
                <w:rFonts w:cstheme="minorHAnsi"/>
                <w:lang w:bidi="hi-IN"/>
              </w:rPr>
              <w:t>,</w:t>
            </w:r>
            <w:r w:rsidRPr="00731F1B">
              <w:rPr>
                <w:rFonts w:cstheme="minorHAnsi"/>
                <w:lang w:bidi="hi-IN"/>
              </w:rPr>
              <w:t>435 ha</w:t>
            </w:r>
            <w:r w:rsidR="00890C8F">
              <w:rPr>
                <w:rFonts w:cstheme="minorHAnsi"/>
                <w:lang w:bidi="hi-IN"/>
              </w:rPr>
              <w:t>ve</w:t>
            </w:r>
            <w:r w:rsidRPr="00731F1B">
              <w:rPr>
                <w:rFonts w:cstheme="minorHAnsi"/>
                <w:lang w:bidi="hi-IN"/>
              </w:rPr>
              <w:t xml:space="preserve"> been completed so far and 2</w:t>
            </w:r>
            <w:r w:rsidR="00FD225C" w:rsidRPr="00731F1B">
              <w:rPr>
                <w:rFonts w:cstheme="minorHAnsi"/>
                <w:lang w:bidi="hi-IN"/>
              </w:rPr>
              <w:t>, 13,187</w:t>
            </w:r>
            <w:r w:rsidRPr="00731F1B">
              <w:rPr>
                <w:rFonts w:cstheme="minorHAnsi"/>
                <w:lang w:bidi="hi-IN"/>
              </w:rPr>
              <w:t xml:space="preserve"> were</w:t>
            </w:r>
            <w:r w:rsidR="00FD225C">
              <w:rPr>
                <w:rFonts w:cstheme="minorHAnsi"/>
                <w:lang w:bidi="hi-IN"/>
              </w:rPr>
              <w:t xml:space="preserve"> still</w:t>
            </w:r>
            <w:r w:rsidRPr="00731F1B">
              <w:rPr>
                <w:rFonts w:cstheme="minorHAnsi"/>
                <w:lang w:bidi="hi-IN"/>
              </w:rPr>
              <w:t xml:space="preserve"> under progress. The small number of houses completed was restricted to six states only (Andhra Pradesh, Chhattisgarh, Gujarat, Karnataka, Tamil Nadu and West Bengal) out of which 3</w:t>
            </w:r>
            <w:r w:rsidR="00EF0A76">
              <w:rPr>
                <w:rFonts w:cstheme="minorHAnsi"/>
                <w:lang w:bidi="hi-IN"/>
              </w:rPr>
              <w:t>,</w:t>
            </w:r>
            <w:r w:rsidRPr="00731F1B">
              <w:rPr>
                <w:rFonts w:cstheme="minorHAnsi"/>
                <w:lang w:bidi="hi-IN"/>
              </w:rPr>
              <w:t>439 were in Gujarat alone.</w:t>
            </w:r>
          </w:p>
        </w:tc>
      </w:tr>
    </w:tbl>
    <w:p w:rsidR="00D2497F" w:rsidRPr="00731F1B" w:rsidRDefault="00D2497F" w:rsidP="00D2497F">
      <w:pPr>
        <w:jc w:val="both"/>
        <w:rPr>
          <w:rFonts w:cstheme="minorHAnsi"/>
        </w:rPr>
      </w:pPr>
      <w:r w:rsidRPr="00731F1B">
        <w:rPr>
          <w:rFonts w:cstheme="minorHAnsi"/>
          <w:i/>
          <w:iCs/>
        </w:rPr>
        <w:t>Source:</w:t>
      </w:r>
      <w:r w:rsidR="00E82CED">
        <w:rPr>
          <w:rFonts w:cstheme="minorHAnsi"/>
        </w:rPr>
        <w:t xml:space="preserve"> </w:t>
      </w:r>
      <w:r w:rsidR="00E82CED" w:rsidRPr="00E82CED">
        <w:rPr>
          <w:rFonts w:cstheme="minorHAnsi"/>
          <w:i/>
        </w:rPr>
        <w:t xml:space="preserve">Pradhan </w:t>
      </w:r>
      <w:proofErr w:type="spellStart"/>
      <w:r w:rsidR="00E82CED" w:rsidRPr="00E82CED">
        <w:rPr>
          <w:rFonts w:cstheme="minorHAnsi"/>
          <w:i/>
        </w:rPr>
        <w:t>Mantri</w:t>
      </w:r>
      <w:proofErr w:type="spellEnd"/>
      <w:r w:rsidRPr="00E82CED">
        <w:rPr>
          <w:rFonts w:cstheme="minorHAnsi"/>
          <w:i/>
        </w:rPr>
        <w:t xml:space="preserve"> </w:t>
      </w:r>
      <w:proofErr w:type="spellStart"/>
      <w:r w:rsidRPr="00E82CED">
        <w:rPr>
          <w:rFonts w:cstheme="minorHAnsi"/>
          <w:i/>
        </w:rPr>
        <w:t>Awas</w:t>
      </w:r>
      <w:proofErr w:type="spellEnd"/>
      <w:r w:rsidRPr="00E82CED">
        <w:rPr>
          <w:rFonts w:cstheme="minorHAnsi"/>
          <w:i/>
        </w:rPr>
        <w:t xml:space="preserve"> </w:t>
      </w:r>
      <w:proofErr w:type="spellStart"/>
      <w:r w:rsidRPr="00E82CED">
        <w:rPr>
          <w:rFonts w:cstheme="minorHAnsi"/>
          <w:i/>
        </w:rPr>
        <w:t>Yojana</w:t>
      </w:r>
      <w:proofErr w:type="spellEnd"/>
      <w:r w:rsidRPr="00731F1B">
        <w:rPr>
          <w:rFonts w:cstheme="minorHAnsi"/>
        </w:rPr>
        <w:t xml:space="preserve"> (Urban) - Housing for All State wise Progress, Monitoring report dated 3</w:t>
      </w:r>
      <w:r w:rsidRPr="00731F1B">
        <w:rPr>
          <w:rFonts w:cstheme="minorHAnsi"/>
          <w:vertAlign w:val="superscript"/>
        </w:rPr>
        <w:t>rd</w:t>
      </w:r>
      <w:r w:rsidR="00E82CED">
        <w:rPr>
          <w:rFonts w:cstheme="minorHAnsi"/>
        </w:rPr>
        <w:t xml:space="preserve"> Jan 2017, </w:t>
      </w:r>
      <w:proofErr w:type="spellStart"/>
      <w:r w:rsidR="00E82CED">
        <w:rPr>
          <w:rFonts w:cstheme="minorHAnsi"/>
        </w:rPr>
        <w:t>MoHUPA</w:t>
      </w:r>
      <w:proofErr w:type="spellEnd"/>
    </w:p>
    <w:p w:rsidR="009A5AE7" w:rsidRPr="00FD225C" w:rsidRDefault="009A5AE7" w:rsidP="006F3700">
      <w:pPr>
        <w:jc w:val="center"/>
        <w:rPr>
          <w:rFonts w:cstheme="minorHAnsi"/>
          <w:b/>
        </w:rPr>
      </w:pPr>
      <w:r w:rsidRPr="00FD225C">
        <w:rPr>
          <w:rFonts w:cstheme="minorHAnsi"/>
          <w:b/>
        </w:rPr>
        <w:t xml:space="preserve">Table 17.2: </w:t>
      </w:r>
      <w:r w:rsidR="006F3700" w:rsidRPr="00FD225C">
        <w:rPr>
          <w:rFonts w:cstheme="minorHAnsi"/>
          <w:b/>
        </w:rPr>
        <w:t>Expenditure/</w:t>
      </w:r>
      <w:r w:rsidR="006F3700" w:rsidRPr="00FD225C">
        <w:rPr>
          <w:rFonts w:eastAsia="Calibri" w:cstheme="minorHAnsi"/>
          <w:b/>
        </w:rPr>
        <w:t>Bud</w:t>
      </w:r>
      <w:r w:rsidR="006F3700" w:rsidRPr="00FD225C">
        <w:rPr>
          <w:rFonts w:eastAsia="Calibri" w:cstheme="minorHAnsi"/>
          <w:b/>
          <w:spacing w:val="-3"/>
        </w:rPr>
        <w:t>g</w:t>
      </w:r>
      <w:r w:rsidR="006F3700" w:rsidRPr="00FD225C">
        <w:rPr>
          <w:rFonts w:eastAsia="Calibri" w:cstheme="minorHAnsi"/>
          <w:b/>
          <w:spacing w:val="-1"/>
        </w:rPr>
        <w:t>e</w:t>
      </w:r>
      <w:r w:rsidR="006F3700" w:rsidRPr="00FD225C">
        <w:rPr>
          <w:rFonts w:eastAsia="Calibri" w:cstheme="minorHAnsi"/>
          <w:b/>
          <w:spacing w:val="-2"/>
        </w:rPr>
        <w:t>t</w:t>
      </w:r>
      <w:r w:rsidR="006F3700" w:rsidRPr="00FD225C">
        <w:rPr>
          <w:rFonts w:eastAsia="Calibri" w:cstheme="minorHAnsi"/>
          <w:b/>
        </w:rPr>
        <w:t>a</w:t>
      </w:r>
      <w:r w:rsidR="006F3700" w:rsidRPr="00FD225C">
        <w:rPr>
          <w:rFonts w:eastAsia="Calibri" w:cstheme="minorHAnsi"/>
          <w:b/>
          <w:spacing w:val="1"/>
        </w:rPr>
        <w:t>r</w:t>
      </w:r>
      <w:r w:rsidR="006F3700" w:rsidRPr="00FD225C">
        <w:rPr>
          <w:rFonts w:eastAsia="Calibri" w:cstheme="minorHAnsi"/>
          <w:b/>
        </w:rPr>
        <w:t>y P</w:t>
      </w:r>
      <w:r w:rsidR="006F3700" w:rsidRPr="00FD225C">
        <w:rPr>
          <w:rFonts w:eastAsia="Calibri" w:cstheme="minorHAnsi"/>
          <w:b/>
          <w:spacing w:val="-3"/>
        </w:rPr>
        <w:t>r</w:t>
      </w:r>
      <w:r w:rsidR="006F3700" w:rsidRPr="00FD225C">
        <w:rPr>
          <w:rFonts w:eastAsia="Calibri" w:cstheme="minorHAnsi"/>
          <w:b/>
          <w:spacing w:val="-1"/>
        </w:rPr>
        <w:t>o</w:t>
      </w:r>
      <w:r w:rsidR="006F3700" w:rsidRPr="00FD225C">
        <w:rPr>
          <w:rFonts w:eastAsia="Calibri" w:cstheme="minorHAnsi"/>
          <w:b/>
        </w:rPr>
        <w:t xml:space="preserve">visions </w:t>
      </w:r>
      <w:r w:rsidR="006F3700" w:rsidRPr="00FD225C">
        <w:rPr>
          <w:rFonts w:eastAsia="Calibri" w:cstheme="minorHAnsi"/>
          <w:b/>
          <w:spacing w:val="-4"/>
        </w:rPr>
        <w:t>f</w:t>
      </w:r>
      <w:r w:rsidR="006F3700" w:rsidRPr="00FD225C">
        <w:rPr>
          <w:rFonts w:eastAsia="Calibri" w:cstheme="minorHAnsi"/>
          <w:b/>
        </w:rPr>
        <w:t>or Major Schemes under M</w:t>
      </w:r>
      <w:r w:rsidR="00B506A9" w:rsidRPr="00FD225C">
        <w:rPr>
          <w:rFonts w:eastAsia="Calibri" w:cstheme="minorHAnsi"/>
          <w:b/>
        </w:rPr>
        <w:t>inistry of Housing and Urban Poverty Alleviation (</w:t>
      </w:r>
      <w:proofErr w:type="spellStart"/>
      <w:r w:rsidR="00B506A9" w:rsidRPr="00FD225C">
        <w:rPr>
          <w:rFonts w:eastAsia="Calibri" w:cstheme="minorHAnsi"/>
          <w:b/>
        </w:rPr>
        <w:t>Rs</w:t>
      </w:r>
      <w:proofErr w:type="spellEnd"/>
      <w:r w:rsidR="00B506A9" w:rsidRPr="00FD225C">
        <w:rPr>
          <w:rFonts w:eastAsia="Calibri" w:cstheme="minorHAnsi"/>
          <w:b/>
        </w:rPr>
        <w:t>. crore)</w:t>
      </w: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7"/>
        <w:gridCol w:w="1074"/>
        <w:gridCol w:w="1074"/>
        <w:gridCol w:w="1074"/>
        <w:gridCol w:w="1074"/>
        <w:gridCol w:w="1074"/>
        <w:gridCol w:w="1074"/>
        <w:gridCol w:w="1074"/>
      </w:tblGrid>
      <w:tr w:rsidR="006F3700" w:rsidRPr="00731F1B" w:rsidTr="006F3700">
        <w:trPr>
          <w:trHeight w:val="306"/>
        </w:trPr>
        <w:tc>
          <w:tcPr>
            <w:tcW w:w="1857" w:type="dxa"/>
            <w:shd w:val="clear" w:color="auto" w:fill="auto"/>
            <w:noWrap/>
            <w:vAlign w:val="bottom"/>
            <w:hideMark/>
          </w:tcPr>
          <w:p w:rsidR="009A5AE7" w:rsidRPr="009A5AE7" w:rsidRDefault="009A5AE7" w:rsidP="009A5AE7">
            <w:pPr>
              <w:spacing w:after="0" w:line="240" w:lineRule="auto"/>
              <w:rPr>
                <w:rFonts w:eastAsia="Times New Roman" w:cstheme="minorHAnsi"/>
                <w:color w:val="000000"/>
                <w:lang w:bidi="hi-IN"/>
              </w:rPr>
            </w:pPr>
            <w:proofErr w:type="spellStart"/>
            <w:r w:rsidRPr="009A5AE7">
              <w:rPr>
                <w:rFonts w:eastAsia="Times New Roman" w:cstheme="minorHAnsi"/>
                <w:color w:val="000000"/>
                <w:lang w:bidi="hi-IN"/>
              </w:rPr>
              <w:lastRenderedPageBreak/>
              <w:t>MoHUPA</w:t>
            </w:r>
            <w:proofErr w:type="spellEnd"/>
          </w:p>
        </w:tc>
        <w:tc>
          <w:tcPr>
            <w:tcW w:w="1074" w:type="dxa"/>
            <w:shd w:val="clear" w:color="auto" w:fill="auto"/>
            <w:noWrap/>
            <w:vAlign w:val="bottom"/>
            <w:hideMark/>
          </w:tcPr>
          <w:p w:rsidR="009A5AE7" w:rsidRPr="009A5AE7" w:rsidRDefault="009A5AE7" w:rsidP="006F3700">
            <w:pPr>
              <w:spacing w:after="0" w:line="240" w:lineRule="auto"/>
              <w:jc w:val="center"/>
              <w:rPr>
                <w:rFonts w:eastAsia="Times New Roman" w:cstheme="minorHAnsi"/>
                <w:color w:val="000000"/>
                <w:lang w:bidi="hi-IN"/>
              </w:rPr>
            </w:pPr>
            <w:r w:rsidRPr="009A5AE7">
              <w:rPr>
                <w:rFonts w:eastAsia="Times New Roman" w:cstheme="minorHAnsi"/>
                <w:color w:val="000000"/>
                <w:lang w:bidi="hi-IN"/>
              </w:rPr>
              <w:t>2012-13 (A)</w:t>
            </w:r>
          </w:p>
        </w:tc>
        <w:tc>
          <w:tcPr>
            <w:tcW w:w="1074" w:type="dxa"/>
            <w:shd w:val="clear" w:color="auto" w:fill="auto"/>
            <w:noWrap/>
            <w:vAlign w:val="bottom"/>
            <w:hideMark/>
          </w:tcPr>
          <w:p w:rsidR="009A5AE7" w:rsidRPr="009A5AE7" w:rsidRDefault="009A5AE7" w:rsidP="006F3700">
            <w:pPr>
              <w:spacing w:after="0" w:line="240" w:lineRule="auto"/>
              <w:jc w:val="center"/>
              <w:rPr>
                <w:rFonts w:eastAsia="Times New Roman" w:cstheme="minorHAnsi"/>
                <w:color w:val="000000"/>
                <w:lang w:bidi="hi-IN"/>
              </w:rPr>
            </w:pPr>
            <w:r w:rsidRPr="009A5AE7">
              <w:rPr>
                <w:rFonts w:eastAsia="Times New Roman" w:cstheme="minorHAnsi"/>
                <w:color w:val="000000"/>
                <w:lang w:bidi="hi-IN"/>
              </w:rPr>
              <w:t>2013-14 (A)</w:t>
            </w:r>
          </w:p>
        </w:tc>
        <w:tc>
          <w:tcPr>
            <w:tcW w:w="1074" w:type="dxa"/>
            <w:shd w:val="clear" w:color="auto" w:fill="auto"/>
            <w:noWrap/>
            <w:vAlign w:val="bottom"/>
            <w:hideMark/>
          </w:tcPr>
          <w:p w:rsidR="009A5AE7" w:rsidRPr="009A5AE7" w:rsidRDefault="009A5AE7" w:rsidP="006F3700">
            <w:pPr>
              <w:spacing w:after="0" w:line="240" w:lineRule="auto"/>
              <w:jc w:val="center"/>
              <w:rPr>
                <w:rFonts w:eastAsia="Times New Roman" w:cstheme="minorHAnsi"/>
                <w:color w:val="000000"/>
                <w:lang w:bidi="hi-IN"/>
              </w:rPr>
            </w:pPr>
            <w:r w:rsidRPr="009A5AE7">
              <w:rPr>
                <w:rFonts w:eastAsia="Times New Roman" w:cstheme="minorHAnsi"/>
                <w:color w:val="000000"/>
                <w:lang w:bidi="hi-IN"/>
              </w:rPr>
              <w:t>2014-15 (A)</w:t>
            </w:r>
          </w:p>
        </w:tc>
        <w:tc>
          <w:tcPr>
            <w:tcW w:w="1074" w:type="dxa"/>
            <w:shd w:val="clear" w:color="auto" w:fill="auto"/>
            <w:noWrap/>
            <w:vAlign w:val="bottom"/>
            <w:hideMark/>
          </w:tcPr>
          <w:p w:rsidR="009A5AE7" w:rsidRPr="009A5AE7" w:rsidRDefault="009A5AE7" w:rsidP="006F3700">
            <w:pPr>
              <w:spacing w:after="0" w:line="240" w:lineRule="auto"/>
              <w:jc w:val="center"/>
              <w:rPr>
                <w:rFonts w:eastAsia="Times New Roman" w:cstheme="minorHAnsi"/>
                <w:color w:val="000000"/>
                <w:lang w:bidi="hi-IN"/>
              </w:rPr>
            </w:pPr>
            <w:r w:rsidRPr="009A5AE7">
              <w:rPr>
                <w:rFonts w:eastAsia="Times New Roman" w:cstheme="minorHAnsi"/>
                <w:color w:val="000000"/>
                <w:lang w:bidi="hi-IN"/>
              </w:rPr>
              <w:t>2015-16 (A)</w:t>
            </w:r>
          </w:p>
        </w:tc>
        <w:tc>
          <w:tcPr>
            <w:tcW w:w="1074" w:type="dxa"/>
            <w:shd w:val="clear" w:color="auto" w:fill="auto"/>
            <w:noWrap/>
            <w:vAlign w:val="bottom"/>
            <w:hideMark/>
          </w:tcPr>
          <w:p w:rsidR="009A5AE7" w:rsidRPr="009A5AE7" w:rsidRDefault="009A5AE7" w:rsidP="006F3700">
            <w:pPr>
              <w:spacing w:after="0" w:line="240" w:lineRule="auto"/>
              <w:jc w:val="center"/>
              <w:rPr>
                <w:rFonts w:eastAsia="Times New Roman" w:cstheme="minorHAnsi"/>
                <w:color w:val="000000"/>
                <w:lang w:bidi="hi-IN"/>
              </w:rPr>
            </w:pPr>
            <w:r w:rsidRPr="009A5AE7">
              <w:rPr>
                <w:rFonts w:eastAsia="Times New Roman" w:cstheme="minorHAnsi"/>
                <w:color w:val="000000"/>
                <w:lang w:bidi="hi-IN"/>
              </w:rPr>
              <w:t>2016-17 (BE)</w:t>
            </w:r>
          </w:p>
        </w:tc>
        <w:tc>
          <w:tcPr>
            <w:tcW w:w="1074" w:type="dxa"/>
            <w:shd w:val="clear" w:color="auto" w:fill="auto"/>
            <w:noWrap/>
            <w:vAlign w:val="bottom"/>
            <w:hideMark/>
          </w:tcPr>
          <w:p w:rsidR="009A5AE7" w:rsidRPr="009A5AE7" w:rsidRDefault="009A5AE7" w:rsidP="006F3700">
            <w:pPr>
              <w:spacing w:after="0" w:line="240" w:lineRule="auto"/>
              <w:jc w:val="center"/>
              <w:rPr>
                <w:rFonts w:eastAsia="Times New Roman" w:cstheme="minorHAnsi"/>
                <w:color w:val="000000"/>
                <w:lang w:bidi="hi-IN"/>
              </w:rPr>
            </w:pPr>
            <w:r w:rsidRPr="009A5AE7">
              <w:rPr>
                <w:rFonts w:eastAsia="Times New Roman" w:cstheme="minorHAnsi"/>
                <w:color w:val="000000"/>
                <w:lang w:bidi="hi-IN"/>
              </w:rPr>
              <w:t>2016-17 (RE)</w:t>
            </w:r>
          </w:p>
        </w:tc>
        <w:tc>
          <w:tcPr>
            <w:tcW w:w="1074" w:type="dxa"/>
            <w:shd w:val="clear" w:color="auto" w:fill="auto"/>
            <w:noWrap/>
            <w:vAlign w:val="bottom"/>
            <w:hideMark/>
          </w:tcPr>
          <w:p w:rsidR="009A5AE7" w:rsidRPr="009A5AE7" w:rsidRDefault="009A5AE7" w:rsidP="006F3700">
            <w:pPr>
              <w:spacing w:after="0" w:line="240" w:lineRule="auto"/>
              <w:jc w:val="center"/>
              <w:rPr>
                <w:rFonts w:eastAsia="Times New Roman" w:cstheme="minorHAnsi"/>
                <w:color w:val="000000"/>
                <w:lang w:bidi="hi-IN"/>
              </w:rPr>
            </w:pPr>
            <w:r w:rsidRPr="009A5AE7">
              <w:rPr>
                <w:rFonts w:eastAsia="Times New Roman" w:cstheme="minorHAnsi"/>
                <w:color w:val="000000"/>
                <w:lang w:bidi="hi-IN"/>
              </w:rPr>
              <w:t>2017-18 (BE)</w:t>
            </w:r>
          </w:p>
        </w:tc>
      </w:tr>
      <w:tr w:rsidR="006F3700" w:rsidRPr="00731F1B" w:rsidTr="006F3700">
        <w:trPr>
          <w:trHeight w:val="306"/>
        </w:trPr>
        <w:tc>
          <w:tcPr>
            <w:tcW w:w="1857" w:type="dxa"/>
            <w:shd w:val="clear" w:color="auto" w:fill="auto"/>
            <w:noWrap/>
            <w:vAlign w:val="bottom"/>
            <w:hideMark/>
          </w:tcPr>
          <w:p w:rsidR="009A5AE7" w:rsidRPr="009A5AE7" w:rsidRDefault="009A5AE7" w:rsidP="009A5AE7">
            <w:pPr>
              <w:spacing w:after="0" w:line="240" w:lineRule="auto"/>
              <w:rPr>
                <w:rFonts w:eastAsia="Times New Roman" w:cstheme="minorHAnsi"/>
                <w:color w:val="000000"/>
                <w:lang w:bidi="hi-IN"/>
              </w:rPr>
            </w:pPr>
            <w:r w:rsidRPr="009A5AE7">
              <w:rPr>
                <w:rFonts w:eastAsia="Times New Roman" w:cstheme="minorHAnsi"/>
                <w:color w:val="000000"/>
                <w:lang w:bidi="hi-IN"/>
              </w:rPr>
              <w:t>PMAY (Urban)</w:t>
            </w:r>
            <w:r w:rsidRPr="00731F1B">
              <w:rPr>
                <w:rFonts w:eastAsia="Times New Roman" w:cstheme="minorHAnsi"/>
                <w:color w:val="000000"/>
                <w:lang w:bidi="hi-IN"/>
              </w:rPr>
              <w:t>*</w:t>
            </w:r>
          </w:p>
        </w:tc>
        <w:tc>
          <w:tcPr>
            <w:tcW w:w="1074" w:type="dxa"/>
            <w:shd w:val="clear" w:color="auto" w:fill="auto"/>
            <w:noWrap/>
            <w:vAlign w:val="bottom"/>
            <w:hideMark/>
          </w:tcPr>
          <w:p w:rsidR="009A5AE7" w:rsidRPr="009A5AE7" w:rsidRDefault="009A5AE7" w:rsidP="006F3700">
            <w:pPr>
              <w:spacing w:after="0" w:line="240" w:lineRule="auto"/>
              <w:jc w:val="center"/>
              <w:rPr>
                <w:rFonts w:eastAsia="Times New Roman" w:cstheme="minorHAnsi"/>
                <w:color w:val="000000"/>
                <w:lang w:bidi="hi-IN"/>
              </w:rPr>
            </w:pPr>
            <w:r w:rsidRPr="009A5AE7">
              <w:rPr>
                <w:rFonts w:eastAsia="Times New Roman" w:cstheme="minorHAnsi"/>
                <w:color w:val="000000"/>
                <w:lang w:bidi="hi-IN"/>
              </w:rPr>
              <w:t>1937</w:t>
            </w:r>
          </w:p>
        </w:tc>
        <w:tc>
          <w:tcPr>
            <w:tcW w:w="1074" w:type="dxa"/>
            <w:shd w:val="clear" w:color="auto" w:fill="auto"/>
            <w:noWrap/>
            <w:vAlign w:val="bottom"/>
            <w:hideMark/>
          </w:tcPr>
          <w:p w:rsidR="009A5AE7" w:rsidRPr="009A5AE7" w:rsidRDefault="009A5AE7" w:rsidP="006F3700">
            <w:pPr>
              <w:spacing w:after="0" w:line="240" w:lineRule="auto"/>
              <w:jc w:val="center"/>
              <w:rPr>
                <w:rFonts w:eastAsia="Times New Roman" w:cstheme="minorHAnsi"/>
                <w:color w:val="000000"/>
                <w:lang w:bidi="hi-IN"/>
              </w:rPr>
            </w:pPr>
            <w:r w:rsidRPr="009A5AE7">
              <w:rPr>
                <w:rFonts w:eastAsia="Times New Roman" w:cstheme="minorHAnsi"/>
                <w:color w:val="000000"/>
                <w:lang w:bidi="hi-IN"/>
              </w:rPr>
              <w:t>2256</w:t>
            </w:r>
          </w:p>
        </w:tc>
        <w:tc>
          <w:tcPr>
            <w:tcW w:w="1074" w:type="dxa"/>
            <w:shd w:val="clear" w:color="auto" w:fill="auto"/>
            <w:noWrap/>
            <w:vAlign w:val="bottom"/>
            <w:hideMark/>
          </w:tcPr>
          <w:p w:rsidR="009A5AE7" w:rsidRPr="009A5AE7" w:rsidRDefault="009A5AE7" w:rsidP="006F3700">
            <w:pPr>
              <w:spacing w:after="0" w:line="240" w:lineRule="auto"/>
              <w:jc w:val="center"/>
              <w:rPr>
                <w:rFonts w:eastAsia="Times New Roman" w:cstheme="minorHAnsi"/>
                <w:color w:val="000000"/>
                <w:lang w:bidi="hi-IN"/>
              </w:rPr>
            </w:pPr>
            <w:r w:rsidRPr="00731F1B">
              <w:rPr>
                <w:rFonts w:eastAsia="Times New Roman" w:cstheme="minorHAnsi"/>
                <w:color w:val="000000"/>
                <w:lang w:bidi="hi-IN"/>
              </w:rPr>
              <w:t>1</w:t>
            </w:r>
            <w:r w:rsidRPr="009A5AE7">
              <w:rPr>
                <w:rFonts w:eastAsia="Times New Roman" w:cstheme="minorHAnsi"/>
                <w:color w:val="000000"/>
                <w:lang w:bidi="hi-IN"/>
              </w:rPr>
              <w:t>959</w:t>
            </w:r>
          </w:p>
        </w:tc>
        <w:tc>
          <w:tcPr>
            <w:tcW w:w="1074" w:type="dxa"/>
            <w:shd w:val="clear" w:color="auto" w:fill="auto"/>
            <w:noWrap/>
            <w:vAlign w:val="bottom"/>
            <w:hideMark/>
          </w:tcPr>
          <w:p w:rsidR="009A5AE7" w:rsidRPr="009A5AE7" w:rsidRDefault="009A5AE7" w:rsidP="006F3700">
            <w:pPr>
              <w:spacing w:after="0" w:line="240" w:lineRule="auto"/>
              <w:jc w:val="center"/>
              <w:rPr>
                <w:rFonts w:eastAsia="Times New Roman" w:cstheme="minorHAnsi"/>
                <w:color w:val="000000"/>
                <w:lang w:bidi="hi-IN"/>
              </w:rPr>
            </w:pPr>
            <w:r w:rsidRPr="00731F1B">
              <w:rPr>
                <w:rFonts w:eastAsia="Times New Roman" w:cstheme="minorHAnsi"/>
                <w:color w:val="000000"/>
                <w:lang w:bidi="hi-IN"/>
              </w:rPr>
              <w:t>1487</w:t>
            </w:r>
          </w:p>
        </w:tc>
        <w:tc>
          <w:tcPr>
            <w:tcW w:w="1074" w:type="dxa"/>
            <w:shd w:val="clear" w:color="auto" w:fill="auto"/>
            <w:noWrap/>
            <w:vAlign w:val="bottom"/>
            <w:hideMark/>
          </w:tcPr>
          <w:p w:rsidR="009A5AE7" w:rsidRPr="009A5AE7" w:rsidRDefault="009A5AE7" w:rsidP="006F3700">
            <w:pPr>
              <w:spacing w:after="0" w:line="240" w:lineRule="auto"/>
              <w:jc w:val="center"/>
              <w:rPr>
                <w:rFonts w:eastAsia="Times New Roman" w:cstheme="minorHAnsi"/>
                <w:color w:val="000000"/>
                <w:lang w:bidi="hi-IN"/>
              </w:rPr>
            </w:pPr>
            <w:r w:rsidRPr="00731F1B">
              <w:rPr>
                <w:rFonts w:eastAsia="Times New Roman" w:cstheme="minorHAnsi"/>
                <w:color w:val="000000"/>
                <w:lang w:bidi="hi-IN"/>
              </w:rPr>
              <w:t>5</w:t>
            </w:r>
            <w:r w:rsidRPr="009A5AE7">
              <w:rPr>
                <w:rFonts w:eastAsia="Times New Roman" w:cstheme="minorHAnsi"/>
                <w:color w:val="000000"/>
                <w:lang w:bidi="hi-IN"/>
              </w:rPr>
              <w:t>075</w:t>
            </w:r>
          </w:p>
        </w:tc>
        <w:tc>
          <w:tcPr>
            <w:tcW w:w="1074" w:type="dxa"/>
            <w:shd w:val="clear" w:color="auto" w:fill="auto"/>
            <w:noWrap/>
            <w:vAlign w:val="bottom"/>
            <w:hideMark/>
          </w:tcPr>
          <w:p w:rsidR="009A5AE7" w:rsidRPr="009A5AE7" w:rsidRDefault="009A5AE7" w:rsidP="006F3700">
            <w:pPr>
              <w:spacing w:after="0" w:line="240" w:lineRule="auto"/>
              <w:jc w:val="center"/>
              <w:rPr>
                <w:rFonts w:eastAsia="Times New Roman" w:cstheme="minorHAnsi"/>
                <w:color w:val="000000"/>
                <w:lang w:bidi="hi-IN"/>
              </w:rPr>
            </w:pPr>
            <w:r w:rsidRPr="00731F1B">
              <w:rPr>
                <w:rFonts w:eastAsia="Times New Roman" w:cstheme="minorHAnsi"/>
                <w:color w:val="000000"/>
                <w:lang w:bidi="hi-IN"/>
              </w:rPr>
              <w:t>4936</w:t>
            </w:r>
          </w:p>
        </w:tc>
        <w:tc>
          <w:tcPr>
            <w:tcW w:w="1074" w:type="dxa"/>
            <w:shd w:val="clear" w:color="auto" w:fill="auto"/>
            <w:noWrap/>
            <w:vAlign w:val="bottom"/>
            <w:hideMark/>
          </w:tcPr>
          <w:p w:rsidR="009A5AE7" w:rsidRPr="009A5AE7" w:rsidRDefault="009A5AE7" w:rsidP="006F3700">
            <w:pPr>
              <w:spacing w:after="0" w:line="240" w:lineRule="auto"/>
              <w:jc w:val="center"/>
              <w:rPr>
                <w:rFonts w:eastAsia="Times New Roman" w:cstheme="minorHAnsi"/>
                <w:color w:val="000000"/>
                <w:lang w:bidi="hi-IN"/>
              </w:rPr>
            </w:pPr>
            <w:r w:rsidRPr="00731F1B">
              <w:rPr>
                <w:rFonts w:eastAsia="Times New Roman" w:cstheme="minorHAnsi"/>
                <w:color w:val="000000"/>
                <w:lang w:bidi="hi-IN"/>
              </w:rPr>
              <w:t>6</w:t>
            </w:r>
            <w:r w:rsidRPr="009A5AE7">
              <w:rPr>
                <w:rFonts w:eastAsia="Times New Roman" w:cstheme="minorHAnsi"/>
                <w:color w:val="000000"/>
                <w:lang w:bidi="hi-IN"/>
              </w:rPr>
              <w:t>043</w:t>
            </w:r>
          </w:p>
        </w:tc>
      </w:tr>
      <w:tr w:rsidR="006F3700" w:rsidRPr="00731F1B" w:rsidTr="006F3700">
        <w:trPr>
          <w:trHeight w:val="306"/>
        </w:trPr>
        <w:tc>
          <w:tcPr>
            <w:tcW w:w="1857" w:type="dxa"/>
            <w:shd w:val="clear" w:color="auto" w:fill="auto"/>
            <w:noWrap/>
            <w:vAlign w:val="bottom"/>
            <w:hideMark/>
          </w:tcPr>
          <w:p w:rsidR="009A5AE7" w:rsidRPr="009A5AE7" w:rsidRDefault="009A5AE7" w:rsidP="009A5AE7">
            <w:pPr>
              <w:spacing w:after="0" w:line="240" w:lineRule="auto"/>
              <w:rPr>
                <w:rFonts w:eastAsia="Times New Roman" w:cstheme="minorHAnsi"/>
                <w:color w:val="000000"/>
                <w:lang w:bidi="hi-IN"/>
              </w:rPr>
            </w:pPr>
            <w:r w:rsidRPr="009A5AE7">
              <w:rPr>
                <w:rFonts w:eastAsia="Times New Roman" w:cstheme="minorHAnsi"/>
                <w:color w:val="000000"/>
                <w:lang w:bidi="hi-IN"/>
              </w:rPr>
              <w:t>NULM</w:t>
            </w:r>
          </w:p>
        </w:tc>
        <w:tc>
          <w:tcPr>
            <w:tcW w:w="1074" w:type="dxa"/>
            <w:shd w:val="clear" w:color="auto" w:fill="auto"/>
            <w:noWrap/>
            <w:vAlign w:val="bottom"/>
            <w:hideMark/>
          </w:tcPr>
          <w:p w:rsidR="009A5AE7" w:rsidRPr="009A5AE7" w:rsidRDefault="009A5AE7" w:rsidP="006F3700">
            <w:pPr>
              <w:spacing w:after="0" w:line="240" w:lineRule="auto"/>
              <w:jc w:val="center"/>
              <w:rPr>
                <w:rFonts w:eastAsia="Times New Roman" w:cstheme="minorHAnsi"/>
                <w:color w:val="000000"/>
                <w:lang w:bidi="hi-IN"/>
              </w:rPr>
            </w:pPr>
            <w:r w:rsidRPr="00731F1B">
              <w:rPr>
                <w:rFonts w:eastAsia="Times New Roman" w:cstheme="minorHAnsi"/>
                <w:color w:val="000000"/>
                <w:lang w:bidi="hi-IN"/>
              </w:rPr>
              <w:t>794</w:t>
            </w:r>
          </w:p>
        </w:tc>
        <w:tc>
          <w:tcPr>
            <w:tcW w:w="1074" w:type="dxa"/>
            <w:shd w:val="clear" w:color="auto" w:fill="auto"/>
            <w:noWrap/>
            <w:vAlign w:val="bottom"/>
            <w:hideMark/>
          </w:tcPr>
          <w:p w:rsidR="009A5AE7" w:rsidRPr="009A5AE7" w:rsidRDefault="009A5AE7" w:rsidP="006F3700">
            <w:pPr>
              <w:spacing w:after="0" w:line="240" w:lineRule="auto"/>
              <w:jc w:val="center"/>
              <w:rPr>
                <w:rFonts w:eastAsia="Times New Roman" w:cstheme="minorHAnsi"/>
                <w:color w:val="000000"/>
                <w:lang w:bidi="hi-IN"/>
              </w:rPr>
            </w:pPr>
            <w:r w:rsidRPr="009A5AE7">
              <w:rPr>
                <w:rFonts w:eastAsia="Times New Roman" w:cstheme="minorHAnsi"/>
                <w:color w:val="000000"/>
                <w:lang w:bidi="hi-IN"/>
              </w:rPr>
              <w:t>725</w:t>
            </w:r>
          </w:p>
        </w:tc>
        <w:tc>
          <w:tcPr>
            <w:tcW w:w="1074" w:type="dxa"/>
            <w:shd w:val="clear" w:color="auto" w:fill="auto"/>
            <w:noWrap/>
            <w:vAlign w:val="bottom"/>
            <w:hideMark/>
          </w:tcPr>
          <w:p w:rsidR="009A5AE7" w:rsidRPr="009A5AE7" w:rsidRDefault="009A5AE7" w:rsidP="006F3700">
            <w:pPr>
              <w:spacing w:after="0" w:line="240" w:lineRule="auto"/>
              <w:jc w:val="center"/>
              <w:rPr>
                <w:rFonts w:eastAsia="Times New Roman" w:cstheme="minorHAnsi"/>
                <w:color w:val="000000"/>
                <w:lang w:bidi="hi-IN"/>
              </w:rPr>
            </w:pPr>
            <w:r w:rsidRPr="009A5AE7">
              <w:rPr>
                <w:rFonts w:eastAsia="Times New Roman" w:cstheme="minorHAnsi"/>
                <w:color w:val="000000"/>
                <w:lang w:bidi="hi-IN"/>
              </w:rPr>
              <w:t>703</w:t>
            </w:r>
          </w:p>
        </w:tc>
        <w:tc>
          <w:tcPr>
            <w:tcW w:w="1074" w:type="dxa"/>
            <w:shd w:val="clear" w:color="auto" w:fill="auto"/>
            <w:noWrap/>
            <w:vAlign w:val="bottom"/>
            <w:hideMark/>
          </w:tcPr>
          <w:p w:rsidR="009A5AE7" w:rsidRPr="009A5AE7" w:rsidRDefault="009A5AE7" w:rsidP="006F3700">
            <w:pPr>
              <w:spacing w:after="0" w:line="240" w:lineRule="auto"/>
              <w:jc w:val="center"/>
              <w:rPr>
                <w:rFonts w:eastAsia="Times New Roman" w:cstheme="minorHAnsi"/>
                <w:color w:val="000000"/>
                <w:lang w:bidi="hi-IN"/>
              </w:rPr>
            </w:pPr>
            <w:r w:rsidRPr="00731F1B">
              <w:rPr>
                <w:rFonts w:eastAsia="Times New Roman" w:cstheme="minorHAnsi"/>
                <w:color w:val="000000"/>
                <w:lang w:bidi="hi-IN"/>
              </w:rPr>
              <w:t>269</w:t>
            </w:r>
          </w:p>
        </w:tc>
        <w:tc>
          <w:tcPr>
            <w:tcW w:w="1074" w:type="dxa"/>
            <w:shd w:val="clear" w:color="auto" w:fill="auto"/>
            <w:noWrap/>
            <w:vAlign w:val="bottom"/>
            <w:hideMark/>
          </w:tcPr>
          <w:p w:rsidR="009A5AE7" w:rsidRPr="009A5AE7" w:rsidRDefault="009A5AE7" w:rsidP="006F3700">
            <w:pPr>
              <w:spacing w:after="0" w:line="240" w:lineRule="auto"/>
              <w:jc w:val="center"/>
              <w:rPr>
                <w:rFonts w:eastAsia="Times New Roman" w:cstheme="minorHAnsi"/>
                <w:color w:val="000000"/>
                <w:lang w:bidi="hi-IN"/>
              </w:rPr>
            </w:pPr>
            <w:r w:rsidRPr="009A5AE7">
              <w:rPr>
                <w:rFonts w:eastAsia="Times New Roman" w:cstheme="minorHAnsi"/>
                <w:color w:val="000000"/>
                <w:lang w:bidi="hi-IN"/>
              </w:rPr>
              <w:t>325</w:t>
            </w:r>
          </w:p>
        </w:tc>
        <w:tc>
          <w:tcPr>
            <w:tcW w:w="1074" w:type="dxa"/>
            <w:shd w:val="clear" w:color="auto" w:fill="auto"/>
            <w:noWrap/>
            <w:vAlign w:val="bottom"/>
            <w:hideMark/>
          </w:tcPr>
          <w:p w:rsidR="009A5AE7" w:rsidRPr="009A5AE7" w:rsidRDefault="009A5AE7" w:rsidP="006F3700">
            <w:pPr>
              <w:spacing w:after="0" w:line="240" w:lineRule="auto"/>
              <w:jc w:val="center"/>
              <w:rPr>
                <w:rFonts w:eastAsia="Times New Roman" w:cstheme="minorHAnsi"/>
                <w:color w:val="000000"/>
                <w:lang w:bidi="hi-IN"/>
              </w:rPr>
            </w:pPr>
            <w:r w:rsidRPr="009A5AE7">
              <w:rPr>
                <w:rFonts w:eastAsia="Times New Roman" w:cstheme="minorHAnsi"/>
                <w:color w:val="000000"/>
                <w:lang w:bidi="hi-IN"/>
              </w:rPr>
              <w:t>334</w:t>
            </w:r>
          </w:p>
        </w:tc>
        <w:tc>
          <w:tcPr>
            <w:tcW w:w="1074" w:type="dxa"/>
            <w:shd w:val="clear" w:color="auto" w:fill="auto"/>
            <w:noWrap/>
            <w:vAlign w:val="bottom"/>
            <w:hideMark/>
          </w:tcPr>
          <w:p w:rsidR="009A5AE7" w:rsidRPr="009A5AE7" w:rsidRDefault="009A5AE7" w:rsidP="006F3700">
            <w:pPr>
              <w:spacing w:after="0" w:line="240" w:lineRule="auto"/>
              <w:jc w:val="center"/>
              <w:rPr>
                <w:rFonts w:eastAsia="Times New Roman" w:cstheme="minorHAnsi"/>
                <w:color w:val="000000"/>
                <w:lang w:bidi="hi-IN"/>
              </w:rPr>
            </w:pPr>
            <w:r w:rsidRPr="009A5AE7">
              <w:rPr>
                <w:rFonts w:eastAsia="Times New Roman" w:cstheme="minorHAnsi"/>
                <w:color w:val="000000"/>
                <w:lang w:bidi="hi-IN"/>
              </w:rPr>
              <w:t>349</w:t>
            </w:r>
          </w:p>
        </w:tc>
      </w:tr>
    </w:tbl>
    <w:p w:rsidR="00731F1B" w:rsidRPr="00731F1B" w:rsidRDefault="009A5AE7" w:rsidP="00731F1B">
      <w:pPr>
        <w:spacing w:before="23" w:after="0"/>
        <w:ind w:right="-20"/>
        <w:jc w:val="both"/>
        <w:rPr>
          <w:rFonts w:cstheme="minorHAnsi"/>
        </w:rPr>
      </w:pPr>
      <w:r w:rsidRPr="00FD225C">
        <w:rPr>
          <w:rFonts w:cstheme="minorHAnsi"/>
          <w:i/>
        </w:rPr>
        <w:t>Note:</w:t>
      </w:r>
      <w:r w:rsidRPr="00731F1B">
        <w:rPr>
          <w:rFonts w:cstheme="minorHAnsi"/>
        </w:rPr>
        <w:t xml:space="preserve"> *Expenditure for 2012-13 and 2013-14 is for BSUP &amp; IHSDP under JNNURM and RAY</w:t>
      </w:r>
      <w:r w:rsidR="00731F1B" w:rsidRPr="00731F1B">
        <w:rPr>
          <w:rFonts w:cstheme="minorHAnsi"/>
        </w:rPr>
        <w:t xml:space="preserve">; </w:t>
      </w:r>
      <w:r w:rsidR="00731F1B" w:rsidRPr="00731F1B">
        <w:rPr>
          <w:rFonts w:cstheme="minorHAnsi"/>
          <w:i/>
          <w:iCs/>
        </w:rPr>
        <w:t>Source:</w:t>
      </w:r>
      <w:r w:rsidR="00731F1B" w:rsidRPr="00731F1B">
        <w:rPr>
          <w:rFonts w:cstheme="minorHAnsi"/>
        </w:rPr>
        <w:t xml:space="preserve"> Compiled by CBGA from Union Budget, various years</w:t>
      </w:r>
    </w:p>
    <w:p w:rsidR="00A12C01" w:rsidRPr="00731F1B" w:rsidRDefault="00EF0A76" w:rsidP="00B74B7F">
      <w:pPr>
        <w:jc w:val="both"/>
        <w:rPr>
          <w:rFonts w:cstheme="minorHAnsi"/>
        </w:rPr>
      </w:pPr>
      <w:r>
        <w:rPr>
          <w:rFonts w:eastAsia="Times New Roman" w:cstheme="minorHAnsi"/>
          <w:color w:val="000000"/>
        </w:rPr>
        <w:br/>
      </w:r>
      <w:r w:rsidR="000E2AB3" w:rsidRPr="00731F1B">
        <w:rPr>
          <w:rFonts w:eastAsia="Times New Roman" w:cstheme="minorHAnsi"/>
          <w:color w:val="000000"/>
        </w:rPr>
        <w:t>Besides housing, the other component in urban development is infrastruct</w:t>
      </w:r>
      <w:r w:rsidR="00E82CED">
        <w:rPr>
          <w:rFonts w:eastAsia="Times New Roman" w:cstheme="minorHAnsi"/>
          <w:color w:val="000000"/>
        </w:rPr>
        <w:t xml:space="preserve">ure which comes under the </w:t>
      </w:r>
      <w:proofErr w:type="spellStart"/>
      <w:r w:rsidR="00E82CED">
        <w:rPr>
          <w:rFonts w:eastAsia="Times New Roman" w:cstheme="minorHAnsi"/>
          <w:color w:val="000000"/>
        </w:rPr>
        <w:t>MoUD</w:t>
      </w:r>
      <w:proofErr w:type="spellEnd"/>
      <w:r w:rsidR="000E2AB3" w:rsidRPr="00731F1B">
        <w:rPr>
          <w:rFonts w:eastAsia="Times New Roman" w:cstheme="minorHAnsi"/>
          <w:color w:val="000000"/>
        </w:rPr>
        <w:t>. There is a continuous growth in the expenditure/allocation for urban development over the 12</w:t>
      </w:r>
      <w:r w:rsidR="000E2AB3" w:rsidRPr="00731F1B">
        <w:rPr>
          <w:rFonts w:eastAsia="Times New Roman" w:cstheme="minorHAnsi"/>
          <w:color w:val="000000"/>
          <w:vertAlign w:val="superscript"/>
        </w:rPr>
        <w:t>th</w:t>
      </w:r>
      <w:r w:rsidR="000E2AB3" w:rsidRPr="00731F1B">
        <w:rPr>
          <w:rFonts w:eastAsia="Times New Roman" w:cstheme="minorHAnsi"/>
          <w:color w:val="000000"/>
        </w:rPr>
        <w:t xml:space="preserve"> </w:t>
      </w:r>
      <w:r w:rsidR="00B74B7F" w:rsidRPr="00731F1B">
        <w:rPr>
          <w:rFonts w:eastAsia="Times New Roman" w:cstheme="minorHAnsi"/>
          <w:color w:val="000000"/>
        </w:rPr>
        <w:t>Five Year Plan period (Figure 17.2).</w:t>
      </w:r>
      <w:r w:rsidR="00FD225C">
        <w:rPr>
          <w:rFonts w:eastAsia="Times New Roman" w:cstheme="minorHAnsi"/>
          <w:color w:val="000000"/>
        </w:rPr>
        <w:t xml:space="preserve"> </w:t>
      </w:r>
      <w:r w:rsidR="00D92B0D">
        <w:rPr>
          <w:rFonts w:eastAsia="Times New Roman" w:cstheme="minorHAnsi"/>
          <w:color w:val="000000"/>
        </w:rPr>
        <w:t>T</w:t>
      </w:r>
      <w:r w:rsidR="00B74B7F" w:rsidRPr="00731F1B">
        <w:rPr>
          <w:rFonts w:eastAsia="Times New Roman" w:cstheme="minorHAnsi"/>
          <w:color w:val="000000"/>
        </w:rPr>
        <w:t xml:space="preserve">he recent increase can be attributed to the metro rail projects which account for </w:t>
      </w:r>
      <w:r w:rsidR="00890C8F">
        <w:rPr>
          <w:rFonts w:eastAsia="Times New Roman" w:cstheme="minorHAnsi"/>
          <w:color w:val="000000"/>
        </w:rPr>
        <w:t xml:space="preserve">more than </w:t>
      </w:r>
      <w:r w:rsidR="00B74B7F" w:rsidRPr="00731F1B">
        <w:rPr>
          <w:rFonts w:eastAsia="Times New Roman" w:cstheme="minorHAnsi"/>
          <w:color w:val="000000"/>
        </w:rPr>
        <w:t xml:space="preserve">50 percent of the total budget of the Ministry. </w:t>
      </w:r>
      <w:r w:rsidR="00A12C01" w:rsidRPr="00731F1B">
        <w:rPr>
          <w:rFonts w:eastAsia="Times New Roman" w:cstheme="minorHAnsi"/>
          <w:color w:val="000000"/>
        </w:rPr>
        <w:t xml:space="preserve"> </w:t>
      </w:r>
    </w:p>
    <w:p w:rsidR="000E2AB3" w:rsidRPr="00FD225C" w:rsidRDefault="000E2AB3" w:rsidP="00FD225C">
      <w:pPr>
        <w:spacing w:after="0"/>
        <w:ind w:right="-20"/>
        <w:jc w:val="center"/>
        <w:rPr>
          <w:rFonts w:eastAsia="Calibri" w:cstheme="minorHAnsi"/>
          <w:b/>
        </w:rPr>
      </w:pPr>
      <w:r w:rsidRPr="00FD225C">
        <w:rPr>
          <w:rFonts w:eastAsia="Calibri" w:cstheme="minorHAnsi"/>
          <w:b/>
        </w:rPr>
        <w:t>Figu</w:t>
      </w:r>
      <w:r w:rsidRPr="00FD225C">
        <w:rPr>
          <w:rFonts w:eastAsia="Calibri" w:cstheme="minorHAnsi"/>
          <w:b/>
          <w:spacing w:val="-3"/>
        </w:rPr>
        <w:t>r</w:t>
      </w:r>
      <w:r w:rsidRPr="00FD225C">
        <w:rPr>
          <w:rFonts w:eastAsia="Calibri" w:cstheme="minorHAnsi"/>
          <w:b/>
        </w:rPr>
        <w:t>e 17.2: Total Expenditure/Bud</w:t>
      </w:r>
      <w:r w:rsidRPr="00FD225C">
        <w:rPr>
          <w:rFonts w:eastAsia="Calibri" w:cstheme="minorHAnsi"/>
          <w:b/>
          <w:spacing w:val="-3"/>
        </w:rPr>
        <w:t>g</w:t>
      </w:r>
      <w:r w:rsidRPr="00FD225C">
        <w:rPr>
          <w:rFonts w:eastAsia="Calibri" w:cstheme="minorHAnsi"/>
          <w:b/>
          <w:spacing w:val="-1"/>
        </w:rPr>
        <w:t>e</w:t>
      </w:r>
      <w:r w:rsidRPr="00FD225C">
        <w:rPr>
          <w:rFonts w:eastAsia="Calibri" w:cstheme="minorHAnsi"/>
          <w:b/>
        </w:rPr>
        <w:t>t Outl</w:t>
      </w:r>
      <w:r w:rsidRPr="00FD225C">
        <w:rPr>
          <w:rFonts w:eastAsia="Calibri" w:cstheme="minorHAnsi"/>
          <w:b/>
          <w:spacing w:val="-4"/>
        </w:rPr>
        <w:t>a</w:t>
      </w:r>
      <w:r w:rsidRPr="00FD225C">
        <w:rPr>
          <w:rFonts w:eastAsia="Calibri" w:cstheme="minorHAnsi"/>
          <w:b/>
        </w:rPr>
        <w:t xml:space="preserve">y </w:t>
      </w:r>
      <w:r w:rsidRPr="00FD225C">
        <w:rPr>
          <w:rFonts w:eastAsia="Calibri" w:cstheme="minorHAnsi"/>
          <w:b/>
          <w:spacing w:val="-3"/>
        </w:rPr>
        <w:t>f</w:t>
      </w:r>
      <w:r w:rsidRPr="00FD225C">
        <w:rPr>
          <w:rFonts w:eastAsia="Calibri" w:cstheme="minorHAnsi"/>
          <w:b/>
        </w:rPr>
        <w:t>or the Mini</w:t>
      </w:r>
      <w:r w:rsidRPr="00FD225C">
        <w:rPr>
          <w:rFonts w:eastAsia="Calibri" w:cstheme="minorHAnsi"/>
          <w:b/>
          <w:spacing w:val="-3"/>
        </w:rPr>
        <w:t>s</w:t>
      </w:r>
      <w:r w:rsidRPr="00FD225C">
        <w:rPr>
          <w:rFonts w:eastAsia="Calibri" w:cstheme="minorHAnsi"/>
          <w:b/>
        </w:rPr>
        <w:t>t</w:t>
      </w:r>
      <w:r w:rsidRPr="00FD225C">
        <w:rPr>
          <w:rFonts w:eastAsia="Calibri" w:cstheme="minorHAnsi"/>
          <w:b/>
          <w:spacing w:val="1"/>
        </w:rPr>
        <w:t>r</w:t>
      </w:r>
      <w:r w:rsidRPr="00FD225C">
        <w:rPr>
          <w:rFonts w:eastAsia="Calibri" w:cstheme="minorHAnsi"/>
          <w:b/>
        </w:rPr>
        <w:t>y of Urban D</w:t>
      </w:r>
      <w:r w:rsidRPr="00FD225C">
        <w:rPr>
          <w:rFonts w:eastAsia="Calibri" w:cstheme="minorHAnsi"/>
          <w:b/>
          <w:spacing w:val="-1"/>
        </w:rPr>
        <w:t>e</w:t>
      </w:r>
      <w:r w:rsidRPr="00FD225C">
        <w:rPr>
          <w:rFonts w:eastAsia="Calibri" w:cstheme="minorHAnsi"/>
          <w:b/>
          <w:spacing w:val="-2"/>
        </w:rPr>
        <w:t>v</w:t>
      </w:r>
      <w:r w:rsidRPr="00FD225C">
        <w:rPr>
          <w:rFonts w:eastAsia="Calibri" w:cstheme="minorHAnsi"/>
          <w:b/>
        </w:rPr>
        <w:t>elopme</w:t>
      </w:r>
      <w:r w:rsidRPr="00FD225C">
        <w:rPr>
          <w:rFonts w:eastAsia="Calibri" w:cstheme="minorHAnsi"/>
          <w:b/>
          <w:spacing w:val="-2"/>
        </w:rPr>
        <w:t>n</w:t>
      </w:r>
      <w:r w:rsidRPr="00FD225C">
        <w:rPr>
          <w:rFonts w:eastAsia="Calibri" w:cstheme="minorHAnsi"/>
          <w:b/>
        </w:rPr>
        <w:t>t (</w:t>
      </w:r>
      <w:proofErr w:type="spellStart"/>
      <w:r w:rsidRPr="00FD225C">
        <w:rPr>
          <w:rFonts w:eastAsia="Calibri" w:cstheme="minorHAnsi"/>
          <w:b/>
        </w:rPr>
        <w:t>Rs</w:t>
      </w:r>
      <w:proofErr w:type="spellEnd"/>
      <w:r w:rsidRPr="00FD225C">
        <w:rPr>
          <w:rFonts w:eastAsia="Calibri" w:cstheme="minorHAnsi"/>
          <w:b/>
        </w:rPr>
        <w:t>. c</w:t>
      </w:r>
      <w:r w:rsidRPr="00FD225C">
        <w:rPr>
          <w:rFonts w:eastAsia="Calibri" w:cstheme="minorHAnsi"/>
          <w:b/>
          <w:spacing w:val="-3"/>
        </w:rPr>
        <w:t>r</w:t>
      </w:r>
      <w:r w:rsidRPr="00FD225C">
        <w:rPr>
          <w:rFonts w:eastAsia="Calibri" w:cstheme="minorHAnsi"/>
          <w:b/>
        </w:rPr>
        <w:t>o</w:t>
      </w:r>
      <w:r w:rsidRPr="00FD225C">
        <w:rPr>
          <w:rFonts w:eastAsia="Calibri" w:cstheme="minorHAnsi"/>
          <w:b/>
          <w:spacing w:val="-2"/>
        </w:rPr>
        <w:t>r</w:t>
      </w:r>
      <w:r w:rsidRPr="00FD225C">
        <w:rPr>
          <w:rFonts w:eastAsia="Calibri" w:cstheme="minorHAnsi"/>
          <w:b/>
        </w:rPr>
        <w:t>e)</w:t>
      </w:r>
    </w:p>
    <w:p w:rsidR="000E2AB3" w:rsidRPr="00246CDA" w:rsidRDefault="000E2AB3" w:rsidP="000E2AB3">
      <w:pPr>
        <w:tabs>
          <w:tab w:val="left" w:pos="820"/>
        </w:tabs>
        <w:spacing w:after="0"/>
        <w:ind w:right="-20"/>
        <w:jc w:val="both"/>
        <w:rPr>
          <w:rFonts w:ascii="Calibri" w:eastAsia="Calibri" w:hAnsi="Calibri" w:cs="Calibri"/>
        </w:rPr>
      </w:pPr>
    </w:p>
    <w:p w:rsidR="000E2AB3" w:rsidRPr="00521A87" w:rsidRDefault="000E2AB3" w:rsidP="000E2AB3">
      <w:pPr>
        <w:pStyle w:val="ListParagraph"/>
        <w:tabs>
          <w:tab w:val="left" w:pos="820"/>
        </w:tabs>
        <w:spacing w:after="0"/>
        <w:ind w:left="0" w:right="-20"/>
        <w:jc w:val="both"/>
        <w:rPr>
          <w:rFonts w:ascii="Calibri" w:eastAsia="Calibri" w:hAnsi="Calibri" w:cs="Calibri"/>
        </w:rPr>
      </w:pPr>
      <w:r w:rsidRPr="00521A87">
        <w:rPr>
          <w:rFonts w:ascii="Calibri" w:hAnsi="Calibri"/>
          <w:noProof/>
          <w:lang w:val="en-IN" w:eastAsia="en-IN" w:bidi="ar-SA"/>
        </w:rPr>
        <w:drawing>
          <wp:inline distT="0" distB="0" distL="0" distR="0" wp14:anchorId="65CADFB4" wp14:editId="32F4DC26">
            <wp:extent cx="5955527" cy="1606163"/>
            <wp:effectExtent l="0" t="0" r="2667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31F1B" w:rsidRPr="00731F1B" w:rsidRDefault="00731F1B" w:rsidP="00731F1B">
      <w:pPr>
        <w:spacing w:before="23" w:after="0"/>
        <w:ind w:right="-20"/>
        <w:jc w:val="both"/>
        <w:rPr>
          <w:rFonts w:ascii="Calibri" w:hAnsi="Calibri" w:cs="Calibri"/>
        </w:rPr>
      </w:pPr>
      <w:r w:rsidRPr="00731F1B">
        <w:rPr>
          <w:rFonts w:ascii="Calibri" w:hAnsi="Calibri" w:cs="Calibri"/>
          <w:i/>
          <w:iCs/>
        </w:rPr>
        <w:t>Source:</w:t>
      </w:r>
      <w:r w:rsidRPr="00731F1B">
        <w:rPr>
          <w:rFonts w:ascii="Calibri" w:hAnsi="Calibri" w:cs="Calibri"/>
        </w:rPr>
        <w:t xml:space="preserve"> Compiled by CBGA from Union Budget, various years</w:t>
      </w:r>
    </w:p>
    <w:p w:rsidR="00731F1B" w:rsidRPr="00731F1B" w:rsidRDefault="00731F1B" w:rsidP="00731F1B">
      <w:pPr>
        <w:spacing w:before="23" w:after="0"/>
        <w:ind w:right="-20"/>
        <w:jc w:val="both"/>
        <w:rPr>
          <w:rFonts w:ascii="Calibri" w:hAnsi="Calibri" w:cs="Calibri"/>
        </w:rPr>
      </w:pPr>
    </w:p>
    <w:p w:rsidR="00B506A9" w:rsidRPr="00731F1B" w:rsidRDefault="00B506A9" w:rsidP="000E2AB3">
      <w:pPr>
        <w:jc w:val="both"/>
        <w:rPr>
          <w:rFonts w:ascii="Calibri" w:hAnsi="Calibri" w:cs="Calibri"/>
        </w:rPr>
      </w:pPr>
      <w:r w:rsidRPr="00731F1B">
        <w:rPr>
          <w:rFonts w:ascii="Calibri" w:hAnsi="Calibri" w:cs="Calibri"/>
        </w:rPr>
        <w:t xml:space="preserve">The initial push for Smart Cities Mission seems to have taken a back seat as there is no visible physical or financial progress in this scheme. The allocation for this mission has been slightly increased from </w:t>
      </w:r>
      <w:proofErr w:type="spellStart"/>
      <w:r w:rsidRPr="00731F1B">
        <w:rPr>
          <w:rFonts w:ascii="Calibri" w:hAnsi="Calibri" w:cs="Calibri"/>
        </w:rPr>
        <w:t>Rs</w:t>
      </w:r>
      <w:proofErr w:type="spellEnd"/>
      <w:r w:rsidRPr="00731F1B">
        <w:rPr>
          <w:rFonts w:ascii="Calibri" w:hAnsi="Calibri" w:cs="Calibri"/>
        </w:rPr>
        <w:t>. 3</w:t>
      </w:r>
      <w:r w:rsidR="00FD225C">
        <w:rPr>
          <w:rFonts w:ascii="Calibri" w:hAnsi="Calibri" w:cs="Calibri"/>
        </w:rPr>
        <w:t>,</w:t>
      </w:r>
      <w:r w:rsidRPr="00731F1B">
        <w:rPr>
          <w:rFonts w:ascii="Calibri" w:hAnsi="Calibri" w:cs="Calibri"/>
        </w:rPr>
        <w:t xml:space="preserve">216 crore in 2016-17 (BE) to </w:t>
      </w:r>
      <w:proofErr w:type="spellStart"/>
      <w:r w:rsidRPr="00731F1B">
        <w:rPr>
          <w:rFonts w:ascii="Calibri" w:hAnsi="Calibri" w:cs="Calibri"/>
        </w:rPr>
        <w:t>Rs</w:t>
      </w:r>
      <w:proofErr w:type="spellEnd"/>
      <w:r w:rsidRPr="00731F1B">
        <w:rPr>
          <w:rFonts w:ascii="Calibri" w:hAnsi="Calibri" w:cs="Calibri"/>
        </w:rPr>
        <w:t>. 4</w:t>
      </w:r>
      <w:r w:rsidR="00FD225C">
        <w:rPr>
          <w:rFonts w:ascii="Calibri" w:hAnsi="Calibri" w:cs="Calibri"/>
        </w:rPr>
        <w:t>,</w:t>
      </w:r>
      <w:r w:rsidRPr="00731F1B">
        <w:rPr>
          <w:rFonts w:ascii="Calibri" w:hAnsi="Calibri" w:cs="Calibri"/>
        </w:rPr>
        <w:t>000 crore in 2017-18 (BE). However, this is a decline if compare</w:t>
      </w:r>
      <w:r w:rsidR="00FD225C">
        <w:rPr>
          <w:rFonts w:ascii="Calibri" w:hAnsi="Calibri" w:cs="Calibri"/>
        </w:rPr>
        <w:t>d</w:t>
      </w:r>
      <w:r w:rsidRPr="00731F1B">
        <w:rPr>
          <w:rFonts w:ascii="Calibri" w:hAnsi="Calibri" w:cs="Calibri"/>
        </w:rPr>
        <w:t xml:space="preserve"> with the revised estimates of 2016-17.</w:t>
      </w:r>
      <w:r w:rsidR="005E10D0" w:rsidRPr="00731F1B">
        <w:rPr>
          <w:rFonts w:ascii="Calibri" w:hAnsi="Calibri" w:cs="Calibri"/>
        </w:rPr>
        <w:t xml:space="preserve"> </w:t>
      </w:r>
      <w:r w:rsidR="005E10D0" w:rsidRPr="00B74B7F">
        <w:rPr>
          <w:rFonts w:ascii="Calibri" w:eastAsia="Times New Roman" w:hAnsi="Calibri" w:cs="Calibri"/>
          <w:color w:val="000000"/>
          <w:lang w:bidi="hi-IN"/>
        </w:rPr>
        <w:t>Atal Mission for Rejuvenation for Urban Transformation (AMRUT)</w:t>
      </w:r>
      <w:r w:rsidR="005E10D0" w:rsidRPr="00731F1B">
        <w:rPr>
          <w:rFonts w:ascii="Calibri" w:eastAsia="Times New Roman" w:hAnsi="Calibri" w:cs="Calibri"/>
          <w:color w:val="000000"/>
          <w:lang w:bidi="hi-IN"/>
        </w:rPr>
        <w:t xml:space="preserve"> has also seen only marginal increase in allocation. The allocation for </w:t>
      </w:r>
      <w:r w:rsidR="005E10D0" w:rsidRPr="00B74B7F">
        <w:rPr>
          <w:rFonts w:ascii="Calibri" w:eastAsia="Times New Roman" w:hAnsi="Calibri" w:cs="Calibri"/>
          <w:color w:val="000000"/>
          <w:lang w:bidi="hi-IN"/>
        </w:rPr>
        <w:t xml:space="preserve">National Heritage City Development and </w:t>
      </w:r>
      <w:r w:rsidR="005E10D0" w:rsidRPr="00731F1B">
        <w:rPr>
          <w:rFonts w:ascii="Calibri" w:eastAsia="Times New Roman" w:hAnsi="Calibri" w:cs="Calibri"/>
          <w:color w:val="000000"/>
          <w:lang w:bidi="hi-IN"/>
        </w:rPr>
        <w:t>Augmentation</w:t>
      </w:r>
      <w:r w:rsidR="005E10D0" w:rsidRPr="00B74B7F">
        <w:rPr>
          <w:rFonts w:ascii="Calibri" w:eastAsia="Times New Roman" w:hAnsi="Calibri" w:cs="Calibri"/>
          <w:color w:val="000000"/>
          <w:lang w:bidi="hi-IN"/>
        </w:rPr>
        <w:t xml:space="preserve"> </w:t>
      </w:r>
      <w:proofErr w:type="spellStart"/>
      <w:r w:rsidR="005E10D0" w:rsidRPr="00B74B7F">
        <w:rPr>
          <w:rFonts w:ascii="Calibri" w:eastAsia="Times New Roman" w:hAnsi="Calibri" w:cs="Calibri"/>
          <w:color w:val="000000"/>
          <w:lang w:bidi="hi-IN"/>
        </w:rPr>
        <w:t>Yojana</w:t>
      </w:r>
      <w:proofErr w:type="spellEnd"/>
      <w:r w:rsidR="005E10D0" w:rsidRPr="00B74B7F">
        <w:rPr>
          <w:rFonts w:ascii="Calibri" w:eastAsia="Times New Roman" w:hAnsi="Calibri" w:cs="Calibri"/>
          <w:color w:val="000000"/>
          <w:lang w:bidi="hi-IN"/>
        </w:rPr>
        <w:t xml:space="preserve"> (HRIDAY)</w:t>
      </w:r>
      <w:r w:rsidR="005E10D0" w:rsidRPr="00731F1B">
        <w:rPr>
          <w:rFonts w:ascii="Calibri" w:eastAsia="Times New Roman" w:hAnsi="Calibri" w:cs="Calibri"/>
          <w:color w:val="000000"/>
          <w:lang w:bidi="hi-IN"/>
        </w:rPr>
        <w:t xml:space="preserve"> has declined from </w:t>
      </w:r>
      <w:proofErr w:type="spellStart"/>
      <w:r w:rsidR="005E10D0" w:rsidRPr="00731F1B">
        <w:rPr>
          <w:rFonts w:ascii="Calibri" w:eastAsia="Times New Roman" w:hAnsi="Calibri" w:cs="Calibri"/>
          <w:color w:val="000000"/>
          <w:lang w:bidi="hi-IN"/>
        </w:rPr>
        <w:t>Rs</w:t>
      </w:r>
      <w:proofErr w:type="spellEnd"/>
      <w:r w:rsidR="005E10D0" w:rsidRPr="00731F1B">
        <w:rPr>
          <w:rFonts w:ascii="Calibri" w:eastAsia="Times New Roman" w:hAnsi="Calibri" w:cs="Calibri"/>
          <w:color w:val="000000"/>
          <w:lang w:bidi="hi-IN"/>
        </w:rPr>
        <w:t xml:space="preserve">. 200 crore in 2016-17 (BE) to </w:t>
      </w:r>
      <w:proofErr w:type="spellStart"/>
      <w:r w:rsidR="005E10D0" w:rsidRPr="00731F1B">
        <w:rPr>
          <w:rFonts w:ascii="Calibri" w:eastAsia="Times New Roman" w:hAnsi="Calibri" w:cs="Calibri"/>
          <w:color w:val="000000"/>
          <w:lang w:bidi="hi-IN"/>
        </w:rPr>
        <w:t>Rs</w:t>
      </w:r>
      <w:proofErr w:type="spellEnd"/>
      <w:r w:rsidR="005E10D0" w:rsidRPr="00731F1B">
        <w:rPr>
          <w:rFonts w:ascii="Calibri" w:eastAsia="Times New Roman" w:hAnsi="Calibri" w:cs="Calibri"/>
          <w:color w:val="000000"/>
          <w:lang w:bidi="hi-IN"/>
        </w:rPr>
        <w:t>. 150 crore in 2017</w:t>
      </w:r>
      <w:r w:rsidR="00591524">
        <w:rPr>
          <w:rFonts w:ascii="Calibri" w:eastAsia="Times New Roman" w:hAnsi="Calibri" w:cs="Calibri"/>
          <w:color w:val="000000"/>
          <w:lang w:bidi="hi-IN"/>
        </w:rPr>
        <w:t>- 18</w:t>
      </w:r>
      <w:r w:rsidR="00C053F8">
        <w:rPr>
          <w:rFonts w:ascii="Calibri" w:eastAsia="Times New Roman" w:hAnsi="Calibri" w:cs="Calibri"/>
          <w:color w:val="000000"/>
          <w:lang w:bidi="hi-IN"/>
        </w:rPr>
        <w:t>.</w:t>
      </w:r>
      <w:r w:rsidR="00FD225C">
        <w:rPr>
          <w:rFonts w:ascii="Calibri" w:eastAsia="Times New Roman" w:hAnsi="Calibri" w:cs="Calibri"/>
          <w:color w:val="000000"/>
          <w:lang w:bidi="hi-IN"/>
        </w:rPr>
        <w:t xml:space="preserve"> </w:t>
      </w:r>
      <w:r w:rsidR="00C053F8">
        <w:rPr>
          <w:rFonts w:ascii="Calibri" w:eastAsia="Times New Roman" w:hAnsi="Calibri" w:cs="Calibri"/>
          <w:color w:val="000000"/>
          <w:lang w:bidi="hi-IN"/>
        </w:rPr>
        <w:t xml:space="preserve">It is noteworthy that </w:t>
      </w:r>
      <w:r w:rsidR="005E10D0" w:rsidRPr="00731F1B">
        <w:rPr>
          <w:rFonts w:ascii="Calibri" w:eastAsia="Times New Roman" w:hAnsi="Calibri" w:cs="Calibri"/>
          <w:color w:val="000000"/>
          <w:lang w:bidi="hi-IN"/>
        </w:rPr>
        <w:t>the actual expenditure</w:t>
      </w:r>
      <w:r w:rsidR="00DC7089">
        <w:rPr>
          <w:rFonts w:ascii="Calibri" w:eastAsia="Times New Roman" w:hAnsi="Calibri" w:cs="Calibri"/>
          <w:color w:val="000000"/>
          <w:lang w:bidi="hi-IN"/>
        </w:rPr>
        <w:t xml:space="preserve"> under the scheme</w:t>
      </w:r>
      <w:r w:rsidR="005E10D0" w:rsidRPr="00731F1B">
        <w:rPr>
          <w:rFonts w:ascii="Calibri" w:eastAsia="Times New Roman" w:hAnsi="Calibri" w:cs="Calibri"/>
          <w:color w:val="000000"/>
          <w:lang w:bidi="hi-IN"/>
        </w:rPr>
        <w:t xml:space="preserve"> in the earlier years has been very low (Table 17.3).</w:t>
      </w:r>
    </w:p>
    <w:p w:rsidR="00A12C01" w:rsidRPr="00FD225C" w:rsidRDefault="00B506A9" w:rsidP="00B506A9">
      <w:pPr>
        <w:jc w:val="center"/>
        <w:rPr>
          <w:rFonts w:ascii="Calibri" w:hAnsi="Calibri" w:cs="Calibri"/>
          <w:b/>
        </w:rPr>
      </w:pPr>
      <w:r w:rsidRPr="00FD225C">
        <w:rPr>
          <w:rFonts w:ascii="Calibri" w:hAnsi="Calibri" w:cs="Calibri"/>
          <w:b/>
        </w:rPr>
        <w:t>Table 17.3: Expenditure/</w:t>
      </w:r>
      <w:r w:rsidRPr="00FD225C">
        <w:rPr>
          <w:rFonts w:ascii="Calibri" w:eastAsia="Calibri" w:hAnsi="Calibri" w:cs="Calibri"/>
          <w:b/>
        </w:rPr>
        <w:t>Bud</w:t>
      </w:r>
      <w:r w:rsidRPr="00FD225C">
        <w:rPr>
          <w:rFonts w:ascii="Calibri" w:eastAsia="Calibri" w:hAnsi="Calibri" w:cs="Calibri"/>
          <w:b/>
          <w:spacing w:val="-3"/>
        </w:rPr>
        <w:t>g</w:t>
      </w:r>
      <w:r w:rsidRPr="00FD225C">
        <w:rPr>
          <w:rFonts w:ascii="Calibri" w:eastAsia="Calibri" w:hAnsi="Calibri" w:cs="Calibri"/>
          <w:b/>
          <w:spacing w:val="-1"/>
        </w:rPr>
        <w:t>e</w:t>
      </w:r>
      <w:r w:rsidRPr="00FD225C">
        <w:rPr>
          <w:rFonts w:ascii="Calibri" w:eastAsia="Calibri" w:hAnsi="Calibri" w:cs="Calibri"/>
          <w:b/>
          <w:spacing w:val="-2"/>
        </w:rPr>
        <w:t>t</w:t>
      </w:r>
      <w:r w:rsidRPr="00FD225C">
        <w:rPr>
          <w:rFonts w:ascii="Calibri" w:eastAsia="Calibri" w:hAnsi="Calibri" w:cs="Calibri"/>
          <w:b/>
        </w:rPr>
        <w:t>a</w:t>
      </w:r>
      <w:r w:rsidRPr="00FD225C">
        <w:rPr>
          <w:rFonts w:ascii="Calibri" w:eastAsia="Calibri" w:hAnsi="Calibri" w:cs="Calibri"/>
          <w:b/>
          <w:spacing w:val="1"/>
        </w:rPr>
        <w:t>r</w:t>
      </w:r>
      <w:r w:rsidRPr="00FD225C">
        <w:rPr>
          <w:rFonts w:ascii="Calibri" w:eastAsia="Calibri" w:hAnsi="Calibri" w:cs="Calibri"/>
          <w:b/>
        </w:rPr>
        <w:t>y P</w:t>
      </w:r>
      <w:r w:rsidRPr="00FD225C">
        <w:rPr>
          <w:rFonts w:ascii="Calibri" w:eastAsia="Calibri" w:hAnsi="Calibri" w:cs="Calibri"/>
          <w:b/>
          <w:spacing w:val="-3"/>
        </w:rPr>
        <w:t>r</w:t>
      </w:r>
      <w:r w:rsidRPr="00FD225C">
        <w:rPr>
          <w:rFonts w:ascii="Calibri" w:eastAsia="Calibri" w:hAnsi="Calibri" w:cs="Calibri"/>
          <w:b/>
          <w:spacing w:val="-1"/>
        </w:rPr>
        <w:t>o</w:t>
      </w:r>
      <w:r w:rsidRPr="00FD225C">
        <w:rPr>
          <w:rFonts w:ascii="Calibri" w:eastAsia="Calibri" w:hAnsi="Calibri" w:cs="Calibri"/>
          <w:b/>
        </w:rPr>
        <w:t xml:space="preserve">visions </w:t>
      </w:r>
      <w:r w:rsidRPr="00FD225C">
        <w:rPr>
          <w:rFonts w:ascii="Calibri" w:eastAsia="Calibri" w:hAnsi="Calibri" w:cs="Calibri"/>
          <w:b/>
          <w:spacing w:val="-4"/>
        </w:rPr>
        <w:t>f</w:t>
      </w:r>
      <w:r w:rsidRPr="00FD225C">
        <w:rPr>
          <w:rFonts w:ascii="Calibri" w:eastAsia="Calibri" w:hAnsi="Calibri" w:cs="Calibri"/>
          <w:b/>
        </w:rPr>
        <w:t>or Major Schemes under Ministry of Urban Development (</w:t>
      </w:r>
      <w:proofErr w:type="spellStart"/>
      <w:r w:rsidRPr="00FD225C">
        <w:rPr>
          <w:rFonts w:ascii="Calibri" w:eastAsia="Calibri" w:hAnsi="Calibri" w:cs="Calibri"/>
          <w:b/>
        </w:rPr>
        <w:t>Rs</w:t>
      </w:r>
      <w:proofErr w:type="spellEnd"/>
      <w:r w:rsidRPr="00FD225C">
        <w:rPr>
          <w:rFonts w:ascii="Calibri" w:eastAsia="Calibri" w:hAnsi="Calibri" w:cs="Calibri"/>
          <w:b/>
        </w:rPr>
        <w:t>. crore)</w:t>
      </w:r>
    </w:p>
    <w:tbl>
      <w:tblPr>
        <w:tblW w:w="94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5"/>
        <w:gridCol w:w="900"/>
        <w:gridCol w:w="900"/>
        <w:gridCol w:w="900"/>
        <w:gridCol w:w="900"/>
        <w:gridCol w:w="900"/>
        <w:gridCol w:w="900"/>
        <w:gridCol w:w="900"/>
      </w:tblGrid>
      <w:tr w:rsidR="00B74B7F" w:rsidRPr="00B74B7F" w:rsidTr="00B74B7F">
        <w:trPr>
          <w:trHeight w:val="300"/>
        </w:trPr>
        <w:tc>
          <w:tcPr>
            <w:tcW w:w="3165" w:type="dxa"/>
            <w:shd w:val="clear" w:color="auto" w:fill="auto"/>
            <w:noWrap/>
            <w:vAlign w:val="bottom"/>
            <w:hideMark/>
          </w:tcPr>
          <w:p w:rsidR="00B74B7F" w:rsidRPr="00B74B7F" w:rsidRDefault="00B74B7F" w:rsidP="00B74B7F">
            <w:pPr>
              <w:spacing w:after="0" w:line="240" w:lineRule="auto"/>
              <w:rPr>
                <w:rFonts w:ascii="Calibri" w:eastAsia="Times New Roman" w:hAnsi="Calibri" w:cs="Calibri"/>
                <w:color w:val="000000"/>
                <w:sz w:val="20"/>
                <w:szCs w:val="20"/>
                <w:lang w:bidi="hi-IN"/>
              </w:rPr>
            </w:pPr>
            <w:proofErr w:type="spellStart"/>
            <w:r w:rsidRPr="00B74B7F">
              <w:rPr>
                <w:rFonts w:ascii="Calibri" w:eastAsia="Times New Roman" w:hAnsi="Calibri" w:cs="Calibri"/>
                <w:color w:val="000000"/>
                <w:sz w:val="20"/>
                <w:szCs w:val="20"/>
                <w:lang w:bidi="hi-IN"/>
              </w:rPr>
              <w:t>MoUD</w:t>
            </w:r>
            <w:proofErr w:type="spellEnd"/>
          </w:p>
        </w:tc>
        <w:tc>
          <w:tcPr>
            <w:tcW w:w="900" w:type="dxa"/>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sidRPr="00B74B7F">
              <w:rPr>
                <w:rFonts w:ascii="Calibri" w:eastAsia="Times New Roman" w:hAnsi="Calibri" w:cs="Calibri"/>
                <w:color w:val="000000"/>
                <w:sz w:val="20"/>
                <w:szCs w:val="20"/>
                <w:lang w:bidi="hi-IN"/>
              </w:rPr>
              <w:t>2012-13 (A)</w:t>
            </w:r>
          </w:p>
        </w:tc>
        <w:tc>
          <w:tcPr>
            <w:tcW w:w="900" w:type="dxa"/>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sidRPr="00B74B7F">
              <w:rPr>
                <w:rFonts w:ascii="Calibri" w:eastAsia="Times New Roman" w:hAnsi="Calibri" w:cs="Calibri"/>
                <w:color w:val="000000"/>
                <w:sz w:val="20"/>
                <w:szCs w:val="20"/>
                <w:lang w:bidi="hi-IN"/>
              </w:rPr>
              <w:t>2013-14 (A)</w:t>
            </w:r>
          </w:p>
        </w:tc>
        <w:tc>
          <w:tcPr>
            <w:tcW w:w="900" w:type="dxa"/>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sidRPr="00B74B7F">
              <w:rPr>
                <w:rFonts w:ascii="Calibri" w:eastAsia="Times New Roman" w:hAnsi="Calibri" w:cs="Calibri"/>
                <w:color w:val="000000"/>
                <w:sz w:val="20"/>
                <w:szCs w:val="20"/>
                <w:lang w:bidi="hi-IN"/>
              </w:rPr>
              <w:t>2014-15 (A)</w:t>
            </w:r>
          </w:p>
        </w:tc>
        <w:tc>
          <w:tcPr>
            <w:tcW w:w="900" w:type="dxa"/>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sidRPr="00B74B7F">
              <w:rPr>
                <w:rFonts w:ascii="Calibri" w:eastAsia="Times New Roman" w:hAnsi="Calibri" w:cs="Calibri"/>
                <w:color w:val="000000"/>
                <w:sz w:val="20"/>
                <w:szCs w:val="20"/>
                <w:lang w:bidi="hi-IN"/>
              </w:rPr>
              <w:t>2015-16 (A)</w:t>
            </w:r>
          </w:p>
        </w:tc>
        <w:tc>
          <w:tcPr>
            <w:tcW w:w="900" w:type="dxa"/>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sidRPr="00B74B7F">
              <w:rPr>
                <w:rFonts w:ascii="Calibri" w:eastAsia="Times New Roman" w:hAnsi="Calibri" w:cs="Calibri"/>
                <w:color w:val="000000"/>
                <w:sz w:val="20"/>
                <w:szCs w:val="20"/>
                <w:lang w:bidi="hi-IN"/>
              </w:rPr>
              <w:t>2016-17 (BE)</w:t>
            </w:r>
          </w:p>
        </w:tc>
        <w:tc>
          <w:tcPr>
            <w:tcW w:w="900" w:type="dxa"/>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sidRPr="00B74B7F">
              <w:rPr>
                <w:rFonts w:ascii="Calibri" w:eastAsia="Times New Roman" w:hAnsi="Calibri" w:cs="Calibri"/>
                <w:color w:val="000000"/>
                <w:sz w:val="20"/>
                <w:szCs w:val="20"/>
                <w:lang w:bidi="hi-IN"/>
              </w:rPr>
              <w:t>2016-17 (RE)</w:t>
            </w:r>
          </w:p>
        </w:tc>
        <w:tc>
          <w:tcPr>
            <w:tcW w:w="900" w:type="dxa"/>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sidRPr="00B74B7F">
              <w:rPr>
                <w:rFonts w:ascii="Calibri" w:eastAsia="Times New Roman" w:hAnsi="Calibri" w:cs="Calibri"/>
                <w:color w:val="000000"/>
                <w:sz w:val="20"/>
                <w:szCs w:val="20"/>
                <w:lang w:bidi="hi-IN"/>
              </w:rPr>
              <w:t>2017-18 (BE)</w:t>
            </w:r>
          </w:p>
        </w:tc>
      </w:tr>
      <w:tr w:rsidR="00B74B7F" w:rsidRPr="00B74B7F" w:rsidTr="00B74B7F">
        <w:trPr>
          <w:trHeight w:val="300"/>
        </w:trPr>
        <w:tc>
          <w:tcPr>
            <w:tcW w:w="3165" w:type="dxa"/>
            <w:shd w:val="clear" w:color="auto" w:fill="auto"/>
            <w:noWrap/>
            <w:vAlign w:val="bottom"/>
            <w:hideMark/>
          </w:tcPr>
          <w:p w:rsidR="00B74B7F" w:rsidRPr="00B74B7F" w:rsidRDefault="00B74B7F" w:rsidP="00B74B7F">
            <w:pPr>
              <w:spacing w:after="0" w:line="240" w:lineRule="auto"/>
              <w:rPr>
                <w:rFonts w:ascii="Calibri" w:eastAsia="Times New Roman" w:hAnsi="Calibri" w:cs="Calibri"/>
                <w:color w:val="000000"/>
                <w:sz w:val="20"/>
                <w:szCs w:val="20"/>
                <w:lang w:bidi="hi-IN"/>
              </w:rPr>
            </w:pPr>
            <w:r w:rsidRPr="00B74B7F">
              <w:rPr>
                <w:rFonts w:ascii="Calibri" w:eastAsia="Times New Roman" w:hAnsi="Calibri" w:cs="Calibri"/>
                <w:color w:val="000000"/>
                <w:sz w:val="20"/>
                <w:szCs w:val="20"/>
                <w:lang w:bidi="hi-IN"/>
              </w:rPr>
              <w:t>Mission for development of 100 smart cities</w:t>
            </w:r>
          </w:p>
        </w:tc>
        <w:tc>
          <w:tcPr>
            <w:tcW w:w="900" w:type="dxa"/>
            <w:vMerge w:val="restart"/>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sidRPr="00B74B7F">
              <w:rPr>
                <w:rFonts w:ascii="Calibri" w:eastAsia="Times New Roman" w:hAnsi="Calibri" w:cs="Calibri"/>
                <w:color w:val="000000"/>
                <w:sz w:val="20"/>
                <w:szCs w:val="20"/>
                <w:lang w:bidi="hi-IN"/>
              </w:rPr>
              <w:t>3420</w:t>
            </w:r>
            <w:r w:rsidR="00B506A9">
              <w:rPr>
                <w:rFonts w:ascii="Calibri" w:eastAsia="Times New Roman" w:hAnsi="Calibri" w:cs="Calibri"/>
                <w:color w:val="000000"/>
                <w:sz w:val="20"/>
                <w:szCs w:val="20"/>
                <w:lang w:bidi="hi-IN"/>
              </w:rPr>
              <w:t>*</w:t>
            </w:r>
          </w:p>
        </w:tc>
        <w:tc>
          <w:tcPr>
            <w:tcW w:w="900" w:type="dxa"/>
            <w:vMerge w:val="restart"/>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sidRPr="00B74B7F">
              <w:rPr>
                <w:rFonts w:ascii="Calibri" w:eastAsia="Times New Roman" w:hAnsi="Calibri" w:cs="Calibri"/>
                <w:color w:val="000000"/>
                <w:sz w:val="20"/>
                <w:szCs w:val="20"/>
                <w:lang w:bidi="hi-IN"/>
              </w:rPr>
              <w:t>5303</w:t>
            </w:r>
            <w:r w:rsidR="00B506A9">
              <w:rPr>
                <w:rFonts w:ascii="Calibri" w:eastAsia="Times New Roman" w:hAnsi="Calibri" w:cs="Calibri"/>
                <w:color w:val="000000"/>
                <w:sz w:val="20"/>
                <w:szCs w:val="20"/>
                <w:lang w:bidi="hi-IN"/>
              </w:rPr>
              <w:t>*</w:t>
            </w:r>
          </w:p>
        </w:tc>
        <w:tc>
          <w:tcPr>
            <w:tcW w:w="900" w:type="dxa"/>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Pr>
                <w:rFonts w:ascii="Calibri" w:eastAsia="Times New Roman" w:hAnsi="Calibri" w:cs="Calibri"/>
                <w:color w:val="000000"/>
                <w:sz w:val="20"/>
                <w:szCs w:val="20"/>
                <w:lang w:bidi="hi-IN"/>
              </w:rPr>
              <w:t>1026</w:t>
            </w:r>
          </w:p>
        </w:tc>
        <w:tc>
          <w:tcPr>
            <w:tcW w:w="900" w:type="dxa"/>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Pr>
                <w:rFonts w:ascii="Calibri" w:eastAsia="Times New Roman" w:hAnsi="Calibri" w:cs="Calibri"/>
                <w:color w:val="000000"/>
                <w:sz w:val="20"/>
                <w:szCs w:val="20"/>
                <w:lang w:bidi="hi-IN"/>
              </w:rPr>
              <w:t>1484</w:t>
            </w:r>
          </w:p>
        </w:tc>
        <w:tc>
          <w:tcPr>
            <w:tcW w:w="900" w:type="dxa"/>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Pr>
                <w:rFonts w:ascii="Calibri" w:eastAsia="Times New Roman" w:hAnsi="Calibri" w:cs="Calibri"/>
                <w:color w:val="000000"/>
                <w:sz w:val="20"/>
                <w:szCs w:val="20"/>
                <w:lang w:bidi="hi-IN"/>
              </w:rPr>
              <w:t>3</w:t>
            </w:r>
            <w:r w:rsidRPr="00B74B7F">
              <w:rPr>
                <w:rFonts w:ascii="Calibri" w:eastAsia="Times New Roman" w:hAnsi="Calibri" w:cs="Calibri"/>
                <w:color w:val="000000"/>
                <w:sz w:val="20"/>
                <w:szCs w:val="20"/>
                <w:lang w:bidi="hi-IN"/>
              </w:rPr>
              <w:t>216</w:t>
            </w:r>
          </w:p>
        </w:tc>
        <w:tc>
          <w:tcPr>
            <w:tcW w:w="900" w:type="dxa"/>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sidRPr="00B74B7F">
              <w:rPr>
                <w:rFonts w:ascii="Calibri" w:eastAsia="Times New Roman" w:hAnsi="Calibri" w:cs="Calibri"/>
                <w:color w:val="000000"/>
                <w:sz w:val="20"/>
                <w:szCs w:val="20"/>
                <w:lang w:bidi="hi-IN"/>
              </w:rPr>
              <w:t>4676</w:t>
            </w:r>
          </w:p>
        </w:tc>
        <w:tc>
          <w:tcPr>
            <w:tcW w:w="900" w:type="dxa"/>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sidRPr="00B74B7F">
              <w:rPr>
                <w:rFonts w:ascii="Calibri" w:eastAsia="Times New Roman" w:hAnsi="Calibri" w:cs="Calibri"/>
                <w:color w:val="000000"/>
                <w:sz w:val="20"/>
                <w:szCs w:val="20"/>
                <w:lang w:bidi="hi-IN"/>
              </w:rPr>
              <w:t>4000</w:t>
            </w:r>
          </w:p>
        </w:tc>
      </w:tr>
      <w:tr w:rsidR="00B74B7F" w:rsidRPr="00B74B7F" w:rsidTr="00B74B7F">
        <w:trPr>
          <w:trHeight w:val="300"/>
        </w:trPr>
        <w:tc>
          <w:tcPr>
            <w:tcW w:w="3165" w:type="dxa"/>
            <w:shd w:val="clear" w:color="auto" w:fill="auto"/>
            <w:noWrap/>
            <w:vAlign w:val="bottom"/>
            <w:hideMark/>
          </w:tcPr>
          <w:p w:rsidR="00B74B7F" w:rsidRPr="00B74B7F" w:rsidRDefault="00B74B7F" w:rsidP="00B74B7F">
            <w:pPr>
              <w:spacing w:after="0" w:line="240" w:lineRule="auto"/>
              <w:rPr>
                <w:rFonts w:ascii="Calibri" w:eastAsia="Times New Roman" w:hAnsi="Calibri" w:cs="Calibri"/>
                <w:color w:val="000000"/>
                <w:sz w:val="20"/>
                <w:szCs w:val="20"/>
                <w:lang w:bidi="hi-IN"/>
              </w:rPr>
            </w:pPr>
            <w:r w:rsidRPr="00B74B7F">
              <w:rPr>
                <w:rFonts w:ascii="Calibri" w:eastAsia="Times New Roman" w:hAnsi="Calibri" w:cs="Calibri"/>
                <w:color w:val="000000"/>
                <w:sz w:val="20"/>
                <w:szCs w:val="20"/>
                <w:lang w:bidi="hi-IN"/>
              </w:rPr>
              <w:t>Atal Mission for Rejuvenation for Urban Transformation (AMRUT)</w:t>
            </w:r>
          </w:p>
        </w:tc>
        <w:tc>
          <w:tcPr>
            <w:tcW w:w="900" w:type="dxa"/>
            <w:vMerge/>
            <w:vAlign w:val="center"/>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p>
        </w:tc>
        <w:tc>
          <w:tcPr>
            <w:tcW w:w="900" w:type="dxa"/>
            <w:vMerge/>
            <w:vAlign w:val="center"/>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p>
        </w:tc>
        <w:tc>
          <w:tcPr>
            <w:tcW w:w="900" w:type="dxa"/>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sidRPr="00B74B7F">
              <w:rPr>
                <w:rFonts w:ascii="Calibri" w:eastAsia="Times New Roman" w:hAnsi="Calibri" w:cs="Calibri"/>
                <w:color w:val="000000"/>
                <w:sz w:val="20"/>
                <w:szCs w:val="20"/>
                <w:lang w:bidi="hi-IN"/>
              </w:rPr>
              <w:t>1069</w:t>
            </w:r>
          </w:p>
        </w:tc>
        <w:tc>
          <w:tcPr>
            <w:tcW w:w="900" w:type="dxa"/>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Pr>
                <w:rFonts w:ascii="Calibri" w:eastAsia="Times New Roman" w:hAnsi="Calibri" w:cs="Calibri"/>
                <w:color w:val="000000"/>
                <w:sz w:val="20"/>
                <w:szCs w:val="20"/>
                <w:lang w:bidi="hi-IN"/>
              </w:rPr>
              <w:t>2702</w:t>
            </w:r>
          </w:p>
        </w:tc>
        <w:tc>
          <w:tcPr>
            <w:tcW w:w="900" w:type="dxa"/>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Pr>
                <w:rFonts w:ascii="Calibri" w:eastAsia="Times New Roman" w:hAnsi="Calibri" w:cs="Calibri"/>
                <w:color w:val="000000"/>
                <w:sz w:val="20"/>
                <w:szCs w:val="20"/>
                <w:lang w:bidi="hi-IN"/>
              </w:rPr>
              <w:t>4</w:t>
            </w:r>
            <w:r w:rsidRPr="00B74B7F">
              <w:rPr>
                <w:rFonts w:ascii="Calibri" w:eastAsia="Times New Roman" w:hAnsi="Calibri" w:cs="Calibri"/>
                <w:color w:val="000000"/>
                <w:sz w:val="20"/>
                <w:szCs w:val="20"/>
                <w:lang w:bidi="hi-IN"/>
              </w:rPr>
              <w:t>080</w:t>
            </w:r>
          </w:p>
        </w:tc>
        <w:tc>
          <w:tcPr>
            <w:tcW w:w="900" w:type="dxa"/>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Pr>
                <w:rFonts w:ascii="Calibri" w:eastAsia="Times New Roman" w:hAnsi="Calibri" w:cs="Calibri"/>
                <w:color w:val="000000"/>
                <w:sz w:val="20"/>
                <w:szCs w:val="20"/>
                <w:lang w:bidi="hi-IN"/>
              </w:rPr>
              <w:t>4884</w:t>
            </w:r>
          </w:p>
        </w:tc>
        <w:tc>
          <w:tcPr>
            <w:tcW w:w="900" w:type="dxa"/>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Pr>
                <w:rFonts w:ascii="Calibri" w:eastAsia="Times New Roman" w:hAnsi="Calibri" w:cs="Calibri"/>
                <w:color w:val="000000"/>
                <w:sz w:val="20"/>
                <w:szCs w:val="20"/>
                <w:lang w:bidi="hi-IN"/>
              </w:rPr>
              <w:t>5</w:t>
            </w:r>
            <w:r w:rsidRPr="00B74B7F">
              <w:rPr>
                <w:rFonts w:ascii="Calibri" w:eastAsia="Times New Roman" w:hAnsi="Calibri" w:cs="Calibri"/>
                <w:color w:val="000000"/>
                <w:sz w:val="20"/>
                <w:szCs w:val="20"/>
                <w:lang w:bidi="hi-IN"/>
              </w:rPr>
              <w:t>000</w:t>
            </w:r>
          </w:p>
        </w:tc>
      </w:tr>
      <w:tr w:rsidR="00B74B7F" w:rsidRPr="00B74B7F" w:rsidTr="00B74B7F">
        <w:trPr>
          <w:trHeight w:val="300"/>
        </w:trPr>
        <w:tc>
          <w:tcPr>
            <w:tcW w:w="3165" w:type="dxa"/>
            <w:shd w:val="clear" w:color="auto" w:fill="auto"/>
            <w:noWrap/>
            <w:vAlign w:val="bottom"/>
            <w:hideMark/>
          </w:tcPr>
          <w:p w:rsidR="00B74B7F" w:rsidRPr="00B74B7F" w:rsidRDefault="00B74B7F" w:rsidP="00B74B7F">
            <w:pPr>
              <w:spacing w:after="0" w:line="240" w:lineRule="auto"/>
              <w:rPr>
                <w:rFonts w:ascii="Calibri" w:eastAsia="Times New Roman" w:hAnsi="Calibri" w:cs="Calibri"/>
                <w:color w:val="000000"/>
                <w:sz w:val="20"/>
                <w:szCs w:val="20"/>
                <w:lang w:bidi="hi-IN"/>
              </w:rPr>
            </w:pPr>
            <w:r w:rsidRPr="00B74B7F">
              <w:rPr>
                <w:rFonts w:ascii="Calibri" w:eastAsia="Times New Roman" w:hAnsi="Calibri" w:cs="Calibri"/>
                <w:color w:val="000000"/>
                <w:sz w:val="20"/>
                <w:szCs w:val="20"/>
                <w:lang w:bidi="hi-IN"/>
              </w:rPr>
              <w:t xml:space="preserve">National Heritage City Development and Augmentation </w:t>
            </w:r>
            <w:proofErr w:type="spellStart"/>
            <w:r w:rsidRPr="00B74B7F">
              <w:rPr>
                <w:rFonts w:ascii="Calibri" w:eastAsia="Times New Roman" w:hAnsi="Calibri" w:cs="Calibri"/>
                <w:color w:val="000000"/>
                <w:sz w:val="20"/>
                <w:szCs w:val="20"/>
                <w:lang w:bidi="hi-IN"/>
              </w:rPr>
              <w:t>Yojana</w:t>
            </w:r>
            <w:proofErr w:type="spellEnd"/>
            <w:r w:rsidRPr="00B74B7F">
              <w:rPr>
                <w:rFonts w:ascii="Calibri" w:eastAsia="Times New Roman" w:hAnsi="Calibri" w:cs="Calibri"/>
                <w:color w:val="000000"/>
                <w:sz w:val="20"/>
                <w:szCs w:val="20"/>
                <w:lang w:bidi="hi-IN"/>
              </w:rPr>
              <w:t xml:space="preserve"> (HRIDAY)</w:t>
            </w:r>
          </w:p>
        </w:tc>
        <w:tc>
          <w:tcPr>
            <w:tcW w:w="900" w:type="dxa"/>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sidRPr="00B74B7F">
              <w:rPr>
                <w:rFonts w:ascii="Calibri" w:eastAsia="Times New Roman" w:hAnsi="Calibri" w:cs="Calibri"/>
                <w:color w:val="000000"/>
                <w:sz w:val="20"/>
                <w:szCs w:val="20"/>
                <w:lang w:bidi="hi-IN"/>
              </w:rPr>
              <w:t>..</w:t>
            </w:r>
          </w:p>
        </w:tc>
        <w:tc>
          <w:tcPr>
            <w:tcW w:w="900" w:type="dxa"/>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sidRPr="00B74B7F">
              <w:rPr>
                <w:rFonts w:ascii="Calibri" w:eastAsia="Times New Roman" w:hAnsi="Calibri" w:cs="Calibri"/>
                <w:color w:val="000000"/>
                <w:sz w:val="20"/>
                <w:szCs w:val="20"/>
                <w:lang w:bidi="hi-IN"/>
              </w:rPr>
              <w:t>..</w:t>
            </w:r>
          </w:p>
        </w:tc>
        <w:tc>
          <w:tcPr>
            <w:tcW w:w="900" w:type="dxa"/>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sidRPr="00B74B7F">
              <w:rPr>
                <w:rFonts w:ascii="Calibri" w:eastAsia="Times New Roman" w:hAnsi="Calibri" w:cs="Calibri"/>
                <w:color w:val="000000"/>
                <w:sz w:val="20"/>
                <w:szCs w:val="20"/>
                <w:lang w:bidi="hi-IN"/>
              </w:rPr>
              <w:t>0.9</w:t>
            </w:r>
          </w:p>
        </w:tc>
        <w:tc>
          <w:tcPr>
            <w:tcW w:w="900" w:type="dxa"/>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Pr>
                <w:rFonts w:ascii="Calibri" w:eastAsia="Times New Roman" w:hAnsi="Calibri" w:cs="Calibri"/>
                <w:color w:val="000000"/>
                <w:sz w:val="20"/>
                <w:szCs w:val="20"/>
                <w:lang w:bidi="hi-IN"/>
              </w:rPr>
              <w:t>27.2</w:t>
            </w:r>
          </w:p>
        </w:tc>
        <w:tc>
          <w:tcPr>
            <w:tcW w:w="900" w:type="dxa"/>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sidRPr="00B74B7F">
              <w:rPr>
                <w:rFonts w:ascii="Calibri" w:eastAsia="Times New Roman" w:hAnsi="Calibri" w:cs="Calibri"/>
                <w:color w:val="000000"/>
                <w:sz w:val="20"/>
                <w:szCs w:val="20"/>
                <w:lang w:bidi="hi-IN"/>
              </w:rPr>
              <w:t>200</w:t>
            </w:r>
          </w:p>
        </w:tc>
        <w:tc>
          <w:tcPr>
            <w:tcW w:w="900" w:type="dxa"/>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sidRPr="00B74B7F">
              <w:rPr>
                <w:rFonts w:ascii="Calibri" w:eastAsia="Times New Roman" w:hAnsi="Calibri" w:cs="Calibri"/>
                <w:color w:val="000000"/>
                <w:sz w:val="20"/>
                <w:szCs w:val="20"/>
                <w:lang w:bidi="hi-IN"/>
              </w:rPr>
              <w:t>200</w:t>
            </w:r>
          </w:p>
        </w:tc>
        <w:tc>
          <w:tcPr>
            <w:tcW w:w="900" w:type="dxa"/>
            <w:shd w:val="clear" w:color="auto" w:fill="auto"/>
            <w:noWrap/>
            <w:vAlign w:val="bottom"/>
            <w:hideMark/>
          </w:tcPr>
          <w:p w:rsidR="00B74B7F" w:rsidRPr="00B74B7F" w:rsidRDefault="00B74B7F" w:rsidP="00B74B7F">
            <w:pPr>
              <w:spacing w:after="0" w:line="240" w:lineRule="auto"/>
              <w:jc w:val="center"/>
              <w:rPr>
                <w:rFonts w:ascii="Calibri" w:eastAsia="Times New Roman" w:hAnsi="Calibri" w:cs="Calibri"/>
                <w:color w:val="000000"/>
                <w:sz w:val="20"/>
                <w:szCs w:val="20"/>
                <w:lang w:bidi="hi-IN"/>
              </w:rPr>
            </w:pPr>
            <w:r w:rsidRPr="00B74B7F">
              <w:rPr>
                <w:rFonts w:ascii="Calibri" w:eastAsia="Times New Roman" w:hAnsi="Calibri" w:cs="Calibri"/>
                <w:color w:val="000000"/>
                <w:sz w:val="20"/>
                <w:szCs w:val="20"/>
                <w:lang w:bidi="hi-IN"/>
              </w:rPr>
              <w:t>150</w:t>
            </w:r>
          </w:p>
        </w:tc>
      </w:tr>
    </w:tbl>
    <w:p w:rsidR="00731F1B" w:rsidRPr="00731F1B" w:rsidRDefault="00B506A9" w:rsidP="00731F1B">
      <w:pPr>
        <w:spacing w:before="23" w:after="0"/>
        <w:ind w:right="-20"/>
        <w:jc w:val="both"/>
        <w:rPr>
          <w:rFonts w:ascii="Calibri" w:hAnsi="Calibri" w:cs="Calibri"/>
        </w:rPr>
      </w:pPr>
      <w:r w:rsidRPr="00FD225C">
        <w:rPr>
          <w:rFonts w:ascii="Calibri" w:hAnsi="Calibri" w:cs="Calibri"/>
          <w:i/>
        </w:rPr>
        <w:lastRenderedPageBreak/>
        <w:t>Note</w:t>
      </w:r>
      <w:r w:rsidRPr="00731F1B">
        <w:rPr>
          <w:rFonts w:ascii="Calibri" w:hAnsi="Calibri" w:cs="Calibri"/>
        </w:rPr>
        <w:t>:*Expenditure for 2012-13 and 2013-14 is for sub-missions UIG and UIDSSMT under JNNURM which were related</w:t>
      </w:r>
      <w:r w:rsidR="00814D3A">
        <w:rPr>
          <w:rFonts w:ascii="Calibri" w:hAnsi="Calibri" w:cs="Calibri"/>
        </w:rPr>
        <w:t xml:space="preserve"> to</w:t>
      </w:r>
      <w:r w:rsidRPr="00731F1B">
        <w:rPr>
          <w:rFonts w:ascii="Calibri" w:hAnsi="Calibri" w:cs="Calibri"/>
        </w:rPr>
        <w:t xml:space="preserve"> infrastructure development in urban areas; </w:t>
      </w:r>
      <w:r w:rsidR="00731F1B" w:rsidRPr="00731F1B">
        <w:rPr>
          <w:rFonts w:ascii="Calibri" w:hAnsi="Calibri" w:cs="Calibri"/>
          <w:i/>
          <w:iCs/>
        </w:rPr>
        <w:t>Source:</w:t>
      </w:r>
      <w:r w:rsidR="00731F1B" w:rsidRPr="00731F1B">
        <w:rPr>
          <w:rFonts w:ascii="Calibri" w:hAnsi="Calibri" w:cs="Calibri"/>
        </w:rPr>
        <w:t xml:space="preserve"> Compiled by CBGA from Union Budget, various years.</w:t>
      </w:r>
    </w:p>
    <w:p w:rsidR="0070720B" w:rsidRPr="00731F1B" w:rsidRDefault="00FD225C" w:rsidP="000D1947">
      <w:pPr>
        <w:jc w:val="both"/>
        <w:rPr>
          <w:rFonts w:ascii="Calibri" w:hAnsi="Calibri" w:cs="Calibri"/>
        </w:rPr>
      </w:pPr>
      <w:r>
        <w:rPr>
          <w:rFonts w:ascii="Calibri" w:hAnsi="Calibri" w:cs="Calibri"/>
        </w:rPr>
        <w:br/>
      </w:r>
      <w:r w:rsidR="00490C17" w:rsidRPr="00731F1B">
        <w:rPr>
          <w:rFonts w:ascii="Calibri" w:hAnsi="Calibri" w:cs="Calibri"/>
        </w:rPr>
        <w:t xml:space="preserve">There </w:t>
      </w:r>
      <w:r w:rsidR="00A77567" w:rsidRPr="00731F1B">
        <w:rPr>
          <w:rFonts w:ascii="Calibri" w:hAnsi="Calibri" w:cs="Calibri"/>
        </w:rPr>
        <w:t xml:space="preserve">is a </w:t>
      </w:r>
      <w:r w:rsidR="00490C17" w:rsidRPr="00731F1B">
        <w:rPr>
          <w:rFonts w:ascii="Calibri" w:hAnsi="Calibri" w:cs="Calibri"/>
        </w:rPr>
        <w:t xml:space="preserve">clear </w:t>
      </w:r>
      <w:r w:rsidR="00A77567" w:rsidRPr="00731F1B">
        <w:rPr>
          <w:rFonts w:ascii="Calibri" w:hAnsi="Calibri" w:cs="Calibri"/>
        </w:rPr>
        <w:t>push for developing infrastruc</w:t>
      </w:r>
      <w:r w:rsidR="00490C17" w:rsidRPr="00731F1B">
        <w:rPr>
          <w:rFonts w:ascii="Calibri" w:hAnsi="Calibri" w:cs="Calibri"/>
        </w:rPr>
        <w:t xml:space="preserve">ture in the urban areas. However, the </w:t>
      </w:r>
      <w:r w:rsidR="00814D3A">
        <w:rPr>
          <w:rFonts w:ascii="Calibri" w:hAnsi="Calibri" w:cs="Calibri"/>
        </w:rPr>
        <w:t>pace</w:t>
      </w:r>
      <w:r w:rsidR="00814D3A" w:rsidRPr="00731F1B">
        <w:rPr>
          <w:rFonts w:ascii="Calibri" w:hAnsi="Calibri" w:cs="Calibri"/>
        </w:rPr>
        <w:t xml:space="preserve"> </w:t>
      </w:r>
      <w:r w:rsidR="00814D3A">
        <w:rPr>
          <w:rFonts w:ascii="Calibri" w:hAnsi="Calibri" w:cs="Calibri"/>
        </w:rPr>
        <w:t xml:space="preserve">for </w:t>
      </w:r>
      <w:r w:rsidR="00490C17" w:rsidRPr="00731F1B">
        <w:rPr>
          <w:rFonts w:ascii="Calibri" w:hAnsi="Calibri" w:cs="Calibri"/>
        </w:rPr>
        <w:t>providing basic amenities to urban poor has not</w:t>
      </w:r>
      <w:r w:rsidR="00814D3A">
        <w:rPr>
          <w:rFonts w:ascii="Calibri" w:hAnsi="Calibri" w:cs="Calibri"/>
        </w:rPr>
        <w:t xml:space="preserve"> </w:t>
      </w:r>
      <w:r>
        <w:rPr>
          <w:rFonts w:ascii="Calibri" w:hAnsi="Calibri" w:cs="Calibri"/>
        </w:rPr>
        <w:t>kept up</w:t>
      </w:r>
      <w:r w:rsidR="00E240D5" w:rsidRPr="00731F1B">
        <w:rPr>
          <w:rFonts w:ascii="Calibri" w:hAnsi="Calibri" w:cs="Calibri"/>
        </w:rPr>
        <w:t>. T</w:t>
      </w:r>
      <w:r w:rsidR="00490C17" w:rsidRPr="00731F1B">
        <w:rPr>
          <w:rFonts w:ascii="Calibri" w:hAnsi="Calibri" w:cs="Calibri"/>
        </w:rPr>
        <w:t xml:space="preserve">he allocation for National Urban Health Mission has reduced from </w:t>
      </w:r>
      <w:proofErr w:type="spellStart"/>
      <w:r w:rsidR="00490C17" w:rsidRPr="00731F1B">
        <w:rPr>
          <w:rFonts w:ascii="Calibri" w:hAnsi="Calibri" w:cs="Calibri"/>
        </w:rPr>
        <w:t>Rs</w:t>
      </w:r>
      <w:proofErr w:type="spellEnd"/>
      <w:r w:rsidR="00490C17" w:rsidRPr="00731F1B">
        <w:rPr>
          <w:rFonts w:ascii="Calibri" w:hAnsi="Calibri" w:cs="Calibri"/>
        </w:rPr>
        <w:t xml:space="preserve">. 950 crore in 2016-17 (BE) to </w:t>
      </w:r>
      <w:proofErr w:type="spellStart"/>
      <w:r w:rsidR="00490C17" w:rsidRPr="00731F1B">
        <w:rPr>
          <w:rFonts w:ascii="Calibri" w:hAnsi="Calibri" w:cs="Calibri"/>
        </w:rPr>
        <w:t>Rs</w:t>
      </w:r>
      <w:proofErr w:type="spellEnd"/>
      <w:r w:rsidR="00490C17" w:rsidRPr="00731F1B">
        <w:rPr>
          <w:rFonts w:ascii="Calibri" w:hAnsi="Calibri" w:cs="Calibri"/>
        </w:rPr>
        <w:t xml:space="preserve">. 752 crore in 2017-18 (BE). Similarly, the allocation for </w:t>
      </w:r>
      <w:proofErr w:type="spellStart"/>
      <w:r w:rsidR="00490C17" w:rsidRPr="00731F1B">
        <w:rPr>
          <w:rFonts w:ascii="Calibri" w:hAnsi="Calibri" w:cs="Calibri"/>
          <w:i/>
          <w:iCs/>
        </w:rPr>
        <w:t>Swachh</w:t>
      </w:r>
      <w:proofErr w:type="spellEnd"/>
      <w:r w:rsidR="00490C17" w:rsidRPr="00731F1B">
        <w:rPr>
          <w:rFonts w:ascii="Calibri" w:hAnsi="Calibri" w:cs="Calibri"/>
          <w:i/>
          <w:iCs/>
        </w:rPr>
        <w:t xml:space="preserve"> Bharat</w:t>
      </w:r>
      <w:r w:rsidR="00490C17" w:rsidRPr="00731F1B">
        <w:rPr>
          <w:rFonts w:ascii="Calibri" w:hAnsi="Calibri" w:cs="Calibri"/>
        </w:rPr>
        <w:t xml:space="preserve"> Mission (Urban) has remained unchanged at </w:t>
      </w:r>
      <w:proofErr w:type="spellStart"/>
      <w:r w:rsidR="00490C17" w:rsidRPr="00731F1B">
        <w:rPr>
          <w:rFonts w:ascii="Calibri" w:hAnsi="Calibri" w:cs="Calibri"/>
        </w:rPr>
        <w:t>Rs</w:t>
      </w:r>
      <w:proofErr w:type="spellEnd"/>
      <w:r w:rsidR="00490C17" w:rsidRPr="00731F1B">
        <w:rPr>
          <w:rFonts w:ascii="Calibri" w:hAnsi="Calibri" w:cs="Calibri"/>
        </w:rPr>
        <w:t>. 2</w:t>
      </w:r>
      <w:r w:rsidR="0070720B">
        <w:rPr>
          <w:rFonts w:ascii="Calibri" w:hAnsi="Calibri" w:cs="Calibri"/>
        </w:rPr>
        <w:t>,</w:t>
      </w:r>
      <w:r w:rsidR="00490C17" w:rsidRPr="00731F1B">
        <w:rPr>
          <w:rFonts w:ascii="Calibri" w:hAnsi="Calibri" w:cs="Calibri"/>
        </w:rPr>
        <w:t xml:space="preserve">300 crore in 2017-18. </w:t>
      </w:r>
      <w:r w:rsidR="00E240D5" w:rsidRPr="00731F1B">
        <w:rPr>
          <w:rFonts w:ascii="Calibri" w:hAnsi="Calibri" w:cs="Calibri"/>
        </w:rPr>
        <w:t>E</w:t>
      </w:r>
      <w:r w:rsidR="00490C17" w:rsidRPr="00731F1B">
        <w:rPr>
          <w:rFonts w:ascii="Calibri" w:hAnsi="Calibri" w:cs="Calibri"/>
        </w:rPr>
        <w:t xml:space="preserve">mphasis on infrastructure at the cost of basic amenities </w:t>
      </w:r>
      <w:r w:rsidR="00E240D5" w:rsidRPr="00731F1B">
        <w:rPr>
          <w:rFonts w:ascii="Calibri" w:hAnsi="Calibri" w:cs="Calibri"/>
        </w:rPr>
        <w:t xml:space="preserve">will increase inequalities </w:t>
      </w:r>
      <w:r w:rsidR="00814D3A">
        <w:rPr>
          <w:rFonts w:ascii="Calibri" w:hAnsi="Calibri" w:cs="Calibri"/>
        </w:rPr>
        <w:t>between</w:t>
      </w:r>
      <w:r w:rsidR="00814D3A" w:rsidRPr="00731F1B">
        <w:rPr>
          <w:rFonts w:ascii="Calibri" w:hAnsi="Calibri" w:cs="Calibri"/>
        </w:rPr>
        <w:t xml:space="preserve"> </w:t>
      </w:r>
      <w:r w:rsidR="00E240D5" w:rsidRPr="00731F1B">
        <w:rPr>
          <w:rFonts w:ascii="Calibri" w:hAnsi="Calibri" w:cs="Calibri"/>
        </w:rPr>
        <w:t xml:space="preserve">the rich and the poor and </w:t>
      </w:r>
      <w:r w:rsidR="00814D3A">
        <w:rPr>
          <w:rFonts w:ascii="Calibri" w:hAnsi="Calibri" w:cs="Calibri"/>
        </w:rPr>
        <w:t xml:space="preserve">will </w:t>
      </w:r>
      <w:r w:rsidR="00E240D5" w:rsidRPr="00731F1B">
        <w:rPr>
          <w:rFonts w:ascii="Calibri" w:hAnsi="Calibri" w:cs="Calibri"/>
        </w:rPr>
        <w:t xml:space="preserve">make </w:t>
      </w:r>
      <w:r w:rsidR="00814D3A">
        <w:rPr>
          <w:rFonts w:ascii="Calibri" w:hAnsi="Calibri" w:cs="Calibri"/>
        </w:rPr>
        <w:t>cities</w:t>
      </w:r>
      <w:r w:rsidR="00E240D5" w:rsidRPr="00731F1B">
        <w:rPr>
          <w:rFonts w:ascii="Calibri" w:hAnsi="Calibri" w:cs="Calibri"/>
        </w:rPr>
        <w:t xml:space="preserve"> </w:t>
      </w:r>
      <w:r w:rsidR="00814D3A">
        <w:rPr>
          <w:rFonts w:ascii="Calibri" w:hAnsi="Calibri" w:cs="Calibri"/>
        </w:rPr>
        <w:t xml:space="preserve">less </w:t>
      </w:r>
      <w:r w:rsidR="00E240D5" w:rsidRPr="00731F1B">
        <w:rPr>
          <w:rFonts w:ascii="Calibri" w:hAnsi="Calibri" w:cs="Calibri"/>
        </w:rPr>
        <w:t xml:space="preserve">inclusive and unsustainable over time.    </w:t>
      </w:r>
      <w:r w:rsidR="0070720B">
        <w:rPr>
          <w:rFonts w:ascii="Calibri" w:hAnsi="Calibri" w:cs="Calibri"/>
        </w:rPr>
        <w:t xml:space="preserve"> </w:t>
      </w:r>
    </w:p>
    <w:p w:rsidR="00A12C01" w:rsidRPr="00731F1B" w:rsidRDefault="00A12C01" w:rsidP="000D1947">
      <w:pPr>
        <w:jc w:val="both"/>
        <w:rPr>
          <w:rFonts w:ascii="Calibri" w:hAnsi="Calibri" w:cs="Calibri"/>
        </w:rPr>
      </w:pPr>
    </w:p>
    <w:p w:rsidR="003213EF" w:rsidRPr="00731F1B" w:rsidRDefault="003213EF" w:rsidP="000D1947">
      <w:pPr>
        <w:jc w:val="both"/>
        <w:rPr>
          <w:rFonts w:ascii="Calibri" w:hAnsi="Calibri" w:cs="Calibri"/>
          <w:b/>
          <w:bCs/>
        </w:rPr>
      </w:pPr>
    </w:p>
    <w:p w:rsidR="00500CBA" w:rsidRDefault="00500CBA" w:rsidP="000D1947">
      <w:pPr>
        <w:jc w:val="both"/>
        <w:rPr>
          <w:rFonts w:ascii="Calibri" w:hAnsi="Calibri"/>
          <w:b/>
          <w:bCs/>
        </w:rPr>
      </w:pPr>
    </w:p>
    <w:sectPr w:rsidR="00500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602"/>
    <w:multiLevelType w:val="hybridMultilevel"/>
    <w:tmpl w:val="B3D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159DD"/>
    <w:multiLevelType w:val="hybridMultilevel"/>
    <w:tmpl w:val="7BBE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775D5C"/>
    <w:multiLevelType w:val="hybridMultilevel"/>
    <w:tmpl w:val="C5C4778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
    <w:nsid w:val="2D14166C"/>
    <w:multiLevelType w:val="hybridMultilevel"/>
    <w:tmpl w:val="B3FC50E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nsid w:val="48E66B06"/>
    <w:multiLevelType w:val="hybridMultilevel"/>
    <w:tmpl w:val="15C8E18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nsid w:val="71ED55EF"/>
    <w:multiLevelType w:val="hybridMultilevel"/>
    <w:tmpl w:val="E3D2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76C"/>
    <w:rsid w:val="0007214F"/>
    <w:rsid w:val="000922C6"/>
    <w:rsid w:val="000C3504"/>
    <w:rsid w:val="000D033D"/>
    <w:rsid w:val="000D1947"/>
    <w:rsid w:val="000E2AB3"/>
    <w:rsid w:val="00165C49"/>
    <w:rsid w:val="002103A2"/>
    <w:rsid w:val="002304A8"/>
    <w:rsid w:val="00246CDA"/>
    <w:rsid w:val="00251730"/>
    <w:rsid w:val="002619F6"/>
    <w:rsid w:val="00297F51"/>
    <w:rsid w:val="002A44E3"/>
    <w:rsid w:val="002D2E59"/>
    <w:rsid w:val="002D41C2"/>
    <w:rsid w:val="00306604"/>
    <w:rsid w:val="00313E8D"/>
    <w:rsid w:val="003213EF"/>
    <w:rsid w:val="003B146F"/>
    <w:rsid w:val="003E4018"/>
    <w:rsid w:val="003F0576"/>
    <w:rsid w:val="0043284A"/>
    <w:rsid w:val="00446E0A"/>
    <w:rsid w:val="004475F8"/>
    <w:rsid w:val="004551AF"/>
    <w:rsid w:val="004724FF"/>
    <w:rsid w:val="00481BBE"/>
    <w:rsid w:val="00490C17"/>
    <w:rsid w:val="004A16C0"/>
    <w:rsid w:val="004A654E"/>
    <w:rsid w:val="00500CBA"/>
    <w:rsid w:val="00521A87"/>
    <w:rsid w:val="005348B2"/>
    <w:rsid w:val="00555EAD"/>
    <w:rsid w:val="00562C06"/>
    <w:rsid w:val="00585428"/>
    <w:rsid w:val="00591524"/>
    <w:rsid w:val="005C0467"/>
    <w:rsid w:val="005C7516"/>
    <w:rsid w:val="005E10D0"/>
    <w:rsid w:val="005F49DF"/>
    <w:rsid w:val="006034F5"/>
    <w:rsid w:val="00621CA6"/>
    <w:rsid w:val="00656BDE"/>
    <w:rsid w:val="00687852"/>
    <w:rsid w:val="006D6AC1"/>
    <w:rsid w:val="006F119E"/>
    <w:rsid w:val="006F3700"/>
    <w:rsid w:val="007043F5"/>
    <w:rsid w:val="0070720B"/>
    <w:rsid w:val="00731F1B"/>
    <w:rsid w:val="00795637"/>
    <w:rsid w:val="00810F5F"/>
    <w:rsid w:val="00814D3A"/>
    <w:rsid w:val="00820E52"/>
    <w:rsid w:val="0083020F"/>
    <w:rsid w:val="00835AD9"/>
    <w:rsid w:val="0085218C"/>
    <w:rsid w:val="00876439"/>
    <w:rsid w:val="00881C64"/>
    <w:rsid w:val="00890C8F"/>
    <w:rsid w:val="00934341"/>
    <w:rsid w:val="00942F2B"/>
    <w:rsid w:val="009A2971"/>
    <w:rsid w:val="009A5AE7"/>
    <w:rsid w:val="009C2021"/>
    <w:rsid w:val="009C29A4"/>
    <w:rsid w:val="009D2B1F"/>
    <w:rsid w:val="009F124B"/>
    <w:rsid w:val="00A01481"/>
    <w:rsid w:val="00A12C01"/>
    <w:rsid w:val="00A77567"/>
    <w:rsid w:val="00AA176C"/>
    <w:rsid w:val="00AC2910"/>
    <w:rsid w:val="00AD3640"/>
    <w:rsid w:val="00AF6F95"/>
    <w:rsid w:val="00B017B3"/>
    <w:rsid w:val="00B41A51"/>
    <w:rsid w:val="00B4584D"/>
    <w:rsid w:val="00B506A9"/>
    <w:rsid w:val="00B74B7F"/>
    <w:rsid w:val="00BC1AC6"/>
    <w:rsid w:val="00C053F8"/>
    <w:rsid w:val="00C15627"/>
    <w:rsid w:val="00C22A4F"/>
    <w:rsid w:val="00C269AF"/>
    <w:rsid w:val="00C87324"/>
    <w:rsid w:val="00D21548"/>
    <w:rsid w:val="00D2497F"/>
    <w:rsid w:val="00D662F5"/>
    <w:rsid w:val="00D92B0D"/>
    <w:rsid w:val="00DC7089"/>
    <w:rsid w:val="00DD064E"/>
    <w:rsid w:val="00DE4150"/>
    <w:rsid w:val="00DE4C5B"/>
    <w:rsid w:val="00E240D5"/>
    <w:rsid w:val="00E256F2"/>
    <w:rsid w:val="00E45D18"/>
    <w:rsid w:val="00E67BAA"/>
    <w:rsid w:val="00E71987"/>
    <w:rsid w:val="00E82AAE"/>
    <w:rsid w:val="00E82CED"/>
    <w:rsid w:val="00ED3028"/>
    <w:rsid w:val="00ED357F"/>
    <w:rsid w:val="00ED368B"/>
    <w:rsid w:val="00ED6AA7"/>
    <w:rsid w:val="00EE3193"/>
    <w:rsid w:val="00EF0A76"/>
    <w:rsid w:val="00F11596"/>
    <w:rsid w:val="00F235B5"/>
    <w:rsid w:val="00F353C3"/>
    <w:rsid w:val="00F71EDD"/>
    <w:rsid w:val="00FC267B"/>
    <w:rsid w:val="00FD225C"/>
    <w:rsid w:val="00FF1C62"/>
    <w:rsid w:val="00FF7F8B"/>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BDE"/>
    <w:rPr>
      <w:rFonts w:ascii="Tahoma" w:hAnsi="Tahoma" w:cs="Tahoma"/>
      <w:sz w:val="16"/>
      <w:szCs w:val="16"/>
    </w:rPr>
  </w:style>
  <w:style w:type="paragraph" w:styleId="ListParagraph">
    <w:name w:val="List Paragraph"/>
    <w:basedOn w:val="Normal"/>
    <w:uiPriority w:val="34"/>
    <w:qFormat/>
    <w:rsid w:val="00687852"/>
    <w:pPr>
      <w:ind w:left="720"/>
      <w:contextualSpacing/>
    </w:pPr>
  </w:style>
  <w:style w:type="table" w:styleId="TableGrid">
    <w:name w:val="Table Grid"/>
    <w:basedOn w:val="TableNormal"/>
    <w:uiPriority w:val="59"/>
    <w:rsid w:val="00472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BDE"/>
    <w:rPr>
      <w:rFonts w:ascii="Tahoma" w:hAnsi="Tahoma" w:cs="Tahoma"/>
      <w:sz w:val="16"/>
      <w:szCs w:val="16"/>
    </w:rPr>
  </w:style>
  <w:style w:type="paragraph" w:styleId="ListParagraph">
    <w:name w:val="List Paragraph"/>
    <w:basedOn w:val="Normal"/>
    <w:uiPriority w:val="34"/>
    <w:qFormat/>
    <w:rsid w:val="00687852"/>
    <w:pPr>
      <w:ind w:left="720"/>
      <w:contextualSpacing/>
    </w:pPr>
  </w:style>
  <w:style w:type="table" w:styleId="TableGrid">
    <w:name w:val="Table Grid"/>
    <w:basedOn w:val="TableNormal"/>
    <w:uiPriority w:val="59"/>
    <w:rsid w:val="00472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066604">
      <w:bodyDiv w:val="1"/>
      <w:marLeft w:val="0"/>
      <w:marRight w:val="0"/>
      <w:marTop w:val="0"/>
      <w:marBottom w:val="0"/>
      <w:divBdr>
        <w:top w:val="none" w:sz="0" w:space="0" w:color="auto"/>
        <w:left w:val="none" w:sz="0" w:space="0" w:color="auto"/>
        <w:bottom w:val="none" w:sz="0" w:space="0" w:color="auto"/>
        <w:right w:val="none" w:sz="0" w:space="0" w:color="auto"/>
      </w:divBdr>
    </w:div>
    <w:div w:id="521210644">
      <w:bodyDiv w:val="1"/>
      <w:marLeft w:val="0"/>
      <w:marRight w:val="0"/>
      <w:marTop w:val="0"/>
      <w:marBottom w:val="0"/>
      <w:divBdr>
        <w:top w:val="none" w:sz="0" w:space="0" w:color="auto"/>
        <w:left w:val="none" w:sz="0" w:space="0" w:color="auto"/>
        <w:bottom w:val="none" w:sz="0" w:space="0" w:color="auto"/>
        <w:right w:val="none" w:sz="0" w:space="0" w:color="auto"/>
      </w:divBdr>
    </w:div>
    <w:div w:id="533155889">
      <w:bodyDiv w:val="1"/>
      <w:marLeft w:val="0"/>
      <w:marRight w:val="0"/>
      <w:marTop w:val="0"/>
      <w:marBottom w:val="0"/>
      <w:divBdr>
        <w:top w:val="none" w:sz="0" w:space="0" w:color="auto"/>
        <w:left w:val="none" w:sz="0" w:space="0" w:color="auto"/>
        <w:bottom w:val="none" w:sz="0" w:space="0" w:color="auto"/>
        <w:right w:val="none" w:sz="0" w:space="0" w:color="auto"/>
      </w:divBdr>
    </w:div>
    <w:div w:id="678431591">
      <w:bodyDiv w:val="1"/>
      <w:marLeft w:val="0"/>
      <w:marRight w:val="0"/>
      <w:marTop w:val="0"/>
      <w:marBottom w:val="0"/>
      <w:divBdr>
        <w:top w:val="none" w:sz="0" w:space="0" w:color="auto"/>
        <w:left w:val="none" w:sz="0" w:space="0" w:color="auto"/>
        <w:bottom w:val="none" w:sz="0" w:space="0" w:color="auto"/>
        <w:right w:val="none" w:sz="0" w:space="0" w:color="auto"/>
      </w:divBdr>
    </w:div>
    <w:div w:id="742070844">
      <w:bodyDiv w:val="1"/>
      <w:marLeft w:val="0"/>
      <w:marRight w:val="0"/>
      <w:marTop w:val="0"/>
      <w:marBottom w:val="0"/>
      <w:divBdr>
        <w:top w:val="none" w:sz="0" w:space="0" w:color="auto"/>
        <w:left w:val="none" w:sz="0" w:space="0" w:color="auto"/>
        <w:bottom w:val="none" w:sz="0" w:space="0" w:color="auto"/>
        <w:right w:val="none" w:sz="0" w:space="0" w:color="auto"/>
      </w:divBdr>
    </w:div>
    <w:div w:id="841435902">
      <w:bodyDiv w:val="1"/>
      <w:marLeft w:val="0"/>
      <w:marRight w:val="0"/>
      <w:marTop w:val="0"/>
      <w:marBottom w:val="0"/>
      <w:divBdr>
        <w:top w:val="none" w:sz="0" w:space="0" w:color="auto"/>
        <w:left w:val="none" w:sz="0" w:space="0" w:color="auto"/>
        <w:bottom w:val="none" w:sz="0" w:space="0" w:color="auto"/>
        <w:right w:val="none" w:sz="0" w:space="0" w:color="auto"/>
      </w:divBdr>
    </w:div>
    <w:div w:id="860707340">
      <w:bodyDiv w:val="1"/>
      <w:marLeft w:val="0"/>
      <w:marRight w:val="0"/>
      <w:marTop w:val="0"/>
      <w:marBottom w:val="0"/>
      <w:divBdr>
        <w:top w:val="none" w:sz="0" w:space="0" w:color="auto"/>
        <w:left w:val="none" w:sz="0" w:space="0" w:color="auto"/>
        <w:bottom w:val="none" w:sz="0" w:space="0" w:color="auto"/>
        <w:right w:val="none" w:sz="0" w:space="0" w:color="auto"/>
      </w:divBdr>
    </w:div>
    <w:div w:id="864754262">
      <w:bodyDiv w:val="1"/>
      <w:marLeft w:val="0"/>
      <w:marRight w:val="0"/>
      <w:marTop w:val="0"/>
      <w:marBottom w:val="0"/>
      <w:divBdr>
        <w:top w:val="none" w:sz="0" w:space="0" w:color="auto"/>
        <w:left w:val="none" w:sz="0" w:space="0" w:color="auto"/>
        <w:bottom w:val="none" w:sz="0" w:space="0" w:color="auto"/>
        <w:right w:val="none" w:sz="0" w:space="0" w:color="auto"/>
      </w:divBdr>
    </w:div>
    <w:div w:id="889224967">
      <w:bodyDiv w:val="1"/>
      <w:marLeft w:val="0"/>
      <w:marRight w:val="0"/>
      <w:marTop w:val="0"/>
      <w:marBottom w:val="0"/>
      <w:divBdr>
        <w:top w:val="none" w:sz="0" w:space="0" w:color="auto"/>
        <w:left w:val="none" w:sz="0" w:space="0" w:color="auto"/>
        <w:bottom w:val="none" w:sz="0" w:space="0" w:color="auto"/>
        <w:right w:val="none" w:sz="0" w:space="0" w:color="auto"/>
      </w:divBdr>
    </w:div>
    <w:div w:id="903758263">
      <w:bodyDiv w:val="1"/>
      <w:marLeft w:val="0"/>
      <w:marRight w:val="0"/>
      <w:marTop w:val="0"/>
      <w:marBottom w:val="0"/>
      <w:divBdr>
        <w:top w:val="none" w:sz="0" w:space="0" w:color="auto"/>
        <w:left w:val="none" w:sz="0" w:space="0" w:color="auto"/>
        <w:bottom w:val="none" w:sz="0" w:space="0" w:color="auto"/>
        <w:right w:val="none" w:sz="0" w:space="0" w:color="auto"/>
      </w:divBdr>
    </w:div>
    <w:div w:id="998656475">
      <w:bodyDiv w:val="1"/>
      <w:marLeft w:val="0"/>
      <w:marRight w:val="0"/>
      <w:marTop w:val="0"/>
      <w:marBottom w:val="0"/>
      <w:divBdr>
        <w:top w:val="none" w:sz="0" w:space="0" w:color="auto"/>
        <w:left w:val="none" w:sz="0" w:space="0" w:color="auto"/>
        <w:bottom w:val="none" w:sz="0" w:space="0" w:color="auto"/>
        <w:right w:val="none" w:sz="0" w:space="0" w:color="auto"/>
      </w:divBdr>
    </w:div>
    <w:div w:id="1001274079">
      <w:bodyDiv w:val="1"/>
      <w:marLeft w:val="0"/>
      <w:marRight w:val="0"/>
      <w:marTop w:val="0"/>
      <w:marBottom w:val="0"/>
      <w:divBdr>
        <w:top w:val="none" w:sz="0" w:space="0" w:color="auto"/>
        <w:left w:val="none" w:sz="0" w:space="0" w:color="auto"/>
        <w:bottom w:val="none" w:sz="0" w:space="0" w:color="auto"/>
        <w:right w:val="none" w:sz="0" w:space="0" w:color="auto"/>
      </w:divBdr>
    </w:div>
    <w:div w:id="1050543227">
      <w:bodyDiv w:val="1"/>
      <w:marLeft w:val="0"/>
      <w:marRight w:val="0"/>
      <w:marTop w:val="0"/>
      <w:marBottom w:val="0"/>
      <w:divBdr>
        <w:top w:val="none" w:sz="0" w:space="0" w:color="auto"/>
        <w:left w:val="none" w:sz="0" w:space="0" w:color="auto"/>
        <w:bottom w:val="none" w:sz="0" w:space="0" w:color="auto"/>
        <w:right w:val="none" w:sz="0" w:space="0" w:color="auto"/>
      </w:divBdr>
    </w:div>
    <w:div w:id="1082415507">
      <w:bodyDiv w:val="1"/>
      <w:marLeft w:val="0"/>
      <w:marRight w:val="0"/>
      <w:marTop w:val="0"/>
      <w:marBottom w:val="0"/>
      <w:divBdr>
        <w:top w:val="none" w:sz="0" w:space="0" w:color="auto"/>
        <w:left w:val="none" w:sz="0" w:space="0" w:color="auto"/>
        <w:bottom w:val="none" w:sz="0" w:space="0" w:color="auto"/>
        <w:right w:val="none" w:sz="0" w:space="0" w:color="auto"/>
      </w:divBdr>
    </w:div>
    <w:div w:id="1185747421">
      <w:bodyDiv w:val="1"/>
      <w:marLeft w:val="0"/>
      <w:marRight w:val="0"/>
      <w:marTop w:val="0"/>
      <w:marBottom w:val="0"/>
      <w:divBdr>
        <w:top w:val="none" w:sz="0" w:space="0" w:color="auto"/>
        <w:left w:val="none" w:sz="0" w:space="0" w:color="auto"/>
        <w:bottom w:val="none" w:sz="0" w:space="0" w:color="auto"/>
        <w:right w:val="none" w:sz="0" w:space="0" w:color="auto"/>
      </w:divBdr>
    </w:div>
    <w:div w:id="1344867727">
      <w:bodyDiv w:val="1"/>
      <w:marLeft w:val="0"/>
      <w:marRight w:val="0"/>
      <w:marTop w:val="0"/>
      <w:marBottom w:val="0"/>
      <w:divBdr>
        <w:top w:val="none" w:sz="0" w:space="0" w:color="auto"/>
        <w:left w:val="none" w:sz="0" w:space="0" w:color="auto"/>
        <w:bottom w:val="none" w:sz="0" w:space="0" w:color="auto"/>
        <w:right w:val="none" w:sz="0" w:space="0" w:color="auto"/>
      </w:divBdr>
    </w:div>
    <w:div w:id="1517966329">
      <w:bodyDiv w:val="1"/>
      <w:marLeft w:val="0"/>
      <w:marRight w:val="0"/>
      <w:marTop w:val="0"/>
      <w:marBottom w:val="0"/>
      <w:divBdr>
        <w:top w:val="none" w:sz="0" w:space="0" w:color="auto"/>
        <w:left w:val="none" w:sz="0" w:space="0" w:color="auto"/>
        <w:bottom w:val="none" w:sz="0" w:space="0" w:color="auto"/>
        <w:right w:val="none" w:sz="0" w:space="0" w:color="auto"/>
      </w:divBdr>
    </w:div>
    <w:div w:id="1646467808">
      <w:bodyDiv w:val="1"/>
      <w:marLeft w:val="0"/>
      <w:marRight w:val="0"/>
      <w:marTop w:val="0"/>
      <w:marBottom w:val="0"/>
      <w:divBdr>
        <w:top w:val="none" w:sz="0" w:space="0" w:color="auto"/>
        <w:left w:val="none" w:sz="0" w:space="0" w:color="auto"/>
        <w:bottom w:val="none" w:sz="0" w:space="0" w:color="auto"/>
        <w:right w:val="none" w:sz="0" w:space="0" w:color="auto"/>
      </w:divBdr>
    </w:div>
    <w:div w:id="1680037185">
      <w:bodyDiv w:val="1"/>
      <w:marLeft w:val="0"/>
      <w:marRight w:val="0"/>
      <w:marTop w:val="0"/>
      <w:marBottom w:val="0"/>
      <w:divBdr>
        <w:top w:val="none" w:sz="0" w:space="0" w:color="auto"/>
        <w:left w:val="none" w:sz="0" w:space="0" w:color="auto"/>
        <w:bottom w:val="none" w:sz="0" w:space="0" w:color="auto"/>
        <w:right w:val="none" w:sz="0" w:space="0" w:color="auto"/>
      </w:divBdr>
    </w:div>
    <w:div w:id="1684042320">
      <w:bodyDiv w:val="1"/>
      <w:marLeft w:val="0"/>
      <w:marRight w:val="0"/>
      <w:marTop w:val="0"/>
      <w:marBottom w:val="0"/>
      <w:divBdr>
        <w:top w:val="none" w:sz="0" w:space="0" w:color="auto"/>
        <w:left w:val="none" w:sz="0" w:space="0" w:color="auto"/>
        <w:bottom w:val="none" w:sz="0" w:space="0" w:color="auto"/>
        <w:right w:val="none" w:sz="0" w:space="0" w:color="auto"/>
      </w:divBdr>
    </w:div>
    <w:div w:id="1702436060">
      <w:bodyDiv w:val="1"/>
      <w:marLeft w:val="0"/>
      <w:marRight w:val="0"/>
      <w:marTop w:val="0"/>
      <w:marBottom w:val="0"/>
      <w:divBdr>
        <w:top w:val="none" w:sz="0" w:space="0" w:color="auto"/>
        <w:left w:val="none" w:sz="0" w:space="0" w:color="auto"/>
        <w:bottom w:val="none" w:sz="0" w:space="0" w:color="auto"/>
        <w:right w:val="none" w:sz="0" w:space="0" w:color="auto"/>
      </w:divBdr>
    </w:div>
    <w:div w:id="1745368530">
      <w:bodyDiv w:val="1"/>
      <w:marLeft w:val="0"/>
      <w:marRight w:val="0"/>
      <w:marTop w:val="0"/>
      <w:marBottom w:val="0"/>
      <w:divBdr>
        <w:top w:val="none" w:sz="0" w:space="0" w:color="auto"/>
        <w:left w:val="none" w:sz="0" w:space="0" w:color="auto"/>
        <w:bottom w:val="none" w:sz="0" w:space="0" w:color="auto"/>
        <w:right w:val="none" w:sz="0" w:space="0" w:color="auto"/>
      </w:divBdr>
    </w:div>
    <w:div w:id="1789616968">
      <w:bodyDiv w:val="1"/>
      <w:marLeft w:val="0"/>
      <w:marRight w:val="0"/>
      <w:marTop w:val="0"/>
      <w:marBottom w:val="0"/>
      <w:divBdr>
        <w:top w:val="none" w:sz="0" w:space="0" w:color="auto"/>
        <w:left w:val="none" w:sz="0" w:space="0" w:color="auto"/>
        <w:bottom w:val="none" w:sz="0" w:space="0" w:color="auto"/>
        <w:right w:val="none" w:sz="0" w:space="0" w:color="auto"/>
      </w:divBdr>
    </w:div>
    <w:div w:id="1800175580">
      <w:bodyDiv w:val="1"/>
      <w:marLeft w:val="0"/>
      <w:marRight w:val="0"/>
      <w:marTop w:val="0"/>
      <w:marBottom w:val="0"/>
      <w:divBdr>
        <w:top w:val="none" w:sz="0" w:space="0" w:color="auto"/>
        <w:left w:val="none" w:sz="0" w:space="0" w:color="auto"/>
        <w:bottom w:val="none" w:sz="0" w:space="0" w:color="auto"/>
        <w:right w:val="none" w:sz="0" w:space="0" w:color="auto"/>
      </w:divBdr>
    </w:div>
    <w:div w:id="1809663669">
      <w:bodyDiv w:val="1"/>
      <w:marLeft w:val="0"/>
      <w:marRight w:val="0"/>
      <w:marTop w:val="0"/>
      <w:marBottom w:val="0"/>
      <w:divBdr>
        <w:top w:val="none" w:sz="0" w:space="0" w:color="auto"/>
        <w:left w:val="none" w:sz="0" w:space="0" w:color="auto"/>
        <w:bottom w:val="none" w:sz="0" w:space="0" w:color="auto"/>
        <w:right w:val="none" w:sz="0" w:space="0" w:color="auto"/>
      </w:divBdr>
    </w:div>
    <w:div w:id="1838691548">
      <w:bodyDiv w:val="1"/>
      <w:marLeft w:val="0"/>
      <w:marRight w:val="0"/>
      <w:marTop w:val="0"/>
      <w:marBottom w:val="0"/>
      <w:divBdr>
        <w:top w:val="none" w:sz="0" w:space="0" w:color="auto"/>
        <w:left w:val="none" w:sz="0" w:space="0" w:color="auto"/>
        <w:bottom w:val="none" w:sz="0" w:space="0" w:color="auto"/>
        <w:right w:val="none" w:sz="0" w:space="0" w:color="auto"/>
      </w:divBdr>
    </w:div>
    <w:div w:id="1841041244">
      <w:bodyDiv w:val="1"/>
      <w:marLeft w:val="0"/>
      <w:marRight w:val="0"/>
      <w:marTop w:val="0"/>
      <w:marBottom w:val="0"/>
      <w:divBdr>
        <w:top w:val="none" w:sz="0" w:space="0" w:color="auto"/>
        <w:left w:val="none" w:sz="0" w:space="0" w:color="auto"/>
        <w:bottom w:val="none" w:sz="0" w:space="0" w:color="auto"/>
        <w:right w:val="none" w:sz="0" w:space="0" w:color="auto"/>
      </w:divBdr>
    </w:div>
    <w:div w:id="1841891112">
      <w:bodyDiv w:val="1"/>
      <w:marLeft w:val="0"/>
      <w:marRight w:val="0"/>
      <w:marTop w:val="0"/>
      <w:marBottom w:val="0"/>
      <w:divBdr>
        <w:top w:val="none" w:sz="0" w:space="0" w:color="auto"/>
        <w:left w:val="none" w:sz="0" w:space="0" w:color="auto"/>
        <w:bottom w:val="none" w:sz="0" w:space="0" w:color="auto"/>
        <w:right w:val="none" w:sz="0" w:space="0" w:color="auto"/>
      </w:divBdr>
    </w:div>
    <w:div w:id="1853108752">
      <w:bodyDiv w:val="1"/>
      <w:marLeft w:val="0"/>
      <w:marRight w:val="0"/>
      <w:marTop w:val="0"/>
      <w:marBottom w:val="0"/>
      <w:divBdr>
        <w:top w:val="none" w:sz="0" w:space="0" w:color="auto"/>
        <w:left w:val="none" w:sz="0" w:space="0" w:color="auto"/>
        <w:bottom w:val="none" w:sz="0" w:space="0" w:color="auto"/>
        <w:right w:val="none" w:sz="0" w:space="0" w:color="auto"/>
      </w:divBdr>
    </w:div>
    <w:div w:id="203588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G:\RUB-17-18\Urban_Poor_Draf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invertIfNegative val="0"/>
          <c:cat>
            <c:strRef>
              <c:f>'Ministry-wise allocation'!$B$4:$B$10</c:f>
              <c:strCache>
                <c:ptCount val="7"/>
                <c:pt idx="0">
                  <c:v>2012-13 (A)</c:v>
                </c:pt>
                <c:pt idx="1">
                  <c:v>2013-14 (A)</c:v>
                </c:pt>
                <c:pt idx="2">
                  <c:v>2014-15 (A)</c:v>
                </c:pt>
                <c:pt idx="3">
                  <c:v>2015-16 (A)</c:v>
                </c:pt>
                <c:pt idx="4">
                  <c:v>2016-17 (BE)</c:v>
                </c:pt>
                <c:pt idx="5">
                  <c:v>2016-17 (RE)</c:v>
                </c:pt>
                <c:pt idx="6">
                  <c:v>2017-18 (BE)</c:v>
                </c:pt>
              </c:strCache>
            </c:strRef>
          </c:cat>
          <c:val>
            <c:numRef>
              <c:f>'Ministry-wise allocation'!$C$4:$C$10</c:f>
              <c:numCache>
                <c:formatCode>General</c:formatCode>
                <c:ptCount val="7"/>
                <c:pt idx="0">
                  <c:v>933.18</c:v>
                </c:pt>
                <c:pt idx="1">
                  <c:v>1084</c:v>
                </c:pt>
                <c:pt idx="2">
                  <c:v>2728</c:v>
                </c:pt>
                <c:pt idx="3">
                  <c:v>1760.73</c:v>
                </c:pt>
                <c:pt idx="4">
                  <c:v>5411</c:v>
                </c:pt>
                <c:pt idx="5">
                  <c:v>5285</c:v>
                </c:pt>
                <c:pt idx="6">
                  <c:v>6406</c:v>
                </c:pt>
              </c:numCache>
            </c:numRef>
          </c:val>
        </c:ser>
        <c:dLbls>
          <c:dLblPos val="outEnd"/>
          <c:showLegendKey val="0"/>
          <c:showVal val="1"/>
          <c:showCatName val="0"/>
          <c:showSerName val="0"/>
          <c:showPercent val="0"/>
          <c:showBubbleSize val="0"/>
        </c:dLbls>
        <c:gapWidth val="150"/>
        <c:axId val="93070848"/>
        <c:axId val="93072384"/>
      </c:barChart>
      <c:catAx>
        <c:axId val="93070848"/>
        <c:scaling>
          <c:orientation val="minMax"/>
        </c:scaling>
        <c:delete val="0"/>
        <c:axPos val="b"/>
        <c:numFmt formatCode="General" sourceLinked="0"/>
        <c:majorTickMark val="out"/>
        <c:minorTickMark val="none"/>
        <c:tickLblPos val="nextTo"/>
        <c:crossAx val="93072384"/>
        <c:crosses val="autoZero"/>
        <c:auto val="1"/>
        <c:lblAlgn val="ctr"/>
        <c:lblOffset val="100"/>
        <c:noMultiLvlLbl val="0"/>
      </c:catAx>
      <c:valAx>
        <c:axId val="93072384"/>
        <c:scaling>
          <c:orientation val="minMax"/>
        </c:scaling>
        <c:delete val="0"/>
        <c:axPos val="l"/>
        <c:numFmt formatCode="General" sourceLinked="1"/>
        <c:majorTickMark val="out"/>
        <c:minorTickMark val="none"/>
        <c:tickLblPos val="nextTo"/>
        <c:crossAx val="9307084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'Ministry-wise allocation'!$B$23:$B$29</c:f>
              <c:strCache>
                <c:ptCount val="7"/>
                <c:pt idx="0">
                  <c:v>2012-13 (A)</c:v>
                </c:pt>
                <c:pt idx="1">
                  <c:v>2013-14 (A)</c:v>
                </c:pt>
                <c:pt idx="2">
                  <c:v>2014-15 (A)</c:v>
                </c:pt>
                <c:pt idx="3">
                  <c:v>2015-16 (A)</c:v>
                </c:pt>
                <c:pt idx="4">
                  <c:v>2016-17 (BE)</c:v>
                </c:pt>
                <c:pt idx="5">
                  <c:v>2016-17 (RE)</c:v>
                </c:pt>
                <c:pt idx="6">
                  <c:v>2017-18 (BE)</c:v>
                </c:pt>
              </c:strCache>
            </c:strRef>
          </c:cat>
          <c:val>
            <c:numRef>
              <c:f>'Ministry-wise allocation'!$C$23:$C$29</c:f>
              <c:numCache>
                <c:formatCode>General</c:formatCode>
                <c:ptCount val="7"/>
                <c:pt idx="0">
                  <c:v>8467</c:v>
                </c:pt>
                <c:pt idx="1">
                  <c:v>9363</c:v>
                </c:pt>
                <c:pt idx="2">
                  <c:v>13254</c:v>
                </c:pt>
                <c:pt idx="3">
                  <c:v>18419.400000000001</c:v>
                </c:pt>
                <c:pt idx="4">
                  <c:v>24523</c:v>
                </c:pt>
                <c:pt idx="5">
                  <c:v>32549.8</c:v>
                </c:pt>
                <c:pt idx="6">
                  <c:v>34211.800000000003</c:v>
                </c:pt>
              </c:numCache>
            </c:numRef>
          </c:val>
        </c:ser>
        <c:dLbls>
          <c:showLegendKey val="0"/>
          <c:showVal val="0"/>
          <c:showCatName val="0"/>
          <c:showSerName val="0"/>
          <c:showPercent val="0"/>
          <c:showBubbleSize val="0"/>
        </c:dLbls>
        <c:gapWidth val="150"/>
        <c:axId val="93088384"/>
        <c:axId val="93094272"/>
      </c:barChart>
      <c:catAx>
        <c:axId val="93088384"/>
        <c:scaling>
          <c:orientation val="minMax"/>
        </c:scaling>
        <c:delete val="0"/>
        <c:axPos val="b"/>
        <c:numFmt formatCode="General" sourceLinked="0"/>
        <c:majorTickMark val="out"/>
        <c:minorTickMark val="none"/>
        <c:tickLblPos val="nextTo"/>
        <c:crossAx val="93094272"/>
        <c:crosses val="autoZero"/>
        <c:auto val="1"/>
        <c:lblAlgn val="ctr"/>
        <c:lblOffset val="100"/>
        <c:noMultiLvlLbl val="0"/>
      </c:catAx>
      <c:valAx>
        <c:axId val="93094272"/>
        <c:scaling>
          <c:orientation val="minMax"/>
        </c:scaling>
        <c:delete val="0"/>
        <c:axPos val="l"/>
        <c:numFmt formatCode="General" sourceLinked="1"/>
        <c:majorTickMark val="out"/>
        <c:minorTickMark val="none"/>
        <c:tickLblPos val="nextTo"/>
        <c:crossAx val="9308838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Priyanka</cp:lastModifiedBy>
  <cp:revision>2</cp:revision>
  <cp:lastPrinted>2017-02-01T18:27:00Z</cp:lastPrinted>
  <dcterms:created xsi:type="dcterms:W3CDTF">2017-02-02T01:19:00Z</dcterms:created>
  <dcterms:modified xsi:type="dcterms:W3CDTF">2017-02-02T01:19:00Z</dcterms:modified>
</cp:coreProperties>
</file>