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74" w:rsidRPr="004C138C" w:rsidRDefault="00F06BAC" w:rsidP="004C138C">
      <w:pPr>
        <w:jc w:val="center"/>
        <w:rPr>
          <w:b/>
        </w:rPr>
      </w:pPr>
      <w:bookmarkStart w:id="0" w:name="_GoBack"/>
      <w:bookmarkEnd w:id="0"/>
      <w:r w:rsidRPr="004C138C">
        <w:rPr>
          <w:b/>
        </w:rPr>
        <w:t xml:space="preserve">11. </w:t>
      </w:r>
      <w:r w:rsidR="00E93274" w:rsidRPr="004C138C">
        <w:rPr>
          <w:b/>
        </w:rPr>
        <w:t>WOMEN</w:t>
      </w:r>
    </w:p>
    <w:p w:rsidR="0009720E" w:rsidRDefault="00773ABB">
      <w:r>
        <w:rPr>
          <w:noProof/>
          <w:lang w:eastAsia="en-IN"/>
        </w:rPr>
        <mc:AlternateContent>
          <mc:Choice Requires="wps">
            <w:drawing>
              <wp:anchor distT="0" distB="0" distL="114300" distR="114300" simplePos="0" relativeHeight="251659264" behindDoc="0" locked="0" layoutInCell="1" allowOverlap="1" wp14:anchorId="7B112F05" wp14:editId="5D45CD06">
                <wp:simplePos x="0" y="0"/>
                <wp:positionH relativeFrom="column">
                  <wp:posOffset>-333955</wp:posOffset>
                </wp:positionH>
                <wp:positionV relativeFrom="paragraph">
                  <wp:posOffset>34594</wp:posOffset>
                </wp:positionV>
                <wp:extent cx="6631388" cy="3077154"/>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8" cy="3077154"/>
                        </a:xfrm>
                        <a:prstGeom prst="rect">
                          <a:avLst/>
                        </a:prstGeom>
                        <a:solidFill>
                          <a:srgbClr val="FFFFFF"/>
                        </a:solidFill>
                        <a:ln w="9525">
                          <a:solidFill>
                            <a:srgbClr val="000000"/>
                          </a:solidFill>
                          <a:miter lim="800000"/>
                          <a:headEnd/>
                          <a:tailEnd/>
                        </a:ln>
                      </wps:spPr>
                      <wps:txbx>
                        <w:txbxContent>
                          <w:p w:rsidR="00AB10E5" w:rsidRPr="00A41870" w:rsidRDefault="00AB10E5" w:rsidP="00AB10E5">
                            <w:pPr>
                              <w:jc w:val="center"/>
                              <w:rPr>
                                <w:b/>
                              </w:rPr>
                            </w:pPr>
                            <w:r w:rsidRPr="00A41870">
                              <w:rPr>
                                <w:b/>
                              </w:rPr>
                              <w:t>Highlights</w:t>
                            </w:r>
                          </w:p>
                          <w:p w:rsidR="00B01A65" w:rsidRDefault="00B01A65" w:rsidP="00B01A65">
                            <w:pPr>
                              <w:pStyle w:val="ListParagraph"/>
                              <w:numPr>
                                <w:ilvl w:val="0"/>
                                <w:numId w:val="1"/>
                              </w:numPr>
                              <w:jc w:val="both"/>
                            </w:pPr>
                            <w:r>
                              <w:t>The allocations to Ministry of Women and Child Development have increased from Rs.17,408 crore in 2016-17 (BE) to Rs. 22,09</w:t>
                            </w:r>
                            <w:r w:rsidR="005F2C33">
                              <w:t>5</w:t>
                            </w:r>
                            <w:r>
                              <w:t xml:space="preserve"> crore in 2017-18 (BE)</w:t>
                            </w:r>
                          </w:p>
                          <w:p w:rsidR="00B01A65" w:rsidRDefault="00B01A65" w:rsidP="00B01A65">
                            <w:pPr>
                              <w:pStyle w:val="ListParagraph"/>
                              <w:numPr>
                                <w:ilvl w:val="0"/>
                                <w:numId w:val="1"/>
                              </w:numPr>
                              <w:jc w:val="both"/>
                            </w:pPr>
                            <w:r>
                              <w:t>Total magnitude of the Gender Budget Statement is Rs.</w:t>
                            </w:r>
                            <w:r w:rsidRPr="00E948ED">
                              <w:t xml:space="preserve"> </w:t>
                            </w:r>
                            <w:r>
                              <w:t>1, 13,32</w:t>
                            </w:r>
                            <w:r w:rsidR="005F2C33">
                              <w:t>7</w:t>
                            </w:r>
                            <w:r>
                              <w:t xml:space="preserve"> crore in 2017-18 (BE) as compared to Rs.90, 7</w:t>
                            </w:r>
                            <w:r w:rsidR="005F2C33">
                              <w:t>70</w:t>
                            </w:r>
                            <w:r>
                              <w:t xml:space="preserve"> crore in 2016-17 (BE).</w:t>
                            </w:r>
                          </w:p>
                          <w:p w:rsidR="00B01A65" w:rsidRPr="00B01A65" w:rsidRDefault="00B01A65" w:rsidP="00B01A65">
                            <w:pPr>
                              <w:pStyle w:val="ListParagraph"/>
                              <w:numPr>
                                <w:ilvl w:val="0"/>
                                <w:numId w:val="1"/>
                              </w:numPr>
                              <w:jc w:val="both"/>
                            </w:pPr>
                            <w:r>
                              <w:t xml:space="preserve">An allocation of </w:t>
                            </w:r>
                            <w:proofErr w:type="spellStart"/>
                            <w:r>
                              <w:t>Rs</w:t>
                            </w:r>
                            <w:proofErr w:type="spellEnd"/>
                            <w:r>
                              <w:t>.</w:t>
                            </w:r>
                            <w:r w:rsidR="002A7D0A">
                              <w:t xml:space="preserve"> </w:t>
                            </w:r>
                            <w:r>
                              <w:t xml:space="preserve">2, 700 crore in 2017-18 (BE) to Maternity Benefit Programme (formerly known as </w:t>
                            </w:r>
                            <w:r w:rsidRPr="00BC44BE">
                              <w:rPr>
                                <w:i/>
                              </w:rPr>
                              <w:t xml:space="preserve">Indira Gandhi </w:t>
                            </w:r>
                            <w:proofErr w:type="spellStart"/>
                            <w:r w:rsidRPr="00BC44BE">
                              <w:rPr>
                                <w:i/>
                              </w:rPr>
                              <w:t>Matritva</w:t>
                            </w:r>
                            <w:proofErr w:type="spellEnd"/>
                            <w:r w:rsidRPr="00BC44BE">
                              <w:rPr>
                                <w:i/>
                              </w:rPr>
                              <w:t xml:space="preserve"> </w:t>
                            </w:r>
                            <w:proofErr w:type="spellStart"/>
                            <w:r w:rsidRPr="00BC44BE">
                              <w:rPr>
                                <w:i/>
                              </w:rPr>
                              <w:t>Sahayog</w:t>
                            </w:r>
                            <w:proofErr w:type="spellEnd"/>
                            <w:r w:rsidRPr="00BC44BE">
                              <w:rPr>
                                <w:i/>
                              </w:rPr>
                              <w:t xml:space="preserve"> </w:t>
                            </w:r>
                            <w:proofErr w:type="spellStart"/>
                            <w:r w:rsidRPr="00BC44BE">
                              <w:rPr>
                                <w:i/>
                              </w:rPr>
                              <w:t>Yojana</w:t>
                            </w:r>
                            <w:proofErr w:type="spellEnd"/>
                            <w:r>
                              <w:t>).</w:t>
                            </w:r>
                          </w:p>
                          <w:p w:rsidR="00AB10E5" w:rsidRDefault="00AB10E5" w:rsidP="00AB10E5">
                            <w:pPr>
                              <w:pStyle w:val="ListParagraph"/>
                              <w:numPr>
                                <w:ilvl w:val="0"/>
                                <w:numId w:val="1"/>
                              </w:numPr>
                              <w:jc w:val="both"/>
                            </w:pPr>
                            <w:proofErr w:type="spellStart"/>
                            <w:r w:rsidRPr="00FC45F1">
                              <w:rPr>
                                <w:i/>
                              </w:rPr>
                              <w:t>Mahila</w:t>
                            </w:r>
                            <w:proofErr w:type="spellEnd"/>
                            <w:r w:rsidRPr="00FC45F1">
                              <w:rPr>
                                <w:i/>
                              </w:rPr>
                              <w:t xml:space="preserve"> Shakti </w:t>
                            </w:r>
                            <w:proofErr w:type="spellStart"/>
                            <w:r w:rsidRPr="00FC45F1">
                              <w:rPr>
                                <w:i/>
                              </w:rPr>
                              <w:t>Kendra</w:t>
                            </w:r>
                            <w:r w:rsidR="00B01A65">
                              <w:rPr>
                                <w:i/>
                              </w:rPr>
                              <w:t>s</w:t>
                            </w:r>
                            <w:proofErr w:type="spellEnd"/>
                            <w:r w:rsidR="00B01A65">
                              <w:rPr>
                                <w:i/>
                              </w:rPr>
                              <w:t xml:space="preserve"> </w:t>
                            </w:r>
                            <w:r w:rsidR="00AD672C">
                              <w:t xml:space="preserve">with an allocation of Rs. 500 crore </w:t>
                            </w:r>
                            <w:r w:rsidR="00B01A65">
                              <w:t xml:space="preserve">to </w:t>
                            </w:r>
                            <w:r>
                              <w:t xml:space="preserve">be set up at village level in 14 lakh ICDS </w:t>
                            </w:r>
                            <w:proofErr w:type="spellStart"/>
                            <w:r w:rsidRPr="00B41D16">
                              <w:rPr>
                                <w:i/>
                              </w:rPr>
                              <w:t>Anganwadi</w:t>
                            </w:r>
                            <w:proofErr w:type="spellEnd"/>
                            <w:r>
                              <w:t xml:space="preserve"> Centres. This will provide one stop convergent support services for empowering rural women with opportunities for skill development, employment, digital literacy, health and nutrition.</w:t>
                            </w:r>
                          </w:p>
                          <w:p w:rsidR="00333393" w:rsidRDefault="00333393" w:rsidP="00AB10E5">
                            <w:pPr>
                              <w:pStyle w:val="ListParagraph"/>
                              <w:numPr>
                                <w:ilvl w:val="0"/>
                                <w:numId w:val="1"/>
                              </w:numPr>
                              <w:jc w:val="both"/>
                            </w:pPr>
                            <w:r>
                              <w:t xml:space="preserve">An action plan to reduce </w:t>
                            </w:r>
                            <w:r w:rsidR="006E3BE0">
                              <w:t>Infant Mortality Rate</w:t>
                            </w:r>
                            <w:r>
                              <w:t xml:space="preserve"> from 39 in 2014 to 28 by 2019 and </w:t>
                            </w:r>
                            <w:r w:rsidR="006E3BE0">
                              <w:t>Maternal Mortality Rate</w:t>
                            </w:r>
                            <w:r>
                              <w:t xml:space="preserve"> from 167 in 2011-13 to 100 </w:t>
                            </w:r>
                            <w:r w:rsidR="00B41D16">
                              <w:t>by 2018-2020 has been announced, though details are still awaited.</w:t>
                            </w:r>
                            <w:r w:rsidR="0018779C">
                              <w:t xml:space="preserve"> </w:t>
                            </w:r>
                          </w:p>
                          <w:p w:rsidR="00AD672C" w:rsidRDefault="00AD672C" w:rsidP="00AD672C">
                            <w:pPr>
                              <w:pStyle w:val="ListParagraph"/>
                              <w:numPr>
                                <w:ilvl w:val="0"/>
                                <w:numId w:val="1"/>
                              </w:numPr>
                              <w:jc w:val="both"/>
                            </w:pPr>
                            <w:r>
                              <w:t xml:space="preserve">Under </w:t>
                            </w:r>
                            <w:r w:rsidRPr="00390724">
                              <w:rPr>
                                <w:i/>
                              </w:rPr>
                              <w:t xml:space="preserve">Pradhan </w:t>
                            </w:r>
                            <w:proofErr w:type="spellStart"/>
                            <w:r w:rsidRPr="00390724">
                              <w:rPr>
                                <w:i/>
                              </w:rPr>
                              <w:t>Mantri</w:t>
                            </w:r>
                            <w:proofErr w:type="spellEnd"/>
                            <w:r w:rsidRPr="00390724">
                              <w:rPr>
                                <w:i/>
                              </w:rPr>
                              <w:t xml:space="preserve"> Mudra </w:t>
                            </w:r>
                            <w:proofErr w:type="spellStart"/>
                            <w:r w:rsidRPr="00390724">
                              <w:rPr>
                                <w:i/>
                              </w:rPr>
                              <w:t>Yojana</w:t>
                            </w:r>
                            <w:proofErr w:type="spellEnd"/>
                            <w:r>
                              <w:t xml:space="preserve">, it is proposed to double the lending target of 2015-16 and set it at </w:t>
                            </w:r>
                            <w:proofErr w:type="spellStart"/>
                            <w:r>
                              <w:t>Rs</w:t>
                            </w:r>
                            <w:proofErr w:type="spellEnd"/>
                            <w:r>
                              <w:t xml:space="preserve">. 2.44 lakh crore. Priority will be given to women, besides </w:t>
                            </w:r>
                            <w:r w:rsidR="00B41D16" w:rsidRPr="00B41D16">
                              <w:rPr>
                                <w:i/>
                              </w:rPr>
                              <w:t>Dalits</w:t>
                            </w:r>
                            <w:r>
                              <w:t xml:space="preserve">, </w:t>
                            </w:r>
                            <w:proofErr w:type="spellStart"/>
                            <w:r w:rsidR="00B41D16" w:rsidRPr="00B41D16">
                              <w:rPr>
                                <w:i/>
                              </w:rPr>
                              <w:t>Adivasis</w:t>
                            </w:r>
                            <w:proofErr w:type="spellEnd"/>
                            <w:r>
                              <w:t>, backward classes and minorities.</w:t>
                            </w:r>
                          </w:p>
                          <w:p w:rsidR="00AD672C" w:rsidRDefault="00AD672C" w:rsidP="00AB10E5">
                            <w:pPr>
                              <w:pStyle w:val="ListParagraph"/>
                              <w:numPr>
                                <w:ilvl w:val="0"/>
                                <w:numId w:val="1"/>
                              </w:numPr>
                              <w:jc w:val="both"/>
                            </w:pPr>
                          </w:p>
                          <w:p w:rsidR="00AB10E5" w:rsidRDefault="00AB10E5" w:rsidP="00AB10E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3pt;margin-top:2.7pt;width:522.15pt;height:2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">
                <v:textbox>
                  <w:txbxContent>
                    <w:p w:rsidR="00AB10E5" w:rsidRPr="00A41870" w:rsidRDefault="00AB10E5" w:rsidP="00AB10E5">
                      <w:pPr>
                        <w:jc w:val="center"/>
                        <w:rPr>
                          <w:b/>
                        </w:rPr>
                      </w:pPr>
                      <w:r w:rsidRPr="00A41870">
                        <w:rPr>
                          <w:b/>
                        </w:rPr>
                        <w:t>Highlights</w:t>
                      </w:r>
                    </w:p>
                    <w:p w:rsidR="00B01A65" w:rsidRDefault="00B01A65" w:rsidP="00B01A65">
                      <w:pPr>
                        <w:pStyle w:val="ListParagraph"/>
                        <w:numPr>
                          <w:ilvl w:val="0"/>
                          <w:numId w:val="1"/>
                        </w:numPr>
                        <w:jc w:val="both"/>
                      </w:pPr>
                      <w:r>
                        <w:t>The allocations to Ministry of Women and Child Development have increased from Rs.17,408 crore in 2016-17 (BE) to Rs. 22,09</w:t>
                      </w:r>
                      <w:r w:rsidR="005F2C33">
                        <w:t>5</w:t>
                      </w:r>
                      <w:r>
                        <w:t xml:space="preserve"> crore in 2017-18 (BE)</w:t>
                      </w:r>
                    </w:p>
                    <w:p w:rsidR="00B01A65" w:rsidRDefault="00B01A65" w:rsidP="00B01A65">
                      <w:pPr>
                        <w:pStyle w:val="ListParagraph"/>
                        <w:numPr>
                          <w:ilvl w:val="0"/>
                          <w:numId w:val="1"/>
                        </w:numPr>
                        <w:jc w:val="both"/>
                      </w:pPr>
                      <w:r>
                        <w:t>Total magnitude of the Gender Budget Statement is Rs.</w:t>
                      </w:r>
                      <w:r w:rsidRPr="00E948ED">
                        <w:t xml:space="preserve"> </w:t>
                      </w:r>
                      <w:r>
                        <w:t>1, 13,32</w:t>
                      </w:r>
                      <w:r w:rsidR="005F2C33">
                        <w:t>7</w:t>
                      </w:r>
                      <w:r>
                        <w:t xml:space="preserve"> crore in 2017-18 (BE) as compared to Rs.90, 7</w:t>
                      </w:r>
                      <w:r w:rsidR="005F2C33">
                        <w:t>70</w:t>
                      </w:r>
                      <w:r>
                        <w:t xml:space="preserve"> crore in 2016-17 (BE).</w:t>
                      </w:r>
                    </w:p>
                    <w:p w:rsidR="00B01A65" w:rsidRPr="00B01A65" w:rsidRDefault="00B01A65" w:rsidP="00B01A65">
                      <w:pPr>
                        <w:pStyle w:val="ListParagraph"/>
                        <w:numPr>
                          <w:ilvl w:val="0"/>
                          <w:numId w:val="1"/>
                        </w:numPr>
                        <w:jc w:val="both"/>
                      </w:pPr>
                      <w:r>
                        <w:t xml:space="preserve">An allocation of </w:t>
                      </w:r>
                      <w:proofErr w:type="spellStart"/>
                      <w:r>
                        <w:t>Rs</w:t>
                      </w:r>
                      <w:proofErr w:type="spellEnd"/>
                      <w:r>
                        <w:t>.</w:t>
                      </w:r>
                      <w:r w:rsidR="002A7D0A">
                        <w:t xml:space="preserve"> </w:t>
                      </w:r>
                      <w:r>
                        <w:t xml:space="preserve">2, 700 crore in 2017-18 (BE) to Maternity Benefit Programme (formerly known as </w:t>
                      </w:r>
                      <w:r w:rsidRPr="00BC44BE">
                        <w:rPr>
                          <w:i/>
                        </w:rPr>
                        <w:t xml:space="preserve">Indira Gandhi </w:t>
                      </w:r>
                      <w:proofErr w:type="spellStart"/>
                      <w:r w:rsidRPr="00BC44BE">
                        <w:rPr>
                          <w:i/>
                        </w:rPr>
                        <w:t>Matritva</w:t>
                      </w:r>
                      <w:proofErr w:type="spellEnd"/>
                      <w:r w:rsidRPr="00BC44BE">
                        <w:rPr>
                          <w:i/>
                        </w:rPr>
                        <w:t xml:space="preserve"> </w:t>
                      </w:r>
                      <w:proofErr w:type="spellStart"/>
                      <w:r w:rsidRPr="00BC44BE">
                        <w:rPr>
                          <w:i/>
                        </w:rPr>
                        <w:t>Sahayog</w:t>
                      </w:r>
                      <w:proofErr w:type="spellEnd"/>
                      <w:r w:rsidRPr="00BC44BE">
                        <w:rPr>
                          <w:i/>
                        </w:rPr>
                        <w:t xml:space="preserve"> </w:t>
                      </w:r>
                      <w:proofErr w:type="spellStart"/>
                      <w:r w:rsidRPr="00BC44BE">
                        <w:rPr>
                          <w:i/>
                        </w:rPr>
                        <w:t>Yojana</w:t>
                      </w:r>
                      <w:proofErr w:type="spellEnd"/>
                      <w:r>
                        <w:t>).</w:t>
                      </w:r>
                    </w:p>
                    <w:p w:rsidR="00AB10E5" w:rsidRDefault="00AB10E5" w:rsidP="00AB10E5">
                      <w:pPr>
                        <w:pStyle w:val="ListParagraph"/>
                        <w:numPr>
                          <w:ilvl w:val="0"/>
                          <w:numId w:val="1"/>
                        </w:numPr>
                        <w:jc w:val="both"/>
                      </w:pPr>
                      <w:proofErr w:type="spellStart"/>
                      <w:r w:rsidRPr="00FC45F1">
                        <w:rPr>
                          <w:i/>
                        </w:rPr>
                        <w:t>Mahila</w:t>
                      </w:r>
                      <w:proofErr w:type="spellEnd"/>
                      <w:r w:rsidRPr="00FC45F1">
                        <w:rPr>
                          <w:i/>
                        </w:rPr>
                        <w:t xml:space="preserve"> Shakti </w:t>
                      </w:r>
                      <w:proofErr w:type="spellStart"/>
                      <w:r w:rsidRPr="00FC45F1">
                        <w:rPr>
                          <w:i/>
                        </w:rPr>
                        <w:t>Kendra</w:t>
                      </w:r>
                      <w:r w:rsidR="00B01A65">
                        <w:rPr>
                          <w:i/>
                        </w:rPr>
                        <w:t>s</w:t>
                      </w:r>
                      <w:proofErr w:type="spellEnd"/>
                      <w:r w:rsidR="00B01A65">
                        <w:rPr>
                          <w:i/>
                        </w:rPr>
                        <w:t xml:space="preserve"> </w:t>
                      </w:r>
                      <w:r w:rsidR="00AD672C">
                        <w:t xml:space="preserve">with an allocation of Rs. 500 crore </w:t>
                      </w:r>
                      <w:r w:rsidR="00B01A65">
                        <w:t xml:space="preserve">to </w:t>
                      </w:r>
                      <w:r>
                        <w:t xml:space="preserve">be set up at village level in 14 lakh ICDS </w:t>
                      </w:r>
                      <w:proofErr w:type="spellStart"/>
                      <w:r w:rsidRPr="00B41D16">
                        <w:rPr>
                          <w:i/>
                        </w:rPr>
                        <w:t>Anganwadi</w:t>
                      </w:r>
                      <w:proofErr w:type="spellEnd"/>
                      <w:r>
                        <w:t xml:space="preserve"> Centres. This will provide one stop convergent support services for empowering rural women with opportunities for skill development, employment, digital literacy, health and nutrition.</w:t>
                      </w:r>
                    </w:p>
                    <w:p w:rsidR="00333393" w:rsidRDefault="00333393" w:rsidP="00AB10E5">
                      <w:pPr>
                        <w:pStyle w:val="ListParagraph"/>
                        <w:numPr>
                          <w:ilvl w:val="0"/>
                          <w:numId w:val="1"/>
                        </w:numPr>
                        <w:jc w:val="both"/>
                      </w:pPr>
                      <w:r>
                        <w:t>An action plan to redu</w:t>
                      </w:r>
                      <w:bookmarkStart w:id="1" w:name="_GoBack"/>
                      <w:bookmarkEnd w:id="1"/>
                      <w:r>
                        <w:t xml:space="preserve">ce </w:t>
                      </w:r>
                      <w:r w:rsidR="006E3BE0">
                        <w:t>Infant Mortality Rate</w:t>
                      </w:r>
                      <w:r>
                        <w:t xml:space="preserve"> from 39 in 2014 to 28 by 2019 and </w:t>
                      </w:r>
                      <w:r w:rsidR="006E3BE0">
                        <w:t>Maternal Mortality Rate</w:t>
                      </w:r>
                      <w:r>
                        <w:t xml:space="preserve"> from 167 in 2011-13 to 100 </w:t>
                      </w:r>
                      <w:r w:rsidR="00B41D16">
                        <w:t>by 2018-2020 has been announced, though details are still awaited.</w:t>
                      </w:r>
                      <w:r w:rsidR="0018779C">
                        <w:t xml:space="preserve"> </w:t>
                      </w:r>
                    </w:p>
                    <w:p w:rsidR="00AD672C" w:rsidRDefault="00AD672C" w:rsidP="00AD672C">
                      <w:pPr>
                        <w:pStyle w:val="ListParagraph"/>
                        <w:numPr>
                          <w:ilvl w:val="0"/>
                          <w:numId w:val="1"/>
                        </w:numPr>
                        <w:jc w:val="both"/>
                      </w:pPr>
                      <w:r>
                        <w:t xml:space="preserve">Under </w:t>
                      </w:r>
                      <w:r w:rsidRPr="00390724">
                        <w:rPr>
                          <w:i/>
                        </w:rPr>
                        <w:t xml:space="preserve">Pradhan </w:t>
                      </w:r>
                      <w:proofErr w:type="spellStart"/>
                      <w:r w:rsidRPr="00390724">
                        <w:rPr>
                          <w:i/>
                        </w:rPr>
                        <w:t>Mantri</w:t>
                      </w:r>
                      <w:proofErr w:type="spellEnd"/>
                      <w:r w:rsidRPr="00390724">
                        <w:rPr>
                          <w:i/>
                        </w:rPr>
                        <w:t xml:space="preserve"> Mudra </w:t>
                      </w:r>
                      <w:proofErr w:type="spellStart"/>
                      <w:r w:rsidRPr="00390724">
                        <w:rPr>
                          <w:i/>
                        </w:rPr>
                        <w:t>Yojana</w:t>
                      </w:r>
                      <w:proofErr w:type="spellEnd"/>
                      <w:r>
                        <w:t xml:space="preserve">, it is proposed to double the lending target of 2015-16 and set it at </w:t>
                      </w:r>
                      <w:proofErr w:type="spellStart"/>
                      <w:r>
                        <w:t>Rs</w:t>
                      </w:r>
                      <w:proofErr w:type="spellEnd"/>
                      <w:r>
                        <w:t xml:space="preserve">. 2.44 lakh crore. Priority will be given to women, besides </w:t>
                      </w:r>
                      <w:r w:rsidR="00B41D16" w:rsidRPr="00B41D16">
                        <w:rPr>
                          <w:i/>
                        </w:rPr>
                        <w:t>Dalits</w:t>
                      </w:r>
                      <w:r>
                        <w:t xml:space="preserve">, </w:t>
                      </w:r>
                      <w:proofErr w:type="spellStart"/>
                      <w:r w:rsidR="00B41D16" w:rsidRPr="00B41D16">
                        <w:rPr>
                          <w:i/>
                        </w:rPr>
                        <w:t>Adivasis</w:t>
                      </w:r>
                      <w:proofErr w:type="spellEnd"/>
                      <w:r>
                        <w:t>, backward classes and minorities.</w:t>
                      </w:r>
                    </w:p>
                    <w:p w:rsidR="00AD672C" w:rsidRDefault="00AD672C" w:rsidP="00AB10E5">
                      <w:pPr>
                        <w:pStyle w:val="ListParagraph"/>
                        <w:numPr>
                          <w:ilvl w:val="0"/>
                          <w:numId w:val="1"/>
                        </w:numPr>
                        <w:jc w:val="both"/>
                      </w:pPr>
                    </w:p>
                    <w:p w:rsidR="00AB10E5" w:rsidRDefault="00AB10E5" w:rsidP="00AB10E5">
                      <w:pPr>
                        <w:jc w:val="center"/>
                      </w:pPr>
                    </w:p>
                  </w:txbxContent>
                </v:textbox>
              </v:shape>
            </w:pict>
          </mc:Fallback>
        </mc:AlternateContent>
      </w:r>
    </w:p>
    <w:p w:rsidR="00AB10E5" w:rsidRDefault="00AB10E5"/>
    <w:p w:rsidR="00AB10E5" w:rsidRDefault="00AB10E5"/>
    <w:p w:rsidR="00AB10E5" w:rsidRDefault="00AB10E5"/>
    <w:p w:rsidR="00AB10E5" w:rsidRDefault="00AB10E5"/>
    <w:p w:rsidR="00AB10E5" w:rsidRDefault="00AB10E5"/>
    <w:p w:rsidR="00AB10E5" w:rsidRDefault="00AB10E5"/>
    <w:p w:rsidR="00AB10E5" w:rsidRDefault="00AB10E5"/>
    <w:p w:rsidR="00AB10E5" w:rsidRDefault="00AB10E5"/>
    <w:p w:rsidR="00390724" w:rsidRDefault="00390724" w:rsidP="00390724">
      <w:pPr>
        <w:pStyle w:val="ListParagraph"/>
      </w:pPr>
    </w:p>
    <w:p w:rsidR="0028714C" w:rsidRDefault="0028714C" w:rsidP="00333393">
      <w:pPr>
        <w:pStyle w:val="ListParagraph"/>
        <w:rPr>
          <w:b/>
        </w:rPr>
      </w:pPr>
    </w:p>
    <w:p w:rsidR="00B9191D" w:rsidRDefault="00B9191D" w:rsidP="003D0BDF">
      <w:pPr>
        <w:pStyle w:val="ListParagraph"/>
        <w:spacing w:before="120" w:after="120"/>
        <w:ind w:left="-425" w:right="-471"/>
        <w:contextualSpacing w:val="0"/>
        <w:jc w:val="both"/>
      </w:pPr>
      <w:r>
        <w:t>The persistence of gender inequality reflected in socio</w:t>
      </w:r>
      <w:r w:rsidR="00975B61">
        <w:t>-</w:t>
      </w:r>
      <w:r>
        <w:t xml:space="preserve"> economic indicators and </w:t>
      </w:r>
      <w:r w:rsidR="0044416A">
        <w:t>the increasing</w:t>
      </w:r>
      <w:r>
        <w:t xml:space="preserve"> incidence of violence against women</w:t>
      </w:r>
      <w:r w:rsidR="0044416A">
        <w:t xml:space="preserve"> in the country underscore</w:t>
      </w:r>
      <w:r w:rsidR="002B7D23">
        <w:t>s</w:t>
      </w:r>
      <w:r w:rsidR="0044416A">
        <w:t xml:space="preserve"> the </w:t>
      </w:r>
      <w:r>
        <w:t xml:space="preserve">need </w:t>
      </w:r>
      <w:r w:rsidR="0044416A">
        <w:t xml:space="preserve">for substantive measures to be implemented by the </w:t>
      </w:r>
      <w:r w:rsidR="00975B61">
        <w:t>government</w:t>
      </w:r>
      <w:r w:rsidR="0044416A">
        <w:t xml:space="preserve">. </w:t>
      </w:r>
      <w:r>
        <w:t xml:space="preserve">Women experience </w:t>
      </w:r>
      <w:r w:rsidR="00E10D66">
        <w:t xml:space="preserve">distinct </w:t>
      </w:r>
      <w:r>
        <w:t>disadvantage</w:t>
      </w:r>
      <w:r w:rsidR="00E10D66">
        <w:t>s</w:t>
      </w:r>
      <w:r>
        <w:t xml:space="preserve"> </w:t>
      </w:r>
      <w:r w:rsidR="00E10D66">
        <w:t xml:space="preserve">and budgets </w:t>
      </w:r>
      <w:r w:rsidR="00975B61">
        <w:t xml:space="preserve">are an important policy instrument </w:t>
      </w:r>
      <w:r w:rsidR="00A9442D">
        <w:t xml:space="preserve">to address </w:t>
      </w:r>
      <w:r w:rsidR="00975B61">
        <w:t>these.</w:t>
      </w:r>
      <w:r w:rsidR="005F5A5F">
        <w:t xml:space="preserve"> </w:t>
      </w:r>
      <w:r w:rsidR="00A9442D">
        <w:t>The following sections analyses the gender responsiveness of Union Budget 2017-18; this is undert</w:t>
      </w:r>
      <w:r w:rsidR="003D0BDF">
        <w:t xml:space="preserve">aken through an analysis of the allocations of major schemes of the Ministry of Women and Child Development (MWCD) and the Gender Budget Statement (GBS). </w:t>
      </w:r>
    </w:p>
    <w:p w:rsidR="003D0BDF" w:rsidRDefault="003D0BDF" w:rsidP="003A42AC">
      <w:pPr>
        <w:pStyle w:val="ListParagraph"/>
        <w:spacing w:before="120" w:after="0"/>
        <w:ind w:left="-425" w:right="-471"/>
        <w:contextualSpacing w:val="0"/>
        <w:jc w:val="both"/>
        <w:rPr>
          <w:b/>
        </w:rPr>
      </w:pPr>
      <w:r w:rsidRPr="003D0BDF">
        <w:rPr>
          <w:b/>
        </w:rPr>
        <w:t xml:space="preserve">Budgetary Outlays for Ministry of Women and Child Development </w:t>
      </w:r>
    </w:p>
    <w:p w:rsidR="003D0BDF" w:rsidRPr="00BD6EA2" w:rsidRDefault="00BD6EA2" w:rsidP="003A42AC">
      <w:pPr>
        <w:pStyle w:val="ListParagraph"/>
        <w:spacing w:after="0"/>
        <w:ind w:left="-426" w:right="-472"/>
        <w:jc w:val="both"/>
      </w:pPr>
      <w:r w:rsidRPr="00BD6EA2">
        <w:t>MWCD</w:t>
      </w:r>
      <w:r>
        <w:t xml:space="preserve"> is the nodal ministry to formulate and implement </w:t>
      </w:r>
      <w:r w:rsidRPr="00BD6EA2">
        <w:rPr>
          <w:rStyle w:val="Strong"/>
          <w:rFonts w:cs="Arial"/>
          <w:b w:val="0"/>
          <w:color w:val="000000"/>
          <w:szCs w:val="21"/>
          <w:shd w:val="clear" w:color="auto" w:fill="FFFFFF"/>
        </w:rPr>
        <w:t>plans, policies and programmes</w:t>
      </w:r>
      <w:r>
        <w:rPr>
          <w:rStyle w:val="Strong"/>
          <w:rFonts w:cs="Arial"/>
          <w:b w:val="0"/>
          <w:color w:val="000000"/>
          <w:szCs w:val="21"/>
          <w:shd w:val="clear" w:color="auto" w:fill="FFFFFF"/>
        </w:rPr>
        <w:t xml:space="preserve"> for the empowerment of women. </w:t>
      </w:r>
      <w:r w:rsidR="00BE651D">
        <w:rPr>
          <w:rStyle w:val="Strong"/>
          <w:rFonts w:cs="Arial"/>
          <w:b w:val="0"/>
          <w:color w:val="000000"/>
          <w:szCs w:val="21"/>
          <w:shd w:val="clear" w:color="auto" w:fill="FFFFFF"/>
        </w:rPr>
        <w:t xml:space="preserve">Table 11.1 </w:t>
      </w:r>
      <w:r w:rsidR="008130E1">
        <w:rPr>
          <w:rStyle w:val="Strong"/>
          <w:rFonts w:cs="Arial"/>
          <w:b w:val="0"/>
          <w:color w:val="000000"/>
          <w:szCs w:val="21"/>
          <w:shd w:val="clear" w:color="auto" w:fill="FFFFFF"/>
        </w:rPr>
        <w:t xml:space="preserve">presents the budgetary outlays for some of MWCD’s key programmes for women. </w:t>
      </w:r>
    </w:p>
    <w:p w:rsidR="00333393" w:rsidRPr="00800311" w:rsidRDefault="00800311" w:rsidP="00333393">
      <w:pPr>
        <w:pStyle w:val="ListParagraph"/>
        <w:rPr>
          <w:b/>
        </w:rPr>
      </w:pPr>
      <w:r w:rsidRPr="00800311">
        <w:rPr>
          <w:b/>
        </w:rPr>
        <w:t>Table 11.1: Outlays for Ministry of Women and Child Development (Rs. crore)</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983"/>
        <w:gridCol w:w="1001"/>
        <w:gridCol w:w="992"/>
        <w:gridCol w:w="993"/>
        <w:gridCol w:w="992"/>
        <w:gridCol w:w="1134"/>
        <w:gridCol w:w="992"/>
      </w:tblGrid>
      <w:tr w:rsidR="00D7470B" w:rsidRPr="00DE6457" w:rsidTr="00D7470B">
        <w:trPr>
          <w:trHeight w:val="610"/>
        </w:trPr>
        <w:tc>
          <w:tcPr>
            <w:tcW w:w="3403" w:type="dxa"/>
            <w:shd w:val="clear" w:color="auto" w:fill="auto"/>
            <w:noWrap/>
            <w:vAlign w:val="bottom"/>
            <w:hideMark/>
          </w:tcPr>
          <w:p w:rsidR="00D7470B" w:rsidRPr="00DE6457" w:rsidRDefault="00D7470B"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p w:rsidR="00D7470B" w:rsidRPr="00976C37" w:rsidRDefault="00D7470B"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tc>
        <w:tc>
          <w:tcPr>
            <w:tcW w:w="983"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2012-13</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w:t>
            </w:r>
          </w:p>
        </w:tc>
        <w:tc>
          <w:tcPr>
            <w:tcW w:w="1001"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2013-14</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w:t>
            </w:r>
          </w:p>
        </w:tc>
        <w:tc>
          <w:tcPr>
            <w:tcW w:w="992"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2014-15</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w:t>
            </w:r>
          </w:p>
        </w:tc>
        <w:tc>
          <w:tcPr>
            <w:tcW w:w="993"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2015-16</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w:t>
            </w:r>
          </w:p>
        </w:tc>
        <w:tc>
          <w:tcPr>
            <w:tcW w:w="992"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2016-17</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BE</w:t>
            </w:r>
          </w:p>
        </w:tc>
        <w:tc>
          <w:tcPr>
            <w:tcW w:w="1134"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2016-17</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RE</w:t>
            </w:r>
          </w:p>
        </w:tc>
        <w:tc>
          <w:tcPr>
            <w:tcW w:w="992" w:type="dxa"/>
            <w:shd w:val="clear" w:color="auto" w:fill="auto"/>
            <w:noWrap/>
            <w:vAlign w:val="bottom"/>
            <w:hideMark/>
          </w:tcPr>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2017-18</w:t>
            </w:r>
          </w:p>
          <w:p w:rsidR="00D7470B" w:rsidRPr="00976C37" w:rsidRDefault="00D7470B" w:rsidP="00D7470B">
            <w:pPr>
              <w:spacing w:after="0" w:line="240" w:lineRule="auto"/>
              <w:jc w:val="center"/>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BE</w:t>
            </w:r>
          </w:p>
        </w:tc>
      </w:tr>
      <w:tr w:rsidR="00976C37" w:rsidRPr="00DE6457" w:rsidTr="00D7470B">
        <w:trPr>
          <w:trHeight w:val="300"/>
        </w:trPr>
        <w:tc>
          <w:tcPr>
            <w:tcW w:w="3403" w:type="dxa"/>
            <w:shd w:val="clear" w:color="auto" w:fill="auto"/>
            <w:vAlign w:val="bottom"/>
            <w:hideMark/>
          </w:tcPr>
          <w:p w:rsidR="00976C37" w:rsidRPr="00976C37" w:rsidRDefault="00976C37" w:rsidP="00976C37">
            <w:pPr>
              <w:spacing w:after="0" w:line="240" w:lineRule="auto"/>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Total allocations to Ministry of Women and Child Development</w:t>
            </w:r>
          </w:p>
        </w:tc>
        <w:tc>
          <w:tcPr>
            <w:tcW w:w="983" w:type="dxa"/>
            <w:shd w:val="clear" w:color="auto" w:fill="auto"/>
            <w:noWrap/>
            <w:vAlign w:val="bottom"/>
            <w:hideMark/>
          </w:tcPr>
          <w:p w:rsidR="00976C37" w:rsidRPr="00976C37" w:rsidRDefault="00976C37" w:rsidP="00976C37">
            <w:pPr>
              <w:spacing w:after="0" w:line="240" w:lineRule="auto"/>
              <w:jc w:val="right"/>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17,036</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18,037</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18,540</w:t>
            </w:r>
          </w:p>
        </w:tc>
        <w:tc>
          <w:tcPr>
            <w:tcW w:w="99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17,249</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17,408</w:t>
            </w:r>
          </w:p>
        </w:tc>
        <w:tc>
          <w:tcPr>
            <w:tcW w:w="1134" w:type="dxa"/>
            <w:shd w:val="clear" w:color="auto" w:fill="auto"/>
            <w:noWrap/>
            <w:vAlign w:val="bottom"/>
            <w:hideMark/>
          </w:tcPr>
          <w:p w:rsidR="00976C37" w:rsidRPr="00976C37" w:rsidRDefault="00976C37" w:rsidP="005D09FC">
            <w:pPr>
              <w:spacing w:after="0" w:line="240" w:lineRule="auto"/>
              <w:jc w:val="right"/>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17</w:t>
            </w:r>
            <w:r w:rsidRPr="00DE6457">
              <w:rPr>
                <w:rFonts w:ascii="Calibri" w:eastAsia="Times New Roman" w:hAnsi="Calibri" w:cs="Times New Roman"/>
                <w:color w:val="000000"/>
                <w:sz w:val="20"/>
                <w:szCs w:val="20"/>
                <w:lang w:eastAsia="en-IN"/>
              </w:rPr>
              <w:t>,</w:t>
            </w:r>
            <w:r w:rsidR="005D09FC" w:rsidRPr="00DE6457">
              <w:rPr>
                <w:rFonts w:ascii="Calibri" w:eastAsia="Times New Roman" w:hAnsi="Calibri" w:cs="Times New Roman"/>
                <w:color w:val="000000"/>
                <w:sz w:val="20"/>
                <w:szCs w:val="20"/>
                <w:lang w:eastAsia="en-IN"/>
              </w:rPr>
              <w:t>640.4</w:t>
            </w:r>
          </w:p>
        </w:tc>
        <w:tc>
          <w:tcPr>
            <w:tcW w:w="992" w:type="dxa"/>
            <w:shd w:val="clear" w:color="auto" w:fill="auto"/>
            <w:noWrap/>
            <w:vAlign w:val="bottom"/>
            <w:hideMark/>
          </w:tcPr>
          <w:p w:rsidR="00976C37" w:rsidRPr="00976C37" w:rsidRDefault="00976C37" w:rsidP="00976C37">
            <w:pPr>
              <w:spacing w:after="0" w:line="240" w:lineRule="auto"/>
              <w:jc w:val="right"/>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22</w:t>
            </w:r>
            <w:r w:rsidRPr="00DE6457">
              <w:rPr>
                <w:rFonts w:ascii="Calibri" w:eastAsia="Times New Roman" w:hAnsi="Calibri" w:cs="Times New Roman"/>
                <w:color w:val="000000"/>
                <w:sz w:val="20"/>
                <w:szCs w:val="20"/>
                <w:lang w:eastAsia="en-IN"/>
              </w:rPr>
              <w:t>,</w:t>
            </w:r>
            <w:r w:rsidRPr="00976C37">
              <w:rPr>
                <w:rFonts w:ascii="Calibri" w:eastAsia="Times New Roman" w:hAnsi="Calibri" w:cs="Times New Roman"/>
                <w:color w:val="000000"/>
                <w:sz w:val="20"/>
                <w:szCs w:val="20"/>
                <w:lang w:eastAsia="en-IN"/>
              </w:rPr>
              <w:t>094.</w:t>
            </w:r>
            <w:r w:rsidRPr="00DE6457">
              <w:rPr>
                <w:rFonts w:ascii="Calibri" w:eastAsia="Times New Roman" w:hAnsi="Calibri" w:cs="Times New Roman"/>
                <w:color w:val="000000"/>
                <w:sz w:val="20"/>
                <w:szCs w:val="20"/>
                <w:lang w:eastAsia="en-IN"/>
              </w:rPr>
              <w:t xml:space="preserve"> </w:t>
            </w:r>
            <w:r w:rsidRPr="00976C37">
              <w:rPr>
                <w:rFonts w:ascii="Calibri" w:eastAsia="Times New Roman" w:hAnsi="Calibri" w:cs="Times New Roman"/>
                <w:color w:val="000000"/>
                <w:sz w:val="20"/>
                <w:szCs w:val="20"/>
                <w:lang w:eastAsia="en-IN"/>
              </w:rPr>
              <w:t>7</w:t>
            </w:r>
          </w:p>
        </w:tc>
      </w:tr>
      <w:tr w:rsidR="00976C37" w:rsidRPr="00DE6457" w:rsidTr="00D7470B">
        <w:trPr>
          <w:trHeight w:val="600"/>
        </w:trPr>
        <w:tc>
          <w:tcPr>
            <w:tcW w:w="3403" w:type="dxa"/>
            <w:shd w:val="clear" w:color="auto" w:fill="auto"/>
            <w:vAlign w:val="bottom"/>
            <w:hideMark/>
          </w:tcPr>
          <w:p w:rsidR="00976C37" w:rsidRPr="00976C37" w:rsidRDefault="00976C37" w:rsidP="00976C37">
            <w:pPr>
              <w:spacing w:after="0" w:line="240" w:lineRule="auto"/>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Allocations to Ministry of Women and Child Development as a proportion of Union Budget</w:t>
            </w:r>
          </w:p>
        </w:tc>
        <w:tc>
          <w:tcPr>
            <w:tcW w:w="983" w:type="dxa"/>
            <w:shd w:val="clear" w:color="auto" w:fill="auto"/>
            <w:noWrap/>
            <w:vAlign w:val="bottom"/>
            <w:hideMark/>
          </w:tcPr>
          <w:p w:rsidR="00976C37" w:rsidRPr="00976C37" w:rsidRDefault="00976C37" w:rsidP="00976C37">
            <w:pPr>
              <w:spacing w:after="0" w:line="240" w:lineRule="auto"/>
              <w:jc w:val="right"/>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1.20</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1.16</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1.11</w:t>
            </w:r>
          </w:p>
        </w:tc>
        <w:tc>
          <w:tcPr>
            <w:tcW w:w="99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0.96</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0.88</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0.88</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1.03</w:t>
            </w:r>
          </w:p>
        </w:tc>
      </w:tr>
      <w:tr w:rsidR="00976C37" w:rsidRPr="00DE6457" w:rsidTr="00F40A29">
        <w:trPr>
          <w:trHeight w:val="314"/>
        </w:trPr>
        <w:tc>
          <w:tcPr>
            <w:tcW w:w="10490" w:type="dxa"/>
            <w:gridSpan w:val="8"/>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b/>
                <w:bCs/>
                <w:color w:val="000000"/>
                <w:sz w:val="20"/>
                <w:szCs w:val="20"/>
                <w:lang w:eastAsia="en-IN"/>
              </w:rPr>
            </w:pPr>
            <w:r w:rsidRPr="00976C37">
              <w:rPr>
                <w:rFonts w:ascii="Calibri" w:eastAsia="Times New Roman" w:hAnsi="Calibri" w:cs="Times New Roman"/>
                <w:b/>
                <w:bCs/>
                <w:color w:val="000000"/>
                <w:sz w:val="20"/>
                <w:szCs w:val="20"/>
                <w:lang w:eastAsia="en-IN"/>
              </w:rPr>
              <w:t>Allocat</w:t>
            </w:r>
            <w:r w:rsidRPr="00DE6457">
              <w:rPr>
                <w:rFonts w:ascii="Calibri" w:eastAsia="Times New Roman" w:hAnsi="Calibri" w:cs="Times New Roman"/>
                <w:b/>
                <w:bCs/>
                <w:color w:val="000000"/>
                <w:sz w:val="20"/>
                <w:szCs w:val="20"/>
                <w:lang w:eastAsia="en-IN"/>
              </w:rPr>
              <w:t>ions to some key schemes of MWCD</w:t>
            </w:r>
            <w:r w:rsidRPr="00976C37">
              <w:rPr>
                <w:rFonts w:ascii="Calibri" w:eastAsia="Times New Roman" w:hAnsi="Calibri" w:cs="Times New Roman"/>
                <w:color w:val="000000"/>
                <w:sz w:val="20"/>
                <w:szCs w:val="20"/>
                <w:lang w:eastAsia="en-IN"/>
              </w:rPr>
              <w:t>  </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Core ICDS/</w:t>
            </w:r>
            <w:proofErr w:type="spellStart"/>
            <w:r w:rsidRPr="00976C37">
              <w:rPr>
                <w:rFonts w:ascii="Calibri" w:eastAsia="Times New Roman" w:hAnsi="Calibri" w:cs="Times New Roman"/>
                <w:i/>
                <w:color w:val="000000"/>
                <w:sz w:val="20"/>
                <w:szCs w:val="20"/>
                <w:lang w:eastAsia="en-IN"/>
              </w:rPr>
              <w:t>Anganwadi</w:t>
            </w:r>
            <w:proofErr w:type="spellEnd"/>
            <w:r w:rsidRPr="00976C37">
              <w:rPr>
                <w:rFonts w:ascii="Calibri" w:eastAsia="Times New Roman" w:hAnsi="Calibri" w:cs="Times New Roman"/>
                <w:i/>
                <w:color w:val="000000"/>
                <w:sz w:val="20"/>
                <w:szCs w:val="20"/>
                <w:lang w:eastAsia="en-IN"/>
              </w:rPr>
              <w:t xml:space="preserve"> </w:t>
            </w:r>
            <w:r w:rsidRPr="00976C37">
              <w:rPr>
                <w:rFonts w:ascii="Calibri" w:eastAsia="Times New Roman" w:hAnsi="Calibri" w:cs="Times New Roman"/>
                <w:color w:val="000000"/>
                <w:sz w:val="20"/>
                <w:szCs w:val="20"/>
                <w:lang w:eastAsia="en-IN"/>
              </w:rPr>
              <w:t>Services</w:t>
            </w:r>
          </w:p>
        </w:tc>
        <w:tc>
          <w:tcPr>
            <w:tcW w:w="983"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15,767.5</w:t>
            </w:r>
          </w:p>
        </w:tc>
        <w:tc>
          <w:tcPr>
            <w:tcW w:w="1001"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16,400.8</w:t>
            </w:r>
          </w:p>
        </w:tc>
        <w:tc>
          <w:tcPr>
            <w:tcW w:w="992"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16,683.6</w:t>
            </w:r>
          </w:p>
        </w:tc>
        <w:tc>
          <w:tcPr>
            <w:tcW w:w="993"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15,489.3</w:t>
            </w:r>
          </w:p>
        </w:tc>
        <w:tc>
          <w:tcPr>
            <w:tcW w:w="992"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14,862.9</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14735.6</w:t>
            </w:r>
          </w:p>
        </w:tc>
        <w:tc>
          <w:tcPr>
            <w:tcW w:w="992" w:type="dxa"/>
            <w:shd w:val="clear" w:color="auto" w:fill="auto"/>
            <w:noWrap/>
            <w:vAlign w:val="bottom"/>
            <w:hideMark/>
          </w:tcPr>
          <w:p w:rsidR="00976C37" w:rsidRPr="00976C37" w:rsidRDefault="00E123AB" w:rsidP="00E123AB">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16745.2</w:t>
            </w:r>
          </w:p>
        </w:tc>
      </w:tr>
      <w:tr w:rsidR="00976C37" w:rsidRPr="00DE6457" w:rsidTr="00D7470B">
        <w:trPr>
          <w:trHeight w:val="300"/>
        </w:trPr>
        <w:tc>
          <w:tcPr>
            <w:tcW w:w="3403" w:type="dxa"/>
            <w:shd w:val="clear" w:color="auto" w:fill="auto"/>
            <w:noWrap/>
            <w:vAlign w:val="bottom"/>
            <w:hideMark/>
          </w:tcPr>
          <w:p w:rsidR="00976C37" w:rsidRPr="00976C37" w:rsidRDefault="007305DA" w:rsidP="00976C37">
            <w:pPr>
              <w:spacing w:after="0" w:line="240" w:lineRule="auto"/>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Maternity Benefit Programme (</w:t>
            </w:r>
            <w:r w:rsidR="00976C37" w:rsidRPr="00976C37">
              <w:rPr>
                <w:rFonts w:ascii="Calibri" w:eastAsia="Times New Roman" w:hAnsi="Calibri" w:cs="Times New Roman"/>
                <w:i/>
                <w:color w:val="000000"/>
                <w:sz w:val="20"/>
                <w:szCs w:val="20"/>
                <w:lang w:eastAsia="en-IN"/>
              </w:rPr>
              <w:t xml:space="preserve">Indira Gandhi </w:t>
            </w:r>
            <w:proofErr w:type="spellStart"/>
            <w:r w:rsidR="00976C37" w:rsidRPr="00976C37">
              <w:rPr>
                <w:rFonts w:ascii="Calibri" w:eastAsia="Times New Roman" w:hAnsi="Calibri" w:cs="Times New Roman"/>
                <w:i/>
                <w:color w:val="000000"/>
                <w:sz w:val="20"/>
                <w:szCs w:val="20"/>
                <w:lang w:eastAsia="en-IN"/>
              </w:rPr>
              <w:t>Matritva</w:t>
            </w:r>
            <w:proofErr w:type="spellEnd"/>
            <w:r w:rsidR="00976C37" w:rsidRPr="00976C37">
              <w:rPr>
                <w:rFonts w:ascii="Calibri" w:eastAsia="Times New Roman" w:hAnsi="Calibri" w:cs="Times New Roman"/>
                <w:i/>
                <w:color w:val="000000"/>
                <w:sz w:val="20"/>
                <w:szCs w:val="20"/>
                <w:lang w:eastAsia="en-IN"/>
              </w:rPr>
              <w:t xml:space="preserve"> </w:t>
            </w:r>
            <w:proofErr w:type="spellStart"/>
            <w:r w:rsidR="00976C37" w:rsidRPr="00976C37">
              <w:rPr>
                <w:rFonts w:ascii="Calibri" w:eastAsia="Times New Roman" w:hAnsi="Calibri" w:cs="Times New Roman"/>
                <w:i/>
                <w:color w:val="000000"/>
                <w:sz w:val="20"/>
                <w:szCs w:val="20"/>
                <w:lang w:eastAsia="en-IN"/>
              </w:rPr>
              <w:t>Sahyog</w:t>
            </w:r>
            <w:proofErr w:type="spellEnd"/>
            <w:r w:rsidR="00976C37" w:rsidRPr="00976C37">
              <w:rPr>
                <w:rFonts w:ascii="Calibri" w:eastAsia="Times New Roman" w:hAnsi="Calibri" w:cs="Times New Roman"/>
                <w:i/>
                <w:color w:val="000000"/>
                <w:sz w:val="20"/>
                <w:szCs w:val="20"/>
                <w:lang w:eastAsia="en-IN"/>
              </w:rPr>
              <w:t xml:space="preserve"> </w:t>
            </w:r>
            <w:proofErr w:type="spellStart"/>
            <w:r w:rsidR="00976C37" w:rsidRPr="00976C37">
              <w:rPr>
                <w:rFonts w:ascii="Calibri" w:eastAsia="Times New Roman" w:hAnsi="Calibri" w:cs="Times New Roman"/>
                <w:i/>
                <w:color w:val="000000"/>
                <w:sz w:val="20"/>
                <w:szCs w:val="20"/>
                <w:lang w:eastAsia="en-IN"/>
              </w:rPr>
              <w:t>Yojana</w:t>
            </w:r>
            <w:proofErr w:type="spellEnd"/>
            <w:r w:rsidRPr="00DE6457">
              <w:rPr>
                <w:rFonts w:ascii="Calibri" w:eastAsia="Times New Roman" w:hAnsi="Calibri" w:cs="Times New Roman"/>
                <w:color w:val="000000"/>
                <w:sz w:val="20"/>
                <w:szCs w:val="20"/>
                <w:lang w:eastAsia="en-IN"/>
              </w:rPr>
              <w:t>)</w:t>
            </w:r>
          </w:p>
        </w:tc>
        <w:tc>
          <w:tcPr>
            <w:tcW w:w="983" w:type="dxa"/>
            <w:shd w:val="clear" w:color="auto" w:fill="auto"/>
            <w:noWrap/>
            <w:vAlign w:val="bottom"/>
            <w:hideMark/>
          </w:tcPr>
          <w:p w:rsidR="00976C37" w:rsidRPr="00976C37" w:rsidRDefault="00976C37" w:rsidP="004721D2">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82.</w:t>
            </w:r>
            <w:r w:rsidR="004721D2">
              <w:rPr>
                <w:rFonts w:ascii="Calibri" w:eastAsia="Times New Roman" w:hAnsi="Calibri" w:cs="Times New Roman"/>
                <w:color w:val="000000"/>
                <w:sz w:val="20"/>
                <w:szCs w:val="20"/>
                <w:lang w:eastAsia="en-IN"/>
              </w:rPr>
              <w:t>1</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231.9</w:t>
            </w:r>
          </w:p>
        </w:tc>
        <w:tc>
          <w:tcPr>
            <w:tcW w:w="992" w:type="dxa"/>
            <w:shd w:val="clear" w:color="auto" w:fill="auto"/>
            <w:noWrap/>
            <w:vAlign w:val="bottom"/>
            <w:hideMark/>
          </w:tcPr>
          <w:p w:rsidR="00976C37" w:rsidRPr="00976C37" w:rsidRDefault="00976C37" w:rsidP="004721D2">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343.1</w:t>
            </w:r>
          </w:p>
        </w:tc>
        <w:tc>
          <w:tcPr>
            <w:tcW w:w="99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233.3</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400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634</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2700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Rajiv Gandhi Scheme for Empowerment of Adolescent Girls-</w:t>
            </w:r>
            <w:r w:rsidRPr="00976C37">
              <w:rPr>
                <w:rFonts w:ascii="Calibri" w:eastAsia="Times New Roman" w:hAnsi="Calibri" w:cs="Times New Roman"/>
                <w:i/>
                <w:iCs/>
                <w:color w:val="000000"/>
                <w:sz w:val="20"/>
                <w:szCs w:val="20"/>
                <w:lang w:eastAsia="en-IN"/>
              </w:rPr>
              <w:t>SABLA</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503.6</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602.4</w:t>
            </w:r>
          </w:p>
        </w:tc>
        <w:tc>
          <w:tcPr>
            <w:tcW w:w="992"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622.4</w:t>
            </w:r>
          </w:p>
        </w:tc>
        <w:tc>
          <w:tcPr>
            <w:tcW w:w="99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475.2</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460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460</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460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xml:space="preserve">Rajiv Gandhi National Crèche Scheme for Children of Working Mothers </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106</w:t>
            </w:r>
            <w:r w:rsidR="004721D2">
              <w:rPr>
                <w:rFonts w:ascii="Calibri" w:eastAsia="Times New Roman" w:hAnsi="Calibri" w:cs="Times New Roman"/>
                <w:color w:val="000000"/>
                <w:sz w:val="20"/>
                <w:szCs w:val="20"/>
                <w:lang w:eastAsia="en-IN"/>
              </w:rPr>
              <w:t>.0</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100</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97.7</w:t>
            </w:r>
          </w:p>
        </w:tc>
        <w:tc>
          <w:tcPr>
            <w:tcW w:w="993" w:type="dxa"/>
            <w:shd w:val="clear" w:color="auto" w:fill="auto"/>
            <w:noWrap/>
            <w:vAlign w:val="bottom"/>
            <w:hideMark/>
          </w:tcPr>
          <w:p w:rsidR="00976C37" w:rsidRPr="00976C37" w:rsidRDefault="00976C37" w:rsidP="004721D2">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133.0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150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150</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200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proofErr w:type="spellStart"/>
            <w:r w:rsidRPr="00976C37">
              <w:rPr>
                <w:rFonts w:ascii="Calibri" w:eastAsia="Times New Roman" w:hAnsi="Calibri" w:cs="Times New Roman"/>
                <w:i/>
                <w:color w:val="000000"/>
                <w:sz w:val="20"/>
                <w:szCs w:val="20"/>
                <w:lang w:eastAsia="en-IN"/>
              </w:rPr>
              <w:lastRenderedPageBreak/>
              <w:t>Beti</w:t>
            </w:r>
            <w:proofErr w:type="spellEnd"/>
            <w:r w:rsidRPr="00976C37">
              <w:rPr>
                <w:rFonts w:ascii="Calibri" w:eastAsia="Times New Roman" w:hAnsi="Calibri" w:cs="Times New Roman"/>
                <w:i/>
                <w:color w:val="000000"/>
                <w:sz w:val="20"/>
                <w:szCs w:val="20"/>
                <w:lang w:eastAsia="en-IN"/>
              </w:rPr>
              <w:t xml:space="preserve"> </w:t>
            </w:r>
            <w:proofErr w:type="spellStart"/>
            <w:r w:rsidRPr="00976C37">
              <w:rPr>
                <w:rFonts w:ascii="Calibri" w:eastAsia="Times New Roman" w:hAnsi="Calibri" w:cs="Times New Roman"/>
                <w:i/>
                <w:color w:val="000000"/>
                <w:sz w:val="20"/>
                <w:szCs w:val="20"/>
                <w:lang w:eastAsia="en-IN"/>
              </w:rPr>
              <w:t>Bachao</w:t>
            </w:r>
            <w:proofErr w:type="spellEnd"/>
            <w:r w:rsidRPr="00976C37">
              <w:rPr>
                <w:rFonts w:ascii="Calibri" w:eastAsia="Times New Roman" w:hAnsi="Calibri" w:cs="Times New Roman"/>
                <w:i/>
                <w:color w:val="000000"/>
                <w:sz w:val="20"/>
                <w:szCs w:val="20"/>
                <w:lang w:eastAsia="en-IN"/>
              </w:rPr>
              <w:t xml:space="preserve"> </w:t>
            </w:r>
            <w:proofErr w:type="spellStart"/>
            <w:r w:rsidRPr="00976C37">
              <w:rPr>
                <w:rFonts w:ascii="Calibri" w:eastAsia="Times New Roman" w:hAnsi="Calibri" w:cs="Times New Roman"/>
                <w:i/>
                <w:color w:val="000000"/>
                <w:sz w:val="20"/>
                <w:szCs w:val="20"/>
                <w:lang w:eastAsia="en-IN"/>
              </w:rPr>
              <w:t>Beti</w:t>
            </w:r>
            <w:proofErr w:type="spellEnd"/>
            <w:r w:rsidRPr="00976C37">
              <w:rPr>
                <w:rFonts w:ascii="Calibri" w:eastAsia="Times New Roman" w:hAnsi="Calibri" w:cs="Times New Roman"/>
                <w:i/>
                <w:color w:val="000000"/>
                <w:sz w:val="20"/>
                <w:szCs w:val="20"/>
                <w:lang w:eastAsia="en-IN"/>
              </w:rPr>
              <w:t xml:space="preserve"> </w:t>
            </w:r>
            <w:proofErr w:type="spellStart"/>
            <w:r w:rsidRPr="00976C37">
              <w:rPr>
                <w:rFonts w:ascii="Calibri" w:eastAsia="Times New Roman" w:hAnsi="Calibri" w:cs="Times New Roman"/>
                <w:i/>
                <w:color w:val="000000"/>
                <w:sz w:val="20"/>
                <w:szCs w:val="20"/>
                <w:lang w:eastAsia="en-IN"/>
              </w:rPr>
              <w:t>Padhao</w:t>
            </w:r>
            <w:proofErr w:type="spellEnd"/>
            <w:r w:rsidRPr="00976C37">
              <w:rPr>
                <w:rFonts w:ascii="Calibri" w:eastAsia="Times New Roman" w:hAnsi="Calibri" w:cs="Times New Roman"/>
                <w:color w:val="000000"/>
                <w:sz w:val="20"/>
                <w:szCs w:val="20"/>
                <w:lang w:eastAsia="en-IN"/>
              </w:rPr>
              <w:t xml:space="preserve"> #</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r w:rsidR="004721D2">
              <w:rPr>
                <w:rFonts w:ascii="Calibri" w:eastAsia="Times New Roman" w:hAnsi="Calibri" w:cs="Times New Roman"/>
                <w:color w:val="000000"/>
                <w:sz w:val="20"/>
                <w:szCs w:val="20"/>
                <w:lang w:eastAsia="en-IN"/>
              </w:rPr>
              <w:t>…</w:t>
            </w:r>
          </w:p>
        </w:tc>
        <w:tc>
          <w:tcPr>
            <w:tcW w:w="1001" w:type="dxa"/>
            <w:shd w:val="clear" w:color="auto" w:fill="auto"/>
            <w:noWrap/>
            <w:vAlign w:val="bottom"/>
            <w:hideMark/>
          </w:tcPr>
          <w:p w:rsidR="00976C37" w:rsidRPr="00976C37" w:rsidRDefault="004721D2" w:rsidP="00976C37">
            <w:pPr>
              <w:spacing w:after="0" w:line="240" w:lineRule="auto"/>
              <w:jc w:val="center"/>
              <w:rPr>
                <w:rFonts w:ascii="Calibri" w:eastAsia="Times New Roman" w:hAnsi="Calibri" w:cs="Times New Roman"/>
                <w:color w:val="000000"/>
                <w:sz w:val="20"/>
                <w:szCs w:val="20"/>
                <w:lang w:eastAsia="en-IN"/>
              </w:rPr>
            </w:pPr>
            <w:r>
              <w:rPr>
                <w:rFonts w:ascii="Calibri" w:eastAsia="Times New Roman" w:hAnsi="Calibri" w:cs="Times New Roman"/>
                <w:color w:val="000000"/>
                <w:sz w:val="20"/>
                <w:szCs w:val="20"/>
                <w:lang w:eastAsia="en-IN"/>
              </w:rPr>
              <w:t>…</w:t>
            </w:r>
            <w:r w:rsidR="00976C37" w:rsidRPr="00976C37">
              <w:rPr>
                <w:rFonts w:ascii="Calibri" w:eastAsia="Times New Roman" w:hAnsi="Calibri" w:cs="Times New Roman"/>
                <w:color w:val="000000"/>
                <w:sz w:val="20"/>
                <w:szCs w:val="20"/>
                <w:lang w:eastAsia="en-IN"/>
              </w:rPr>
              <w:t> </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34.9</w:t>
            </w:r>
          </w:p>
        </w:tc>
        <w:tc>
          <w:tcPr>
            <w:tcW w:w="993" w:type="dxa"/>
            <w:shd w:val="clear" w:color="auto" w:fill="auto"/>
            <w:noWrap/>
            <w:vAlign w:val="bottom"/>
            <w:hideMark/>
          </w:tcPr>
          <w:p w:rsidR="00976C37" w:rsidRPr="00976C37" w:rsidRDefault="005C2363"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59.4</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43</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200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One Stop Centre</w:t>
            </w:r>
            <w:r w:rsidR="00E123AB" w:rsidRPr="00DE6457">
              <w:rPr>
                <w:rFonts w:ascii="Calibri" w:eastAsia="Times New Roman" w:hAnsi="Calibri" w:cs="Times New Roman"/>
                <w:color w:val="000000"/>
                <w:sz w:val="20"/>
                <w:szCs w:val="20"/>
                <w:lang w:eastAsia="en-IN"/>
              </w:rPr>
              <w:t>**</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993" w:type="dxa"/>
            <w:shd w:val="clear" w:color="auto" w:fill="auto"/>
            <w:noWrap/>
            <w:vAlign w:val="bottom"/>
            <w:hideMark/>
          </w:tcPr>
          <w:p w:rsidR="00976C37" w:rsidRPr="00976C37" w:rsidRDefault="005C2363"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10.4</w:t>
            </w:r>
          </w:p>
        </w:tc>
        <w:tc>
          <w:tcPr>
            <w:tcW w:w="992" w:type="dxa"/>
            <w:shd w:val="clear" w:color="auto" w:fill="auto"/>
            <w:noWrap/>
            <w:vAlign w:val="bottom"/>
            <w:hideMark/>
          </w:tcPr>
          <w:p w:rsidR="00976C37" w:rsidRPr="00976C37" w:rsidRDefault="00976C37" w:rsidP="00E123AB">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75</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75</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90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Women’s Helpline</w:t>
            </w:r>
            <w:r w:rsidR="00E123AB" w:rsidRPr="00976C37">
              <w:rPr>
                <w:rFonts w:ascii="Calibri" w:eastAsia="Times New Roman" w:hAnsi="Calibri" w:cs="Times New Roman"/>
                <w:color w:val="000000"/>
                <w:sz w:val="20"/>
                <w:szCs w:val="20"/>
                <w:lang w:eastAsia="en-IN"/>
              </w:rPr>
              <w:t>**</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0</w:t>
            </w:r>
          </w:p>
        </w:tc>
        <w:tc>
          <w:tcPr>
            <w:tcW w:w="993" w:type="dxa"/>
            <w:shd w:val="clear" w:color="auto" w:fill="auto"/>
            <w:noWrap/>
            <w:vAlign w:val="bottom"/>
            <w:hideMark/>
          </w:tcPr>
          <w:p w:rsidR="00976C37" w:rsidRPr="00976C37" w:rsidRDefault="005C2363"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15.1</w:t>
            </w:r>
          </w:p>
        </w:tc>
        <w:tc>
          <w:tcPr>
            <w:tcW w:w="992"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25</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25</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Other Schemes</w:t>
            </w:r>
            <w:r w:rsidR="00E123AB" w:rsidRPr="00976C37">
              <w:rPr>
                <w:rFonts w:ascii="Calibri" w:eastAsia="Times New Roman" w:hAnsi="Calibri" w:cs="Times New Roman"/>
                <w:color w:val="000000"/>
                <w:sz w:val="20"/>
                <w:szCs w:val="20"/>
                <w:lang w:eastAsia="en-IN"/>
              </w:rPr>
              <w:t>**</w:t>
            </w:r>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tc>
        <w:tc>
          <w:tcPr>
            <w:tcW w:w="99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 </w:t>
            </w:r>
          </w:p>
        </w:tc>
        <w:tc>
          <w:tcPr>
            <w:tcW w:w="992" w:type="dxa"/>
            <w:shd w:val="clear" w:color="auto" w:fill="auto"/>
            <w:noWrap/>
            <w:vAlign w:val="bottom"/>
            <w:hideMark/>
          </w:tcPr>
          <w:p w:rsidR="00976C37" w:rsidRPr="00976C37" w:rsidRDefault="00E123AB"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400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585</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400</w:t>
            </w:r>
            <w:r w:rsidR="004721D2">
              <w:rPr>
                <w:rFonts w:ascii="Calibri" w:eastAsia="Times New Roman" w:hAnsi="Calibri" w:cs="Times New Roman"/>
                <w:color w:val="000000"/>
                <w:sz w:val="20"/>
                <w:szCs w:val="20"/>
                <w:lang w:eastAsia="en-IN"/>
              </w:rPr>
              <w:t>.0</w:t>
            </w:r>
          </w:p>
        </w:tc>
      </w:tr>
      <w:tr w:rsidR="00976C37" w:rsidRPr="00DE6457" w:rsidTr="00D7470B">
        <w:trPr>
          <w:trHeight w:val="300"/>
        </w:trPr>
        <w:tc>
          <w:tcPr>
            <w:tcW w:w="3403" w:type="dxa"/>
            <w:shd w:val="clear" w:color="auto" w:fill="auto"/>
            <w:noWrap/>
            <w:vAlign w:val="bottom"/>
            <w:hideMark/>
          </w:tcPr>
          <w:p w:rsidR="00976C37" w:rsidRPr="00976C37" w:rsidRDefault="00976C37" w:rsidP="00976C37">
            <w:pPr>
              <w:spacing w:after="0" w:line="240" w:lineRule="auto"/>
              <w:rPr>
                <w:rFonts w:ascii="Calibri" w:eastAsia="Times New Roman" w:hAnsi="Calibri" w:cs="Times New Roman"/>
                <w:i/>
                <w:color w:val="000000"/>
                <w:sz w:val="20"/>
                <w:szCs w:val="20"/>
                <w:lang w:eastAsia="en-IN"/>
              </w:rPr>
            </w:pPr>
            <w:proofErr w:type="spellStart"/>
            <w:r w:rsidRPr="00976C37">
              <w:rPr>
                <w:rFonts w:ascii="Calibri" w:eastAsia="Times New Roman" w:hAnsi="Calibri" w:cs="Times New Roman"/>
                <w:i/>
                <w:color w:val="000000"/>
                <w:sz w:val="20"/>
                <w:szCs w:val="20"/>
                <w:lang w:eastAsia="en-IN"/>
              </w:rPr>
              <w:t>Swadhar</w:t>
            </w:r>
            <w:proofErr w:type="spellEnd"/>
            <w:r w:rsidR="005C2363" w:rsidRPr="00DE6457">
              <w:rPr>
                <w:rFonts w:ascii="Calibri" w:eastAsia="Times New Roman" w:hAnsi="Calibri" w:cs="Times New Roman"/>
                <w:i/>
                <w:color w:val="000000"/>
                <w:sz w:val="20"/>
                <w:szCs w:val="20"/>
                <w:lang w:eastAsia="en-IN"/>
              </w:rPr>
              <w:t xml:space="preserve"> </w:t>
            </w:r>
            <w:proofErr w:type="spellStart"/>
            <w:r w:rsidR="00D66993" w:rsidRPr="00DE6457">
              <w:rPr>
                <w:rFonts w:ascii="Calibri" w:eastAsia="Times New Roman" w:hAnsi="Calibri" w:cs="Times New Roman"/>
                <w:i/>
                <w:color w:val="000000"/>
                <w:sz w:val="20"/>
                <w:szCs w:val="20"/>
                <w:lang w:eastAsia="en-IN"/>
              </w:rPr>
              <w:t>Greh</w:t>
            </w:r>
            <w:proofErr w:type="spellEnd"/>
          </w:p>
        </w:tc>
        <w:tc>
          <w:tcPr>
            <w:tcW w:w="983"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52.2</w:t>
            </w:r>
          </w:p>
        </w:tc>
        <w:tc>
          <w:tcPr>
            <w:tcW w:w="1001"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53.8</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29</w:t>
            </w:r>
            <w:r w:rsidR="004721D2">
              <w:rPr>
                <w:rFonts w:ascii="Calibri" w:eastAsia="Times New Roman" w:hAnsi="Calibri" w:cs="Times New Roman"/>
                <w:color w:val="000000"/>
                <w:sz w:val="20"/>
                <w:szCs w:val="20"/>
                <w:lang w:eastAsia="en-IN"/>
              </w:rPr>
              <w:t>.0</w:t>
            </w:r>
          </w:p>
        </w:tc>
        <w:tc>
          <w:tcPr>
            <w:tcW w:w="993" w:type="dxa"/>
            <w:shd w:val="clear" w:color="auto" w:fill="auto"/>
            <w:noWrap/>
            <w:vAlign w:val="bottom"/>
            <w:hideMark/>
          </w:tcPr>
          <w:p w:rsidR="00976C37" w:rsidRPr="00976C37" w:rsidRDefault="005C2363" w:rsidP="00976C37">
            <w:pPr>
              <w:spacing w:after="0" w:line="240" w:lineRule="auto"/>
              <w:jc w:val="center"/>
              <w:rPr>
                <w:rFonts w:ascii="Calibri" w:eastAsia="Times New Roman" w:hAnsi="Calibri" w:cs="Times New Roman"/>
                <w:color w:val="000000"/>
                <w:sz w:val="20"/>
                <w:szCs w:val="20"/>
                <w:lang w:eastAsia="en-IN"/>
              </w:rPr>
            </w:pPr>
            <w:r w:rsidRPr="00DE6457">
              <w:rPr>
                <w:rFonts w:ascii="Calibri" w:eastAsia="Times New Roman" w:hAnsi="Calibri" w:cs="Times New Roman"/>
                <w:color w:val="000000"/>
                <w:sz w:val="20"/>
                <w:szCs w:val="20"/>
                <w:lang w:eastAsia="en-IN"/>
              </w:rPr>
              <w:t>48.1</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100</w:t>
            </w:r>
            <w:r w:rsidR="004721D2">
              <w:rPr>
                <w:rFonts w:ascii="Calibri" w:eastAsia="Times New Roman" w:hAnsi="Calibri" w:cs="Times New Roman"/>
                <w:color w:val="000000"/>
                <w:sz w:val="20"/>
                <w:szCs w:val="20"/>
                <w:lang w:eastAsia="en-IN"/>
              </w:rPr>
              <w:t>.0</w:t>
            </w:r>
          </w:p>
        </w:tc>
        <w:tc>
          <w:tcPr>
            <w:tcW w:w="1134"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90</w:t>
            </w:r>
            <w:r w:rsidR="004721D2">
              <w:rPr>
                <w:rFonts w:ascii="Calibri" w:eastAsia="Times New Roman" w:hAnsi="Calibri" w:cs="Times New Roman"/>
                <w:color w:val="000000"/>
                <w:sz w:val="20"/>
                <w:szCs w:val="20"/>
                <w:lang w:eastAsia="en-IN"/>
              </w:rPr>
              <w:t>.0</w:t>
            </w:r>
          </w:p>
        </w:tc>
        <w:tc>
          <w:tcPr>
            <w:tcW w:w="992" w:type="dxa"/>
            <w:shd w:val="clear" w:color="auto" w:fill="auto"/>
            <w:noWrap/>
            <w:vAlign w:val="bottom"/>
            <w:hideMark/>
          </w:tcPr>
          <w:p w:rsidR="00976C37" w:rsidRPr="00976C37" w:rsidRDefault="00976C37" w:rsidP="00976C37">
            <w:pPr>
              <w:spacing w:after="0" w:line="240" w:lineRule="auto"/>
              <w:jc w:val="center"/>
              <w:rPr>
                <w:rFonts w:ascii="Calibri" w:eastAsia="Times New Roman" w:hAnsi="Calibri" w:cs="Times New Roman"/>
                <w:color w:val="000000"/>
                <w:sz w:val="20"/>
                <w:szCs w:val="20"/>
                <w:lang w:eastAsia="en-IN"/>
              </w:rPr>
            </w:pPr>
            <w:r w:rsidRPr="00976C37">
              <w:rPr>
                <w:rFonts w:ascii="Calibri" w:eastAsia="Times New Roman" w:hAnsi="Calibri" w:cs="Times New Roman"/>
                <w:color w:val="000000"/>
                <w:sz w:val="20"/>
                <w:szCs w:val="20"/>
                <w:lang w:eastAsia="en-IN"/>
              </w:rPr>
              <w:t>100</w:t>
            </w:r>
            <w:r w:rsidR="004721D2">
              <w:rPr>
                <w:rFonts w:ascii="Calibri" w:eastAsia="Times New Roman" w:hAnsi="Calibri" w:cs="Times New Roman"/>
                <w:color w:val="000000"/>
                <w:sz w:val="20"/>
                <w:szCs w:val="20"/>
                <w:lang w:eastAsia="en-IN"/>
              </w:rPr>
              <w:t>.0</w:t>
            </w:r>
          </w:p>
        </w:tc>
      </w:tr>
    </w:tbl>
    <w:p w:rsidR="00800311" w:rsidRDefault="00800311" w:rsidP="005C2363">
      <w:pPr>
        <w:spacing w:after="0" w:line="240" w:lineRule="auto"/>
      </w:pPr>
      <w:r w:rsidRPr="00800311">
        <w:rPr>
          <w:i/>
          <w:sz w:val="18"/>
        </w:rPr>
        <w:t>Notes:</w:t>
      </w:r>
      <w:r w:rsidRPr="00800311">
        <w:t xml:space="preserve"> </w:t>
      </w:r>
      <w:r w:rsidRPr="00800311">
        <w:rPr>
          <w:sz w:val="18"/>
        </w:rPr>
        <w:t># Scheme was introduced in 2014-15.</w:t>
      </w:r>
      <w:r w:rsidRPr="00800311">
        <w:t xml:space="preserve"> </w:t>
      </w:r>
    </w:p>
    <w:p w:rsidR="00976C37" w:rsidRDefault="00800311" w:rsidP="005C2363">
      <w:pPr>
        <w:spacing w:after="0" w:line="240" w:lineRule="auto"/>
        <w:rPr>
          <w:sz w:val="18"/>
        </w:rPr>
      </w:pPr>
      <w:r w:rsidRPr="00800311">
        <w:rPr>
          <w:sz w:val="18"/>
        </w:rPr>
        <w:t xml:space="preserve">**Met from </w:t>
      </w:r>
      <w:proofErr w:type="spellStart"/>
      <w:r w:rsidRPr="004E2E10">
        <w:rPr>
          <w:i/>
          <w:iCs/>
          <w:sz w:val="18"/>
        </w:rPr>
        <w:t>Nirbhaya</w:t>
      </w:r>
      <w:proofErr w:type="spellEnd"/>
      <w:r w:rsidRPr="00800311">
        <w:rPr>
          <w:sz w:val="18"/>
        </w:rPr>
        <w:t xml:space="preserve"> Fund.</w:t>
      </w:r>
    </w:p>
    <w:p w:rsidR="005C2363" w:rsidRPr="005C2363" w:rsidRDefault="005C2363" w:rsidP="005C2363">
      <w:pPr>
        <w:spacing w:after="0" w:line="240" w:lineRule="auto"/>
        <w:rPr>
          <w:sz w:val="14"/>
        </w:rPr>
      </w:pPr>
      <w:r w:rsidRPr="005C2363">
        <w:rPr>
          <w:i/>
          <w:sz w:val="18"/>
        </w:rPr>
        <w:t>Source:</w:t>
      </w:r>
      <w:r w:rsidRPr="005C2363">
        <w:rPr>
          <w:sz w:val="18"/>
        </w:rPr>
        <w:t xml:space="preserve"> Compiled by CBGA from Union Budget Documents, various years</w:t>
      </w:r>
    </w:p>
    <w:p w:rsidR="005C2363" w:rsidRDefault="005C2363" w:rsidP="00800311">
      <w:pPr>
        <w:spacing w:after="0"/>
        <w:rPr>
          <w:sz w:val="18"/>
        </w:rPr>
      </w:pPr>
    </w:p>
    <w:p w:rsidR="00DE6457" w:rsidRDefault="00844E5E" w:rsidP="00DE6457">
      <w:pPr>
        <w:pStyle w:val="ListParagraph"/>
        <w:numPr>
          <w:ilvl w:val="0"/>
          <w:numId w:val="4"/>
        </w:numPr>
        <w:spacing w:before="120" w:after="120"/>
        <w:ind w:right="-330"/>
        <w:jc w:val="both"/>
        <w:rPr>
          <w:rFonts w:ascii="Calibri" w:eastAsia="Times New Roman" w:hAnsi="Calibri" w:cs="Times New Roman"/>
          <w:color w:val="000000"/>
          <w:lang w:eastAsia="en-IN"/>
        </w:rPr>
      </w:pPr>
      <w:r>
        <w:t>T</w:t>
      </w:r>
      <w:r w:rsidR="002A2508" w:rsidRPr="002A2508">
        <w:t xml:space="preserve">he </w:t>
      </w:r>
      <w:r>
        <w:t>budgetary outlays</w:t>
      </w:r>
      <w:r w:rsidR="002A2508" w:rsidRPr="002A2508">
        <w:t xml:space="preserve"> to MWCD have </w:t>
      </w:r>
      <w:r>
        <w:t xml:space="preserve">increased </w:t>
      </w:r>
      <w:r w:rsidRPr="002A2508">
        <w:t>from</w:t>
      </w:r>
      <w:r w:rsidR="002A2508" w:rsidRPr="002A2508">
        <w:t xml:space="preserve"> Rs. </w:t>
      </w:r>
      <w:r w:rsidR="002A2508" w:rsidRPr="00DE6457">
        <w:rPr>
          <w:rFonts w:ascii="Calibri" w:eastAsia="Times New Roman" w:hAnsi="Calibri" w:cs="Times New Roman"/>
          <w:color w:val="000000"/>
          <w:lang w:eastAsia="en-IN"/>
        </w:rPr>
        <w:t>17,408 in 2016-17 (BE) to Rs. 22,09</w:t>
      </w:r>
      <w:r w:rsidR="00A80754">
        <w:rPr>
          <w:rFonts w:ascii="Calibri" w:eastAsia="Times New Roman" w:hAnsi="Calibri" w:cs="Times New Roman"/>
          <w:color w:val="000000"/>
          <w:lang w:eastAsia="en-IN"/>
        </w:rPr>
        <w:t>5</w:t>
      </w:r>
      <w:r w:rsidR="002A2508" w:rsidRPr="00DE6457">
        <w:rPr>
          <w:rFonts w:ascii="Calibri" w:eastAsia="Times New Roman" w:hAnsi="Calibri" w:cs="Times New Roman"/>
          <w:color w:val="000000"/>
          <w:lang w:eastAsia="en-IN"/>
        </w:rPr>
        <w:t xml:space="preserve"> crore in 2017-18 (BE)</w:t>
      </w:r>
      <w:r w:rsidRPr="00DE6457">
        <w:rPr>
          <w:rFonts w:ascii="Calibri" w:eastAsia="Times New Roman" w:hAnsi="Calibri" w:cs="Times New Roman"/>
          <w:color w:val="000000"/>
          <w:lang w:eastAsia="en-IN"/>
        </w:rPr>
        <w:t xml:space="preserve">. However, the bulk of MWCD’s allocations are for the ICDS programme, which itself requires higher allocations as observed by the Department </w:t>
      </w:r>
      <w:r w:rsidR="00B41D16" w:rsidRPr="00DE6457">
        <w:rPr>
          <w:rFonts w:ascii="Calibri" w:eastAsia="Times New Roman" w:hAnsi="Calibri" w:cs="Times New Roman"/>
          <w:color w:val="000000"/>
          <w:lang w:eastAsia="en-IN"/>
        </w:rPr>
        <w:t xml:space="preserve">related </w:t>
      </w:r>
      <w:r w:rsidRPr="00DE6457">
        <w:rPr>
          <w:rFonts w:ascii="Calibri" w:eastAsia="Times New Roman" w:hAnsi="Calibri" w:cs="Times New Roman"/>
          <w:color w:val="000000"/>
          <w:lang w:eastAsia="en-IN"/>
        </w:rPr>
        <w:t>Parliamentary Standing Committee on Human Resource Development, 2016 (Report No.278) which stated “</w:t>
      </w:r>
      <w:r w:rsidR="00EB3B3F" w:rsidRPr="00DE6457">
        <w:rPr>
          <w:rFonts w:ascii="Calibri" w:eastAsia="Times New Roman" w:hAnsi="Calibri" w:cs="Times New Roman"/>
          <w:color w:val="000000"/>
          <w:lang w:eastAsia="en-IN"/>
        </w:rPr>
        <w:t>…</w:t>
      </w:r>
      <w:r w:rsidRPr="00DE6457">
        <w:rPr>
          <w:rFonts w:ascii="Calibri" w:eastAsia="Times New Roman" w:hAnsi="Calibri" w:cs="Times New Roman"/>
          <w:color w:val="000000"/>
          <w:lang w:eastAsia="en-IN"/>
        </w:rPr>
        <w:t xml:space="preserve"> Ministry should put in efforts to make sure that the shortage of funds does not become a hindrance in implementing the scheme and also in enhancing the outreach of the scheme so as to include maximum number of beneficiaries”. </w:t>
      </w:r>
    </w:p>
    <w:p w:rsidR="00DE6457" w:rsidRPr="00DE6457" w:rsidRDefault="00A20404" w:rsidP="00DE6457">
      <w:pPr>
        <w:pStyle w:val="ListParagraph"/>
        <w:numPr>
          <w:ilvl w:val="0"/>
          <w:numId w:val="4"/>
        </w:numPr>
        <w:spacing w:before="120" w:after="120"/>
        <w:ind w:right="-330"/>
        <w:jc w:val="both"/>
        <w:rPr>
          <w:rFonts w:ascii="Calibri" w:eastAsia="Times New Roman" w:hAnsi="Calibri" w:cs="Times New Roman"/>
          <w:color w:val="000000"/>
          <w:lang w:eastAsia="en-IN"/>
        </w:rPr>
      </w:pPr>
      <w:r w:rsidRPr="00DE6457">
        <w:rPr>
          <w:rFonts w:eastAsia="Times New Roman" w:cs="Arial"/>
          <w:color w:val="222222"/>
          <w:shd w:val="clear" w:color="auto" w:fill="FFFFFF"/>
          <w:lang w:eastAsia="en-IN"/>
        </w:rPr>
        <w:t xml:space="preserve">There has been </w:t>
      </w:r>
      <w:r w:rsidR="003A42AC" w:rsidRPr="00DE6457">
        <w:rPr>
          <w:rFonts w:eastAsia="Times New Roman" w:cs="Arial"/>
          <w:color w:val="222222"/>
          <w:shd w:val="clear" w:color="auto" w:fill="FFFFFF"/>
          <w:lang w:eastAsia="en-IN"/>
        </w:rPr>
        <w:t>a notable</w:t>
      </w:r>
      <w:r w:rsidR="00265320" w:rsidRPr="00DE6457">
        <w:rPr>
          <w:rFonts w:eastAsia="Times New Roman" w:cs="Arial"/>
          <w:color w:val="222222"/>
          <w:shd w:val="clear" w:color="auto" w:fill="FFFFFF"/>
          <w:lang w:eastAsia="en-IN"/>
        </w:rPr>
        <w:t xml:space="preserve"> increase </w:t>
      </w:r>
      <w:r w:rsidRPr="00DE6457">
        <w:rPr>
          <w:rFonts w:eastAsia="Times New Roman" w:cs="Arial"/>
          <w:color w:val="222222"/>
          <w:shd w:val="clear" w:color="auto" w:fill="FFFFFF"/>
          <w:lang w:eastAsia="en-IN"/>
        </w:rPr>
        <w:t>in the allocations</w:t>
      </w:r>
      <w:r w:rsidR="00265320" w:rsidRPr="00DE6457">
        <w:rPr>
          <w:rFonts w:eastAsia="Times New Roman" w:cs="Arial"/>
          <w:color w:val="222222"/>
          <w:shd w:val="clear" w:color="auto" w:fill="FFFFFF"/>
          <w:lang w:eastAsia="en-IN"/>
        </w:rPr>
        <w:t xml:space="preserve"> to the </w:t>
      </w:r>
      <w:r w:rsidR="00265320" w:rsidRPr="00DE6457">
        <w:rPr>
          <w:rFonts w:eastAsia="Times New Roman" w:cs="Times New Roman"/>
          <w:color w:val="222222"/>
          <w:shd w:val="clear" w:color="auto" w:fill="FFFFFF"/>
          <w:lang w:eastAsia="en-IN"/>
        </w:rPr>
        <w:t xml:space="preserve">Maternity Benefit Programme (formerly known as </w:t>
      </w:r>
      <w:r w:rsidR="00265320" w:rsidRPr="00DE6457">
        <w:rPr>
          <w:rFonts w:eastAsia="Times New Roman" w:cs="Times New Roman"/>
          <w:i/>
          <w:color w:val="222222"/>
          <w:shd w:val="clear" w:color="auto" w:fill="FFFFFF"/>
          <w:lang w:eastAsia="en-IN"/>
        </w:rPr>
        <w:t xml:space="preserve">Indira Gandhi </w:t>
      </w:r>
      <w:proofErr w:type="spellStart"/>
      <w:r w:rsidR="00265320" w:rsidRPr="00DE6457">
        <w:rPr>
          <w:rFonts w:eastAsia="Times New Roman" w:cs="Times New Roman"/>
          <w:i/>
          <w:color w:val="222222"/>
          <w:shd w:val="clear" w:color="auto" w:fill="FFFFFF"/>
          <w:lang w:eastAsia="en-IN"/>
        </w:rPr>
        <w:t>Matritva</w:t>
      </w:r>
      <w:proofErr w:type="spellEnd"/>
      <w:r w:rsidR="00265320" w:rsidRPr="00DE6457">
        <w:rPr>
          <w:rFonts w:eastAsia="Times New Roman" w:cs="Times New Roman"/>
          <w:i/>
          <w:color w:val="222222"/>
          <w:shd w:val="clear" w:color="auto" w:fill="FFFFFF"/>
          <w:lang w:eastAsia="en-IN"/>
        </w:rPr>
        <w:t xml:space="preserve"> </w:t>
      </w:r>
      <w:proofErr w:type="spellStart"/>
      <w:r w:rsidR="00265320" w:rsidRPr="00DE6457">
        <w:rPr>
          <w:rFonts w:eastAsia="Times New Roman" w:cs="Times New Roman"/>
          <w:i/>
          <w:color w:val="222222"/>
          <w:shd w:val="clear" w:color="auto" w:fill="FFFFFF"/>
          <w:lang w:eastAsia="en-IN"/>
        </w:rPr>
        <w:t>Sahayog</w:t>
      </w:r>
      <w:proofErr w:type="spellEnd"/>
      <w:r w:rsidR="00265320" w:rsidRPr="00DE6457">
        <w:rPr>
          <w:rFonts w:eastAsia="Times New Roman" w:cs="Times New Roman"/>
          <w:i/>
          <w:color w:val="222222"/>
          <w:shd w:val="clear" w:color="auto" w:fill="FFFFFF"/>
          <w:lang w:eastAsia="en-IN"/>
        </w:rPr>
        <w:t xml:space="preserve"> </w:t>
      </w:r>
      <w:proofErr w:type="spellStart"/>
      <w:r w:rsidR="00265320" w:rsidRPr="00DE6457">
        <w:rPr>
          <w:rFonts w:eastAsia="Times New Roman" w:cs="Times New Roman"/>
          <w:i/>
          <w:color w:val="222222"/>
          <w:shd w:val="clear" w:color="auto" w:fill="FFFFFF"/>
          <w:lang w:eastAsia="en-IN"/>
        </w:rPr>
        <w:t>Yojana</w:t>
      </w:r>
      <w:proofErr w:type="spellEnd"/>
      <w:r w:rsidR="00265320" w:rsidRPr="00DE6457">
        <w:rPr>
          <w:rFonts w:eastAsia="Times New Roman" w:cs="Times New Roman"/>
          <w:color w:val="222222"/>
          <w:shd w:val="clear" w:color="auto" w:fill="FFFFFF"/>
          <w:lang w:eastAsia="en-IN"/>
        </w:rPr>
        <w:t>) from Rs. 400 crore in 2016-17 (BE) to Rs. 2</w:t>
      </w:r>
      <w:r w:rsidR="00DD035C">
        <w:rPr>
          <w:rFonts w:eastAsia="Times New Roman" w:cs="Times New Roman"/>
          <w:color w:val="222222"/>
          <w:shd w:val="clear" w:color="auto" w:fill="FFFFFF"/>
          <w:lang w:eastAsia="en-IN"/>
        </w:rPr>
        <w:t>,</w:t>
      </w:r>
      <w:r w:rsidR="00265320" w:rsidRPr="00DE6457">
        <w:rPr>
          <w:rFonts w:eastAsia="Times New Roman" w:cs="Times New Roman"/>
          <w:color w:val="222222"/>
          <w:shd w:val="clear" w:color="auto" w:fill="FFFFFF"/>
          <w:lang w:eastAsia="en-IN"/>
        </w:rPr>
        <w:t xml:space="preserve">700 crore in 2017-18 (BE). This allocation is close to GOI's estimate of a requirement of Rs. 7,348 crore </w:t>
      </w:r>
      <w:r w:rsidR="00A80754">
        <w:rPr>
          <w:rFonts w:eastAsia="Times New Roman" w:cs="Times New Roman"/>
          <w:color w:val="222222"/>
          <w:shd w:val="clear" w:color="auto" w:fill="FFFFFF"/>
          <w:lang w:eastAsia="en-IN"/>
        </w:rPr>
        <w:t xml:space="preserve">for the scheme </w:t>
      </w:r>
      <w:r w:rsidR="00265320" w:rsidRPr="00DE6457">
        <w:rPr>
          <w:rFonts w:eastAsia="Times New Roman" w:cs="Times New Roman"/>
          <w:color w:val="222222"/>
          <w:shd w:val="clear" w:color="auto" w:fill="FFFFFF"/>
          <w:lang w:eastAsia="en-IN"/>
        </w:rPr>
        <w:t>for the period </w:t>
      </w:r>
      <w:r w:rsidR="00265320" w:rsidRPr="00DE6457">
        <w:rPr>
          <w:rFonts w:eastAsia="Times New Roman" w:cs="Times New Roman"/>
          <w:color w:val="000000"/>
          <w:shd w:val="clear" w:color="auto" w:fill="FFFFFF"/>
          <w:lang w:eastAsia="en-IN"/>
        </w:rPr>
        <w:t>2017-18 to 2019-20 to be borne by the Union Government.</w:t>
      </w:r>
      <w:r>
        <w:rPr>
          <w:rStyle w:val="FootnoteReference"/>
          <w:rFonts w:eastAsia="Times New Roman" w:cs="Times New Roman"/>
          <w:color w:val="000000"/>
          <w:shd w:val="clear" w:color="auto" w:fill="FFFFFF"/>
          <w:lang w:eastAsia="en-IN"/>
        </w:rPr>
        <w:footnoteReference w:id="1"/>
      </w:r>
      <w:r w:rsidR="00265320" w:rsidRPr="00DE6457">
        <w:rPr>
          <w:rFonts w:eastAsia="Times New Roman" w:cs="Times New Roman"/>
          <w:color w:val="000000"/>
          <w:shd w:val="clear" w:color="auto" w:fill="FFFFFF"/>
          <w:lang w:eastAsia="en-IN"/>
        </w:rPr>
        <w:t xml:space="preserve">  </w:t>
      </w:r>
    </w:p>
    <w:p w:rsidR="00265320" w:rsidRPr="00DE6457" w:rsidRDefault="00265320" w:rsidP="00DE6457">
      <w:pPr>
        <w:pStyle w:val="ListParagraph"/>
        <w:spacing w:before="120" w:after="120"/>
        <w:ind w:left="360"/>
        <w:jc w:val="both"/>
        <w:rPr>
          <w:rFonts w:eastAsia="Times New Roman" w:cs="Times New Roman"/>
          <w:lang w:eastAsia="en-IN"/>
        </w:rPr>
      </w:pPr>
      <w:r w:rsidRPr="00DE6457">
        <w:rPr>
          <w:rFonts w:eastAsia="Times New Roman" w:cs="Arial"/>
          <w:color w:val="222222"/>
          <w:lang w:eastAsia="en-IN"/>
        </w:rPr>
        <w:t>However, as per the estimat</w:t>
      </w:r>
      <w:r w:rsidR="00197D04">
        <w:rPr>
          <w:rFonts w:eastAsia="Times New Roman" w:cs="Arial"/>
          <w:color w:val="222222"/>
          <w:lang w:eastAsia="en-IN"/>
        </w:rPr>
        <w:t>es</w:t>
      </w:r>
      <w:r w:rsidRPr="00DE6457">
        <w:rPr>
          <w:rFonts w:eastAsia="Times New Roman" w:cs="Arial"/>
          <w:color w:val="222222"/>
          <w:lang w:eastAsia="en-IN"/>
        </w:rPr>
        <w:t xml:space="preserve"> of Standing Committee on Food ,Consumer Affairs and Public Distribution (2012-13), the</w:t>
      </w:r>
      <w:r w:rsidR="00B41D16">
        <w:rPr>
          <w:rFonts w:eastAsia="Times New Roman" w:cs="Arial"/>
          <w:color w:val="222222"/>
          <w:lang w:eastAsia="en-IN"/>
        </w:rPr>
        <w:t xml:space="preserve"> total</w:t>
      </w:r>
      <w:r w:rsidRPr="00DE6457">
        <w:rPr>
          <w:rFonts w:eastAsia="Times New Roman" w:cs="Arial"/>
          <w:color w:val="222222"/>
          <w:lang w:eastAsia="en-IN"/>
        </w:rPr>
        <w:t xml:space="preserve"> scheme expenditure towards maternity benefits to 2.25 crore pregnant and  lactating women works out to be Rs. 14,512 crore per annum</w:t>
      </w:r>
      <w:r w:rsidR="00B41D16">
        <w:rPr>
          <w:rFonts w:eastAsia="Times New Roman" w:cs="Arial"/>
          <w:color w:val="222222"/>
          <w:lang w:eastAsia="en-IN"/>
        </w:rPr>
        <w:t xml:space="preserve"> (to be borne by Centre and states)</w:t>
      </w:r>
      <w:r w:rsidRPr="00DE6457">
        <w:rPr>
          <w:rFonts w:eastAsia="Times New Roman" w:cs="Arial"/>
          <w:color w:val="222222"/>
          <w:lang w:eastAsia="en-IN"/>
        </w:rPr>
        <w:t xml:space="preserve">. Going by this estimate, this allocation seems to fall short of the required funds to </w:t>
      </w:r>
      <w:r w:rsidR="003A42AC" w:rsidRPr="00DE6457">
        <w:rPr>
          <w:rFonts w:eastAsia="Times New Roman" w:cs="Arial"/>
          <w:color w:val="222222"/>
          <w:lang w:eastAsia="en-IN"/>
        </w:rPr>
        <w:t>universalise</w:t>
      </w:r>
      <w:r w:rsidRPr="00DE6457">
        <w:rPr>
          <w:rFonts w:eastAsia="Times New Roman" w:cs="Arial"/>
          <w:color w:val="222222"/>
          <w:lang w:eastAsia="en-IN"/>
        </w:rPr>
        <w:t> the scheme. </w:t>
      </w:r>
    </w:p>
    <w:p w:rsidR="003A42AC" w:rsidRDefault="000A732A" w:rsidP="00DE6457">
      <w:pPr>
        <w:pStyle w:val="ListParagraph"/>
        <w:numPr>
          <w:ilvl w:val="0"/>
          <w:numId w:val="4"/>
        </w:numPr>
        <w:shd w:val="clear" w:color="auto" w:fill="FFFFFF"/>
        <w:spacing w:before="120" w:after="120"/>
        <w:ind w:left="357"/>
        <w:contextualSpacing w:val="0"/>
        <w:jc w:val="both"/>
        <w:rPr>
          <w:rFonts w:eastAsia="Times New Roman" w:cs="Arial"/>
          <w:color w:val="222222"/>
          <w:lang w:eastAsia="en-IN"/>
        </w:rPr>
      </w:pPr>
      <w:r w:rsidRPr="000A732A">
        <w:rPr>
          <w:rFonts w:eastAsia="Times New Roman" w:cs="Arial"/>
          <w:color w:val="222222"/>
          <w:lang w:eastAsia="en-IN"/>
        </w:rPr>
        <w:t xml:space="preserve">Other schemes, such as those for addressing the needs of women in distress such as </w:t>
      </w:r>
      <w:proofErr w:type="spellStart"/>
      <w:r w:rsidRPr="000A732A">
        <w:rPr>
          <w:rFonts w:eastAsia="Times New Roman" w:cs="Arial"/>
          <w:i/>
          <w:color w:val="222222"/>
          <w:lang w:eastAsia="en-IN"/>
        </w:rPr>
        <w:t>Swadhar</w:t>
      </w:r>
      <w:proofErr w:type="spellEnd"/>
      <w:r w:rsidRPr="000A732A">
        <w:rPr>
          <w:rFonts w:eastAsia="Times New Roman" w:cs="Arial"/>
          <w:i/>
          <w:color w:val="222222"/>
          <w:lang w:eastAsia="en-IN"/>
        </w:rPr>
        <w:t xml:space="preserve"> </w:t>
      </w:r>
      <w:proofErr w:type="spellStart"/>
      <w:r w:rsidRPr="000A732A">
        <w:rPr>
          <w:rFonts w:eastAsia="Times New Roman" w:cs="Arial"/>
          <w:i/>
          <w:color w:val="222222"/>
          <w:lang w:eastAsia="en-IN"/>
        </w:rPr>
        <w:t>Greh</w:t>
      </w:r>
      <w:proofErr w:type="spellEnd"/>
      <w:r w:rsidRPr="000A732A">
        <w:rPr>
          <w:rFonts w:eastAsia="Times New Roman" w:cs="Arial"/>
          <w:color w:val="222222"/>
          <w:lang w:eastAsia="en-IN"/>
        </w:rPr>
        <w:t xml:space="preserve">, and One Stop </w:t>
      </w:r>
      <w:r w:rsidR="009B6B40" w:rsidRPr="000A732A">
        <w:rPr>
          <w:rFonts w:eastAsia="Times New Roman" w:cs="Arial"/>
          <w:color w:val="222222"/>
          <w:lang w:eastAsia="en-IN"/>
        </w:rPr>
        <w:t>Centres have</w:t>
      </w:r>
      <w:r w:rsidRPr="000A732A">
        <w:rPr>
          <w:rFonts w:eastAsia="Times New Roman" w:cs="Arial"/>
          <w:color w:val="222222"/>
          <w:lang w:eastAsia="en-IN"/>
        </w:rPr>
        <w:t xml:space="preserve"> witnessed marginal increase</w:t>
      </w:r>
      <w:r w:rsidR="00DE6457">
        <w:rPr>
          <w:rFonts w:eastAsia="Times New Roman" w:cs="Arial"/>
          <w:color w:val="222222"/>
          <w:lang w:eastAsia="en-IN"/>
        </w:rPr>
        <w:t>s, which</w:t>
      </w:r>
      <w:r w:rsidR="00931375">
        <w:rPr>
          <w:rFonts w:eastAsia="Times New Roman" w:cs="Arial"/>
          <w:color w:val="222222"/>
          <w:lang w:eastAsia="en-IN"/>
        </w:rPr>
        <w:t xml:space="preserve"> are inadequate to ensure both adequate coverage and quality of services</w:t>
      </w:r>
      <w:r w:rsidR="009B6B40">
        <w:rPr>
          <w:rFonts w:eastAsia="Times New Roman" w:cs="Arial"/>
          <w:color w:val="222222"/>
          <w:lang w:eastAsia="en-IN"/>
        </w:rPr>
        <w:t xml:space="preserve">. </w:t>
      </w:r>
      <w:r w:rsidR="00931375">
        <w:rPr>
          <w:rFonts w:eastAsia="Times New Roman" w:cs="Arial"/>
          <w:color w:val="222222"/>
          <w:lang w:eastAsia="en-IN"/>
        </w:rPr>
        <w:t>Given the criticality of the issue, it is imperative that the Union Government continue</w:t>
      </w:r>
      <w:r w:rsidR="00197D04">
        <w:rPr>
          <w:rFonts w:eastAsia="Times New Roman" w:cs="Arial"/>
          <w:color w:val="222222"/>
          <w:lang w:eastAsia="en-IN"/>
        </w:rPr>
        <w:t>s</w:t>
      </w:r>
      <w:r w:rsidR="00931375">
        <w:rPr>
          <w:rFonts w:eastAsia="Times New Roman" w:cs="Arial"/>
          <w:color w:val="222222"/>
          <w:lang w:eastAsia="en-IN"/>
        </w:rPr>
        <w:t xml:space="preserve"> to supplement the efforts of states in this domain. </w:t>
      </w:r>
    </w:p>
    <w:p w:rsidR="005E5F7D" w:rsidRPr="000A732A" w:rsidRDefault="005E5F7D" w:rsidP="005E5F7D">
      <w:pPr>
        <w:pStyle w:val="ListParagraph"/>
        <w:numPr>
          <w:ilvl w:val="0"/>
          <w:numId w:val="4"/>
        </w:numPr>
        <w:shd w:val="clear" w:color="auto" w:fill="FFFFFF"/>
        <w:spacing w:before="120" w:after="120"/>
        <w:contextualSpacing w:val="0"/>
        <w:jc w:val="both"/>
        <w:rPr>
          <w:rFonts w:eastAsia="Times New Roman" w:cs="Arial"/>
          <w:color w:val="222222"/>
          <w:lang w:eastAsia="en-IN"/>
        </w:rPr>
      </w:pPr>
      <w:r>
        <w:rPr>
          <w:rFonts w:eastAsia="Times New Roman" w:cs="Arial"/>
          <w:color w:val="222222"/>
          <w:lang w:eastAsia="en-IN"/>
        </w:rPr>
        <w:t xml:space="preserve">The </w:t>
      </w:r>
      <w:r w:rsidRPr="005E5F7D">
        <w:rPr>
          <w:rFonts w:eastAsia="Times New Roman" w:cs="Arial"/>
          <w:color w:val="222222"/>
          <w:lang w:eastAsia="en-IN"/>
        </w:rPr>
        <w:t>Rajiv Gandhi Scheme for Empowerment of Adolescent Girls-SABLA</w:t>
      </w:r>
      <w:r>
        <w:rPr>
          <w:rFonts w:eastAsia="Times New Roman" w:cs="Arial"/>
          <w:color w:val="222222"/>
          <w:lang w:eastAsia="en-IN"/>
        </w:rPr>
        <w:t xml:space="preserve">, launched in 2010 continues to be implemented in pilot phase. </w:t>
      </w:r>
    </w:p>
    <w:p w:rsidR="00E1139A" w:rsidRDefault="00E1139A" w:rsidP="00E1139A">
      <w:pPr>
        <w:spacing w:after="0"/>
        <w:rPr>
          <w:b/>
        </w:rPr>
      </w:pPr>
      <w:r>
        <w:rPr>
          <w:b/>
        </w:rPr>
        <w:t xml:space="preserve">What does the </w:t>
      </w:r>
      <w:r w:rsidR="0095547B" w:rsidRPr="00E1139A">
        <w:rPr>
          <w:b/>
        </w:rPr>
        <w:t>Gender Budget Statement 2017-18</w:t>
      </w:r>
      <w:r>
        <w:rPr>
          <w:b/>
        </w:rPr>
        <w:t xml:space="preserve"> reflect? </w:t>
      </w:r>
    </w:p>
    <w:p w:rsidR="00C00982" w:rsidRPr="00C00982" w:rsidRDefault="00C00982" w:rsidP="00C00982">
      <w:pPr>
        <w:spacing w:after="0"/>
        <w:jc w:val="both"/>
      </w:pPr>
      <w:r w:rsidRPr="00C00982">
        <w:t>The GBS, first presented in Union Budget 2005-06, aims to capture budgetary resources earmarked for women and girl</w:t>
      </w:r>
      <w:r w:rsidR="00197D04">
        <w:t>s</w:t>
      </w:r>
      <w:r w:rsidRPr="00C00982">
        <w:t xml:space="preserve"> by Union ministries and departments. The Statement is presented in two parts: Part A enlists schemes and programmes meant entirely for the benefit of women and girls; while Part B reports schemes in which at least 30 percent </w:t>
      </w:r>
      <w:r>
        <w:t>of the funds benefit women and girl</w:t>
      </w:r>
      <w:r w:rsidR="00AD0E4B">
        <w:t>s</w:t>
      </w:r>
      <w:r>
        <w:t xml:space="preserve">. </w:t>
      </w:r>
    </w:p>
    <w:p w:rsidR="00D052D9" w:rsidRDefault="0095547B" w:rsidP="00D052D9">
      <w:pPr>
        <w:spacing w:before="120" w:after="120"/>
        <w:jc w:val="both"/>
      </w:pPr>
      <w:r>
        <w:t xml:space="preserve">The overall magnitude of the </w:t>
      </w:r>
      <w:r w:rsidR="00795EB7">
        <w:t xml:space="preserve">GBS </w:t>
      </w:r>
      <w:r w:rsidR="00E1139A">
        <w:t>in 2017-18 (BE) is Rs. 1</w:t>
      </w:r>
      <w:proofErr w:type="gramStart"/>
      <w:r w:rsidR="00473ADE">
        <w:t>,</w:t>
      </w:r>
      <w:r w:rsidR="00E1139A">
        <w:t>13</w:t>
      </w:r>
      <w:r w:rsidR="00473ADE">
        <w:t>,</w:t>
      </w:r>
      <w:r w:rsidR="00E1139A">
        <w:t>327</w:t>
      </w:r>
      <w:proofErr w:type="gramEnd"/>
      <w:r w:rsidR="00E1139A">
        <w:t xml:space="preserve"> crore, an increase from Rs. 90,770 crore in 2016-17 (BE).</w:t>
      </w:r>
      <w:r w:rsidR="00C134AE">
        <w:t xml:space="preserve"> </w:t>
      </w:r>
      <w:r w:rsidR="00E1139A">
        <w:t xml:space="preserve">A total of 26 ministries and departments </w:t>
      </w:r>
      <w:r w:rsidR="00964391">
        <w:t xml:space="preserve">and </w:t>
      </w:r>
      <w:r w:rsidR="00E1139A">
        <w:t xml:space="preserve">5 Union Territories have reported their interventions in the GBS this year. </w:t>
      </w:r>
      <w:r w:rsidR="004861D9">
        <w:t xml:space="preserve">The </w:t>
      </w:r>
      <w:r>
        <w:t>D</w:t>
      </w:r>
      <w:r w:rsidR="004861D9">
        <w:t>epartment of Telecommunications</w:t>
      </w:r>
      <w:r w:rsidR="00C43FA0">
        <w:t>, Department of Economic Affairs, Ministry of Overseas Indian Affairs,</w:t>
      </w:r>
      <w:r w:rsidR="004861D9">
        <w:t xml:space="preserve"> and</w:t>
      </w:r>
      <w:r>
        <w:t xml:space="preserve"> Ministry </w:t>
      </w:r>
      <w:r w:rsidRPr="00D04B2F">
        <w:t xml:space="preserve">of </w:t>
      </w:r>
      <w:proofErr w:type="spellStart"/>
      <w:r w:rsidRPr="00D04B2F">
        <w:t>Panchayati</w:t>
      </w:r>
      <w:proofErr w:type="spellEnd"/>
      <w:r w:rsidRPr="00D04B2F">
        <w:t xml:space="preserve"> Raj</w:t>
      </w:r>
      <w:r>
        <w:t xml:space="preserve"> </w:t>
      </w:r>
      <w:r w:rsidR="00E1139A">
        <w:lastRenderedPageBreak/>
        <w:t>have not</w:t>
      </w:r>
      <w:r>
        <w:t xml:space="preserve"> report</w:t>
      </w:r>
      <w:r w:rsidR="00E1139A">
        <w:t>ed</w:t>
      </w:r>
      <w:r>
        <w:t xml:space="preserve"> their programmes in the </w:t>
      </w:r>
      <w:r w:rsidR="00AD0E4B">
        <w:t xml:space="preserve">GBS </w:t>
      </w:r>
      <w:r w:rsidR="00E1139A">
        <w:t>this year</w:t>
      </w:r>
      <w:r w:rsidR="0054476B">
        <w:t xml:space="preserve">, while </w:t>
      </w:r>
      <w:r w:rsidR="00B43AC2">
        <w:t>the Ministry</w:t>
      </w:r>
      <w:r>
        <w:t xml:space="preserve"> of Petroleum and Natural Gas has </w:t>
      </w:r>
      <w:r w:rsidR="0054476B">
        <w:t>initiated</w:t>
      </w:r>
      <w:r>
        <w:t xml:space="preserve"> </w:t>
      </w:r>
      <w:r w:rsidR="00473ADE">
        <w:t xml:space="preserve">reporting </w:t>
      </w:r>
      <w:r>
        <w:t>in the GBS</w:t>
      </w:r>
      <w:r w:rsidR="0054476B">
        <w:t xml:space="preserve">. </w:t>
      </w:r>
    </w:p>
    <w:p w:rsidR="00800311" w:rsidRPr="00E10D66" w:rsidRDefault="00D052D9" w:rsidP="00E10D66">
      <w:pPr>
        <w:spacing w:before="120" w:after="120"/>
        <w:jc w:val="both"/>
      </w:pPr>
      <w:r>
        <w:t xml:space="preserve">The total allocations in Part A of the GBS </w:t>
      </w:r>
      <w:r w:rsidR="00AD0E4B">
        <w:t>are</w:t>
      </w:r>
      <w:r>
        <w:t xml:space="preserve"> </w:t>
      </w:r>
      <w:proofErr w:type="spellStart"/>
      <w:r>
        <w:t>Rs</w:t>
      </w:r>
      <w:proofErr w:type="spellEnd"/>
      <w:r>
        <w:t>. 31,390.8 crore in 2017-18 (BE)</w:t>
      </w:r>
      <w:r w:rsidR="001C6758">
        <w:t xml:space="preserve">, which as a proportion of the Union Budget, </w:t>
      </w:r>
      <w:r w:rsidR="00AD0E4B">
        <w:t xml:space="preserve">shows </w:t>
      </w:r>
      <w:r w:rsidR="001C6758">
        <w:t>an increase from the previous years</w:t>
      </w:r>
      <w:r w:rsidR="00DE4E26">
        <w:t>, as reflected in figure 11.1</w:t>
      </w:r>
      <w:r w:rsidR="00E10D66">
        <w:t>.</w:t>
      </w:r>
    </w:p>
    <w:p w:rsidR="00A0466C" w:rsidRPr="00A0466C" w:rsidRDefault="00A0466C" w:rsidP="00A0466C">
      <w:pPr>
        <w:spacing w:after="0"/>
        <w:jc w:val="center"/>
        <w:rPr>
          <w:b/>
        </w:rPr>
      </w:pPr>
      <w:r w:rsidRPr="00A0466C">
        <w:rPr>
          <w:b/>
        </w:rPr>
        <w:t>Figure 11.1 Outlays in Part A of the GBS</w:t>
      </w:r>
    </w:p>
    <w:p w:rsidR="00743F69" w:rsidRPr="00697372" w:rsidRDefault="00697372" w:rsidP="00E1139A">
      <w:pPr>
        <w:spacing w:after="0"/>
        <w:jc w:val="both"/>
        <w:rPr>
          <w:b/>
          <w:sz w:val="20"/>
        </w:rPr>
      </w:pPr>
      <w:r w:rsidRPr="00697372">
        <w:rPr>
          <w:noProof/>
          <w:sz w:val="20"/>
          <w:lang w:eastAsia="en-IN"/>
        </w:rPr>
        <w:drawing>
          <wp:inline distT="0" distB="0" distL="0" distR="0" wp14:anchorId="24161AE7" wp14:editId="7F12DBBE">
            <wp:extent cx="5731510" cy="2369147"/>
            <wp:effectExtent l="0" t="0" r="2159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3F69" w:rsidRPr="00743F69" w:rsidRDefault="00743F69" w:rsidP="00C66DCD">
      <w:pPr>
        <w:tabs>
          <w:tab w:val="left" w:pos="3769"/>
        </w:tabs>
        <w:spacing w:after="0" w:line="240" w:lineRule="auto"/>
        <w:jc w:val="both"/>
        <w:rPr>
          <w:sz w:val="18"/>
        </w:rPr>
      </w:pPr>
      <w:r w:rsidRPr="00747118">
        <w:rPr>
          <w:i/>
          <w:sz w:val="18"/>
        </w:rPr>
        <w:t>Notes</w:t>
      </w:r>
      <w:r w:rsidRPr="00743F69">
        <w:rPr>
          <w:sz w:val="18"/>
        </w:rPr>
        <w:t>: Part A of the GBS presents allocations to schemes exclusively for women. The allocations in Part B of the GBS are</w:t>
      </w:r>
      <w:r w:rsidR="00697372">
        <w:rPr>
          <w:sz w:val="18"/>
        </w:rPr>
        <w:t xml:space="preserve"> </w:t>
      </w:r>
      <w:r w:rsidRPr="00743F69">
        <w:rPr>
          <w:sz w:val="18"/>
        </w:rPr>
        <w:t>Rs.59</w:t>
      </w:r>
      <w:r w:rsidR="00697372">
        <w:rPr>
          <w:sz w:val="18"/>
        </w:rPr>
        <w:t>,</w:t>
      </w:r>
      <w:r w:rsidRPr="00743F69">
        <w:rPr>
          <w:sz w:val="18"/>
        </w:rPr>
        <w:t>233.6</w:t>
      </w:r>
      <w:r w:rsidR="00697372">
        <w:rPr>
          <w:sz w:val="18"/>
        </w:rPr>
        <w:t xml:space="preserve"> </w:t>
      </w:r>
      <w:r w:rsidRPr="00743F69">
        <w:rPr>
          <w:sz w:val="18"/>
        </w:rPr>
        <w:t>crore.in 2012-13 (RE), Rs.61</w:t>
      </w:r>
      <w:r w:rsidR="00697372">
        <w:rPr>
          <w:sz w:val="18"/>
        </w:rPr>
        <w:t>,</w:t>
      </w:r>
      <w:r w:rsidRPr="00743F69">
        <w:rPr>
          <w:sz w:val="18"/>
        </w:rPr>
        <w:t>210.3 crore in 2013-14 (RE), Rs.64</w:t>
      </w:r>
      <w:r w:rsidR="00697372">
        <w:rPr>
          <w:sz w:val="18"/>
        </w:rPr>
        <w:t>,</w:t>
      </w:r>
      <w:r w:rsidRPr="00743F69">
        <w:rPr>
          <w:sz w:val="18"/>
        </w:rPr>
        <w:t>556.7 crore in 2014-15(RE), Rs69</w:t>
      </w:r>
      <w:r w:rsidR="00697372">
        <w:rPr>
          <w:sz w:val="18"/>
        </w:rPr>
        <w:t>,</w:t>
      </w:r>
      <w:r w:rsidRPr="00743F69">
        <w:rPr>
          <w:sz w:val="18"/>
        </w:rPr>
        <w:t>860.7 Crore in 2015-</w:t>
      </w:r>
      <w:r w:rsidRPr="00697372">
        <w:rPr>
          <w:sz w:val="18"/>
        </w:rPr>
        <w:t>16 (RE) Rs.</w:t>
      </w:r>
      <w:r w:rsidR="00697372" w:rsidRPr="00697372">
        <w:rPr>
          <w:sz w:val="18"/>
        </w:rPr>
        <w:t>75</w:t>
      </w:r>
      <w:r w:rsidR="00697372">
        <w:rPr>
          <w:sz w:val="18"/>
        </w:rPr>
        <w:t>,152.7</w:t>
      </w:r>
      <w:r w:rsidRPr="00743F69">
        <w:rPr>
          <w:sz w:val="18"/>
        </w:rPr>
        <w:t xml:space="preserve"> crore in 2016-17 (</w:t>
      </w:r>
      <w:r w:rsidR="00697372">
        <w:rPr>
          <w:sz w:val="18"/>
        </w:rPr>
        <w:t>R</w:t>
      </w:r>
      <w:r w:rsidRPr="00743F69">
        <w:rPr>
          <w:sz w:val="18"/>
        </w:rPr>
        <w:t>E)</w:t>
      </w:r>
      <w:r w:rsidR="00697372" w:rsidRPr="00697372">
        <w:rPr>
          <w:sz w:val="18"/>
        </w:rPr>
        <w:t xml:space="preserve"> </w:t>
      </w:r>
      <w:r w:rsidR="00697372" w:rsidRPr="00743F69">
        <w:rPr>
          <w:sz w:val="18"/>
        </w:rPr>
        <w:t>and</w:t>
      </w:r>
      <w:r w:rsidR="00697372">
        <w:rPr>
          <w:sz w:val="18"/>
        </w:rPr>
        <w:t xml:space="preserve"> 81,935</w:t>
      </w:r>
      <w:r w:rsidRPr="00743F69">
        <w:rPr>
          <w:sz w:val="18"/>
        </w:rPr>
        <w:t>.</w:t>
      </w:r>
      <w:r w:rsidR="00697372">
        <w:rPr>
          <w:sz w:val="18"/>
        </w:rPr>
        <w:t>9 crore in 2017-18 (BE).</w:t>
      </w:r>
      <w:r w:rsidRPr="00743F69">
        <w:rPr>
          <w:sz w:val="18"/>
        </w:rPr>
        <w:t xml:space="preserve"> However, due to methodological flaws in the reporting by some Ministries in Part B of the GBS, the graph above only presents allocations in Part A as a proportion of the Union Budget.</w:t>
      </w:r>
    </w:p>
    <w:p w:rsidR="00697372" w:rsidRDefault="00743F69" w:rsidP="009B6B40">
      <w:pPr>
        <w:tabs>
          <w:tab w:val="left" w:pos="3769"/>
        </w:tabs>
        <w:spacing w:after="0" w:line="240" w:lineRule="auto"/>
        <w:jc w:val="both"/>
        <w:rPr>
          <w:sz w:val="18"/>
        </w:rPr>
      </w:pPr>
      <w:r w:rsidRPr="00747118">
        <w:rPr>
          <w:i/>
          <w:sz w:val="18"/>
        </w:rPr>
        <w:t>Source:</w:t>
      </w:r>
      <w:r w:rsidRPr="00743F69">
        <w:rPr>
          <w:sz w:val="18"/>
        </w:rPr>
        <w:t xml:space="preserve"> Compiled by CBGA from Union Budget documents, various years</w:t>
      </w:r>
      <w:r w:rsidR="00800311">
        <w:rPr>
          <w:sz w:val="18"/>
        </w:rPr>
        <w:t>.</w:t>
      </w:r>
    </w:p>
    <w:p w:rsidR="00343D35" w:rsidRDefault="00DE4E26" w:rsidP="00343D35">
      <w:pPr>
        <w:tabs>
          <w:tab w:val="left" w:pos="3769"/>
        </w:tabs>
        <w:spacing w:before="120" w:after="120"/>
        <w:jc w:val="both"/>
      </w:pPr>
      <w:r w:rsidRPr="00DE4E26">
        <w:t>The</w:t>
      </w:r>
      <w:r>
        <w:t xml:space="preserve"> increase in </w:t>
      </w:r>
      <w:r w:rsidR="00D61055">
        <w:t xml:space="preserve">allocations in Part A of the GBS this year is primarily on account of increased allocations reported by </w:t>
      </w:r>
      <w:r w:rsidR="00AD0E4B">
        <w:t>MWCD</w:t>
      </w:r>
      <w:r w:rsidR="00D61055">
        <w:t xml:space="preserve">, Department of Rural Development (for </w:t>
      </w:r>
      <w:r w:rsidR="00C64B82">
        <w:t xml:space="preserve">Rural </w:t>
      </w:r>
      <w:r w:rsidR="00D61055" w:rsidRPr="00D61055">
        <w:rPr>
          <w:i/>
        </w:rPr>
        <w:t xml:space="preserve">Pradhan </w:t>
      </w:r>
      <w:proofErr w:type="spellStart"/>
      <w:r w:rsidR="00D61055" w:rsidRPr="00D61055">
        <w:rPr>
          <w:i/>
        </w:rPr>
        <w:t>Mantri</w:t>
      </w:r>
      <w:proofErr w:type="spellEnd"/>
      <w:r w:rsidR="00D61055" w:rsidRPr="00D61055">
        <w:rPr>
          <w:i/>
        </w:rPr>
        <w:t xml:space="preserve"> </w:t>
      </w:r>
      <w:proofErr w:type="spellStart"/>
      <w:r w:rsidR="00D61055" w:rsidRPr="00D61055">
        <w:rPr>
          <w:i/>
        </w:rPr>
        <w:t>Awas</w:t>
      </w:r>
      <w:proofErr w:type="spellEnd"/>
      <w:r w:rsidR="00D61055" w:rsidRPr="00D61055">
        <w:rPr>
          <w:i/>
        </w:rPr>
        <w:t xml:space="preserve"> </w:t>
      </w:r>
      <w:proofErr w:type="spellStart"/>
      <w:r w:rsidR="00D61055" w:rsidRPr="00D61055">
        <w:rPr>
          <w:i/>
        </w:rPr>
        <w:t>Yojana</w:t>
      </w:r>
      <w:proofErr w:type="spellEnd"/>
      <w:r w:rsidR="00D61055">
        <w:t xml:space="preserve">) and Ministry of Petroleum and Natural Gas </w:t>
      </w:r>
      <w:r w:rsidR="00D04B2F">
        <w:t xml:space="preserve">(for LPG </w:t>
      </w:r>
      <w:r w:rsidR="00C66DCD">
        <w:t xml:space="preserve">connections to poor households). </w:t>
      </w:r>
      <w:r w:rsidR="00BE6F2E">
        <w:t xml:space="preserve">It may, however, be noted that </w:t>
      </w:r>
      <w:r w:rsidR="00BE6F2E" w:rsidRPr="00BE6F2E">
        <w:rPr>
          <w:i/>
        </w:rPr>
        <w:t xml:space="preserve">Pradhan </w:t>
      </w:r>
      <w:proofErr w:type="spellStart"/>
      <w:r w:rsidR="00BE6F2E" w:rsidRPr="00BE6F2E">
        <w:rPr>
          <w:i/>
        </w:rPr>
        <w:t>Mantri</w:t>
      </w:r>
      <w:proofErr w:type="spellEnd"/>
      <w:r w:rsidR="00BE6F2E" w:rsidRPr="00BE6F2E">
        <w:rPr>
          <w:i/>
        </w:rPr>
        <w:t xml:space="preserve"> </w:t>
      </w:r>
      <w:proofErr w:type="spellStart"/>
      <w:r w:rsidR="00BE6F2E" w:rsidRPr="00BE6F2E">
        <w:rPr>
          <w:i/>
        </w:rPr>
        <w:t>Awas</w:t>
      </w:r>
      <w:proofErr w:type="spellEnd"/>
      <w:r w:rsidR="00BE6F2E" w:rsidRPr="00BE6F2E">
        <w:rPr>
          <w:i/>
        </w:rPr>
        <w:t xml:space="preserve"> </w:t>
      </w:r>
      <w:proofErr w:type="spellStart"/>
      <w:r w:rsidR="00BE6F2E" w:rsidRPr="00BE6F2E">
        <w:rPr>
          <w:i/>
        </w:rPr>
        <w:t>Yojana</w:t>
      </w:r>
      <w:proofErr w:type="spellEnd"/>
      <w:r w:rsidR="00BE6F2E">
        <w:t xml:space="preserve"> is not a scheme meant only for women, hence its inclusion in Part A of the GBS is questionable. </w:t>
      </w:r>
      <w:r w:rsidR="00A871B9">
        <w:t>The</w:t>
      </w:r>
      <w:r w:rsidR="00BE6F2E">
        <w:t xml:space="preserve"> scheme for LPG connections to poor households</w:t>
      </w:r>
      <w:r w:rsidR="00747118">
        <w:t xml:space="preserve">, is a welcome intervention as it serves to reduce women’s drudgery and </w:t>
      </w:r>
      <w:r w:rsidR="00081533">
        <w:t>address</w:t>
      </w:r>
      <w:r w:rsidR="00110346">
        <w:t>es</w:t>
      </w:r>
      <w:r w:rsidR="00081533">
        <w:t xml:space="preserve"> health concerns associated with the use of </w:t>
      </w:r>
      <w:proofErr w:type="spellStart"/>
      <w:r w:rsidR="00081533" w:rsidRPr="00081533">
        <w:rPr>
          <w:i/>
        </w:rPr>
        <w:t>chulhas</w:t>
      </w:r>
      <w:proofErr w:type="spellEnd"/>
      <w:r w:rsidR="00A871B9">
        <w:t xml:space="preserve">; however, its reporting as a scheme benefiting women exclusively also inadvertently endorses the </w:t>
      </w:r>
      <w:r w:rsidR="0028714C">
        <w:t xml:space="preserve">gender stereotype </w:t>
      </w:r>
      <w:r w:rsidR="00A871B9">
        <w:t xml:space="preserve"> that domestic duties like cooking are </w:t>
      </w:r>
      <w:r w:rsidR="00B2392D">
        <w:t xml:space="preserve">primarily the responsibility of women. </w:t>
      </w:r>
    </w:p>
    <w:p w:rsidR="00343D35" w:rsidRDefault="00343D35" w:rsidP="00343D35">
      <w:pPr>
        <w:tabs>
          <w:tab w:val="left" w:pos="3769"/>
        </w:tabs>
        <w:spacing w:before="120" w:after="120"/>
        <w:jc w:val="both"/>
      </w:pPr>
      <w:r>
        <w:t xml:space="preserve">Allocations in Part B of the GBS have increased from </w:t>
      </w:r>
      <w:r w:rsidR="00C64B82">
        <w:t xml:space="preserve">Rs. </w:t>
      </w:r>
      <w:r>
        <w:t>73,2012 crore in 2016-17 (BE)</w:t>
      </w:r>
      <w:r w:rsidR="009A6426">
        <w:t xml:space="preserve"> to </w:t>
      </w:r>
      <w:proofErr w:type="spellStart"/>
      <w:r w:rsidR="009A6426">
        <w:t>Rs</w:t>
      </w:r>
      <w:proofErr w:type="spellEnd"/>
      <w:r w:rsidR="004E2E10">
        <w:t>.</w:t>
      </w:r>
      <w:r w:rsidR="009A6426">
        <w:t xml:space="preserve"> 81,395</w:t>
      </w:r>
      <w:r w:rsidR="005E2AE7">
        <w:t xml:space="preserve"> crore</w:t>
      </w:r>
      <w:r w:rsidR="009A6426">
        <w:t xml:space="preserve"> in </w:t>
      </w:r>
      <w:r w:rsidR="00264C2E">
        <w:t xml:space="preserve">2017-18 (BE). </w:t>
      </w:r>
      <w:r w:rsidR="00232F5A">
        <w:t>However, there do not seem to be any significant improvements in the reporting by ministries/departments in Part B of the GBS. Most departments/ministries continue to report a flat 30 percent or 50 percent of the total allocations in the GBS retrospectively, rather than identifying the gender based disadvantages in the</w:t>
      </w:r>
      <w:r w:rsidR="004E2E10">
        <w:t>ir respective</w:t>
      </w:r>
      <w:r w:rsidR="00232F5A">
        <w:t xml:space="preserve"> sectors of concern and the </w:t>
      </w:r>
      <w:r w:rsidR="00311879">
        <w:t>budgetary resources</w:t>
      </w:r>
      <w:r w:rsidR="00232F5A">
        <w:t xml:space="preserve"> earmarked to address these specific challe</w:t>
      </w:r>
      <w:r w:rsidR="00311879">
        <w:t xml:space="preserve">nges. Some changes in reporting of select schemes under certain ministries such as Ministry of Health and Family Welfare, Ministry of Tribal Affairs and Department of Agriculture, Cooperation and Farmer’s Welfare have been observed. However, the rationale underlying these changes is not clear as </w:t>
      </w:r>
      <w:r w:rsidR="00A82F8D">
        <w:t xml:space="preserve">the GBS does not provide any justification/rationale for reporting </w:t>
      </w:r>
      <w:r w:rsidR="00055D8D">
        <w:t xml:space="preserve">of schemes by departments/ministries in the </w:t>
      </w:r>
      <w:r w:rsidR="004E2E10">
        <w:t>statement</w:t>
      </w:r>
      <w:r w:rsidR="00055D8D">
        <w:t xml:space="preserve">. </w:t>
      </w:r>
    </w:p>
    <w:p w:rsidR="000A5C7C" w:rsidRDefault="000A5C7C" w:rsidP="00343D35">
      <w:pPr>
        <w:tabs>
          <w:tab w:val="left" w:pos="3769"/>
        </w:tabs>
        <w:spacing w:before="120" w:after="120"/>
        <w:jc w:val="both"/>
      </w:pPr>
      <w:r>
        <w:lastRenderedPageBreak/>
        <w:t>A</w:t>
      </w:r>
      <w:r w:rsidR="004E2E10">
        <w:t>nalysis of</w:t>
      </w:r>
      <w:r>
        <w:t xml:space="preserve"> GBS also </w:t>
      </w:r>
      <w:r w:rsidR="004E2E10">
        <w:t xml:space="preserve">highlights </w:t>
      </w:r>
      <w:r>
        <w:t>that important ministries continue to be outside the ambit of Gender Responsive Budgeting (GRB)</w:t>
      </w:r>
      <w:r w:rsidR="0019421F">
        <w:t xml:space="preserve">. For instance, the lack of safe sanitation facilities is recognised to be closely linked to the incidence of violence against women. However, the Ministry of Drinking </w:t>
      </w:r>
      <w:r w:rsidR="004E2E10">
        <w:t>W</w:t>
      </w:r>
      <w:r w:rsidR="0019421F">
        <w:t xml:space="preserve">ater and Sanitation is yet to adopt GRB. Likewise, </w:t>
      </w:r>
      <w:r w:rsidR="00A67C96">
        <w:t xml:space="preserve">other important ministries such as Ministry of Urban Development, Ministry of Law and Justice and Ministry of Tourism have not yet adopted GRB. </w:t>
      </w:r>
    </w:p>
    <w:p w:rsidR="000A5C7C" w:rsidRPr="00EA7409" w:rsidRDefault="00EA7409" w:rsidP="00343D35">
      <w:pPr>
        <w:tabs>
          <w:tab w:val="left" w:pos="3769"/>
        </w:tabs>
        <w:spacing w:before="120" w:after="120"/>
        <w:jc w:val="both"/>
        <w:rPr>
          <w:b/>
        </w:rPr>
      </w:pPr>
      <w:r w:rsidRPr="00EA7409">
        <w:rPr>
          <w:b/>
        </w:rPr>
        <w:t xml:space="preserve">Operationalisation of </w:t>
      </w:r>
      <w:proofErr w:type="spellStart"/>
      <w:r w:rsidRPr="00EA7409">
        <w:rPr>
          <w:b/>
          <w:i/>
        </w:rPr>
        <w:t>Nirbhaya</w:t>
      </w:r>
      <w:proofErr w:type="spellEnd"/>
      <w:r w:rsidRPr="00EA7409">
        <w:rPr>
          <w:b/>
        </w:rPr>
        <w:t xml:space="preserve"> Fund </w:t>
      </w:r>
    </w:p>
    <w:p w:rsidR="000A5C7C" w:rsidRDefault="00FE1CA1" w:rsidP="00343D35">
      <w:pPr>
        <w:tabs>
          <w:tab w:val="left" w:pos="3769"/>
        </w:tabs>
        <w:spacing w:before="120" w:after="120"/>
        <w:jc w:val="both"/>
      </w:pPr>
      <w:r>
        <w:t xml:space="preserve">The </w:t>
      </w:r>
      <w:proofErr w:type="spellStart"/>
      <w:r w:rsidRPr="00FE1CA1">
        <w:rPr>
          <w:i/>
        </w:rPr>
        <w:t>Nirbhaya</w:t>
      </w:r>
      <w:proofErr w:type="spellEnd"/>
      <w:r>
        <w:t xml:space="preserve"> Fund, </w:t>
      </w:r>
      <w:r w:rsidR="00B01A65">
        <w:t xml:space="preserve">introduced in Union Budget 2013-14 </w:t>
      </w:r>
      <w:r>
        <w:t xml:space="preserve">is a key Union Government intervention that aims to enhance the safety and security of women in the country. The total magnitude of the </w:t>
      </w:r>
      <w:r w:rsidR="00C64B82">
        <w:t xml:space="preserve">corpus </w:t>
      </w:r>
      <w:r>
        <w:t xml:space="preserve">is </w:t>
      </w:r>
      <w:proofErr w:type="spellStart"/>
      <w:r>
        <w:t>Rs</w:t>
      </w:r>
      <w:proofErr w:type="spellEnd"/>
      <w:r>
        <w:t>.</w:t>
      </w:r>
      <w:r w:rsidR="004E2E10">
        <w:t xml:space="preserve"> </w:t>
      </w:r>
      <w:r>
        <w:t>3,000 crore.  As of January 2017, sixteen proposals amounting to Rs. 2</w:t>
      </w:r>
      <w:r w:rsidR="004E2E10">
        <w:t>,</w:t>
      </w:r>
      <w:r>
        <w:t xml:space="preserve">187 crore have been appraised and recommended by the Empowered Committee of Officers, an inter-ministerial committee that </w:t>
      </w:r>
      <w:r w:rsidRPr="00FE1CA1">
        <w:t>appraises and recommends various proposals/projects proposed by different Ministries/Departments/States</w:t>
      </w:r>
      <w:r>
        <w:t xml:space="preserve"> under the Fund.</w:t>
      </w:r>
      <w:r>
        <w:rPr>
          <w:rStyle w:val="FootnoteReference"/>
        </w:rPr>
        <w:footnoteReference w:id="2"/>
      </w:r>
    </w:p>
    <w:p w:rsidR="000A5C7C" w:rsidRPr="00EC68B2" w:rsidRDefault="00EC68B2" w:rsidP="00343D35">
      <w:pPr>
        <w:tabs>
          <w:tab w:val="left" w:pos="3769"/>
        </w:tabs>
        <w:spacing w:before="120" w:after="120"/>
        <w:jc w:val="both"/>
      </w:pPr>
      <w:r>
        <w:t xml:space="preserve">From the information provided in the Union Budget documents, it could be interpreted that the amounts utilised under the </w:t>
      </w:r>
      <w:proofErr w:type="spellStart"/>
      <w:r w:rsidRPr="00EC68B2">
        <w:rPr>
          <w:i/>
        </w:rPr>
        <w:t>Nirbhaya</w:t>
      </w:r>
      <w:proofErr w:type="spellEnd"/>
      <w:r w:rsidRPr="00EC68B2">
        <w:rPr>
          <w:i/>
        </w:rPr>
        <w:t xml:space="preserve"> </w:t>
      </w:r>
      <w:r>
        <w:t>Fund are as follows:</w:t>
      </w:r>
    </w:p>
    <w:p w:rsidR="00A636FF" w:rsidRPr="00A636FF" w:rsidRDefault="00A636FF" w:rsidP="00A636FF">
      <w:pPr>
        <w:tabs>
          <w:tab w:val="left" w:pos="3769"/>
        </w:tabs>
        <w:spacing w:before="120" w:after="120"/>
        <w:jc w:val="center"/>
        <w:rPr>
          <w:b/>
        </w:rPr>
      </w:pPr>
      <w:r>
        <w:rPr>
          <w:b/>
        </w:rPr>
        <w:t xml:space="preserve">Table 11.2 </w:t>
      </w:r>
      <w:r w:rsidR="008F5600">
        <w:rPr>
          <w:b/>
        </w:rPr>
        <w:t xml:space="preserve">Allocation and Utilisation of </w:t>
      </w:r>
      <w:proofErr w:type="spellStart"/>
      <w:r w:rsidRPr="008F5600">
        <w:rPr>
          <w:b/>
          <w:i/>
        </w:rPr>
        <w:t>Nirbhaya</w:t>
      </w:r>
      <w:proofErr w:type="spellEnd"/>
      <w:r w:rsidRPr="00A636FF">
        <w:rPr>
          <w:b/>
        </w:rPr>
        <w:t xml:space="preserve"> Fund</w:t>
      </w:r>
      <w:r w:rsidR="002B7C03">
        <w:rPr>
          <w:b/>
        </w:rPr>
        <w:t xml:space="preserve"> (</w:t>
      </w:r>
      <w:proofErr w:type="spellStart"/>
      <w:r w:rsidR="002B7C03">
        <w:rPr>
          <w:b/>
        </w:rPr>
        <w:t>Rs</w:t>
      </w:r>
      <w:proofErr w:type="spellEnd"/>
      <w:r w:rsidR="002B7C03">
        <w:rPr>
          <w:b/>
        </w:rPr>
        <w:t>. Crore)</w:t>
      </w:r>
    </w:p>
    <w:tbl>
      <w:tblPr>
        <w:tblStyle w:val="TableGrid"/>
        <w:tblW w:w="0" w:type="auto"/>
        <w:jc w:val="center"/>
        <w:tblInd w:w="-1499" w:type="dxa"/>
        <w:tblLook w:val="04A0" w:firstRow="1" w:lastRow="0" w:firstColumn="1" w:lastColumn="0" w:noHBand="0" w:noVBand="1"/>
      </w:tblPr>
      <w:tblGrid>
        <w:gridCol w:w="3347"/>
        <w:gridCol w:w="1848"/>
        <w:gridCol w:w="1848"/>
        <w:gridCol w:w="1849"/>
      </w:tblGrid>
      <w:tr w:rsidR="00A636FF" w:rsidRPr="002B7C03" w:rsidTr="002B7C03">
        <w:trPr>
          <w:jc w:val="center"/>
        </w:trPr>
        <w:tc>
          <w:tcPr>
            <w:tcW w:w="3347" w:type="dxa"/>
            <w:vAlign w:val="center"/>
          </w:tcPr>
          <w:p w:rsidR="00A636FF" w:rsidRPr="002B7C03" w:rsidRDefault="00A636FF" w:rsidP="006E53E1">
            <w:pPr>
              <w:tabs>
                <w:tab w:val="left" w:pos="3769"/>
              </w:tabs>
              <w:spacing w:line="276" w:lineRule="auto"/>
              <w:jc w:val="center"/>
              <w:rPr>
                <w:b/>
                <w:sz w:val="20"/>
              </w:rPr>
            </w:pPr>
            <w:r w:rsidRPr="002B7C03">
              <w:rPr>
                <w:b/>
                <w:sz w:val="20"/>
              </w:rPr>
              <w:t>Department/ Ministry</w:t>
            </w:r>
          </w:p>
        </w:tc>
        <w:tc>
          <w:tcPr>
            <w:tcW w:w="1848" w:type="dxa"/>
            <w:vAlign w:val="center"/>
          </w:tcPr>
          <w:p w:rsidR="00A636FF" w:rsidRPr="002B7C03" w:rsidRDefault="00A636FF" w:rsidP="006E53E1">
            <w:pPr>
              <w:tabs>
                <w:tab w:val="left" w:pos="3769"/>
              </w:tabs>
              <w:spacing w:line="276" w:lineRule="auto"/>
              <w:jc w:val="center"/>
              <w:rPr>
                <w:b/>
                <w:sz w:val="20"/>
              </w:rPr>
            </w:pPr>
            <w:r w:rsidRPr="002B7C03">
              <w:rPr>
                <w:b/>
                <w:sz w:val="20"/>
              </w:rPr>
              <w:t>2016-17 (BE)</w:t>
            </w:r>
          </w:p>
        </w:tc>
        <w:tc>
          <w:tcPr>
            <w:tcW w:w="1848" w:type="dxa"/>
            <w:vAlign w:val="center"/>
          </w:tcPr>
          <w:p w:rsidR="00A636FF" w:rsidRPr="002B7C03" w:rsidRDefault="00A636FF" w:rsidP="006E53E1">
            <w:pPr>
              <w:tabs>
                <w:tab w:val="left" w:pos="3769"/>
              </w:tabs>
              <w:spacing w:line="276" w:lineRule="auto"/>
              <w:jc w:val="center"/>
              <w:rPr>
                <w:b/>
                <w:sz w:val="20"/>
              </w:rPr>
            </w:pPr>
            <w:r w:rsidRPr="002B7C03">
              <w:rPr>
                <w:b/>
                <w:sz w:val="20"/>
              </w:rPr>
              <w:t>2016-17 (RE)</w:t>
            </w:r>
          </w:p>
        </w:tc>
        <w:tc>
          <w:tcPr>
            <w:tcW w:w="1849" w:type="dxa"/>
            <w:vAlign w:val="center"/>
          </w:tcPr>
          <w:p w:rsidR="00A636FF" w:rsidRPr="002B7C03" w:rsidRDefault="00A636FF" w:rsidP="006E53E1">
            <w:pPr>
              <w:tabs>
                <w:tab w:val="left" w:pos="3769"/>
              </w:tabs>
              <w:spacing w:line="276" w:lineRule="auto"/>
              <w:jc w:val="center"/>
              <w:rPr>
                <w:b/>
                <w:sz w:val="20"/>
              </w:rPr>
            </w:pPr>
            <w:r w:rsidRPr="002B7C03">
              <w:rPr>
                <w:b/>
                <w:sz w:val="20"/>
              </w:rPr>
              <w:t>2017-18 (BE)</w:t>
            </w:r>
          </w:p>
        </w:tc>
      </w:tr>
      <w:tr w:rsidR="00A636FF" w:rsidRPr="002B7C03" w:rsidTr="002B7C03">
        <w:trPr>
          <w:trHeight w:val="646"/>
          <w:jc w:val="center"/>
        </w:trPr>
        <w:tc>
          <w:tcPr>
            <w:tcW w:w="3347" w:type="dxa"/>
            <w:vAlign w:val="center"/>
          </w:tcPr>
          <w:p w:rsidR="006E53E1" w:rsidRDefault="006E53E1" w:rsidP="006E53E1">
            <w:pPr>
              <w:tabs>
                <w:tab w:val="left" w:pos="3769"/>
              </w:tabs>
              <w:spacing w:line="276" w:lineRule="auto"/>
              <w:jc w:val="center"/>
              <w:rPr>
                <w:sz w:val="20"/>
              </w:rPr>
            </w:pPr>
            <w:r w:rsidRPr="002B7C03">
              <w:rPr>
                <w:sz w:val="20"/>
              </w:rPr>
              <w:t xml:space="preserve">Home Affairs </w:t>
            </w:r>
          </w:p>
          <w:p w:rsidR="00A636FF" w:rsidRPr="002B7C03" w:rsidRDefault="006E53E1" w:rsidP="006E53E1">
            <w:pPr>
              <w:tabs>
                <w:tab w:val="left" w:pos="3769"/>
              </w:tabs>
              <w:spacing w:line="276" w:lineRule="auto"/>
              <w:jc w:val="center"/>
              <w:rPr>
                <w:sz w:val="20"/>
              </w:rPr>
            </w:pPr>
            <w:r>
              <w:rPr>
                <w:sz w:val="20"/>
              </w:rPr>
              <w:t>(</w:t>
            </w:r>
            <w:r w:rsidR="002B7C03" w:rsidRPr="002B7C03">
              <w:rPr>
                <w:sz w:val="20"/>
              </w:rPr>
              <w:t>National Emergency Response System and Cyber Crime Prevention against Women and Children</w:t>
            </w:r>
            <w:r>
              <w:rPr>
                <w:sz w:val="20"/>
              </w:rPr>
              <w:t>)</w:t>
            </w:r>
          </w:p>
        </w:tc>
        <w:tc>
          <w:tcPr>
            <w:tcW w:w="1848" w:type="dxa"/>
            <w:vAlign w:val="center"/>
          </w:tcPr>
          <w:p w:rsidR="00A636FF" w:rsidRPr="002B7C03" w:rsidRDefault="002B7C03" w:rsidP="006E53E1">
            <w:pPr>
              <w:tabs>
                <w:tab w:val="left" w:pos="3769"/>
              </w:tabs>
              <w:spacing w:line="276" w:lineRule="auto"/>
              <w:jc w:val="center"/>
              <w:rPr>
                <w:sz w:val="20"/>
              </w:rPr>
            </w:pPr>
            <w:r>
              <w:rPr>
                <w:sz w:val="20"/>
              </w:rPr>
              <w:t>150</w:t>
            </w:r>
          </w:p>
        </w:tc>
        <w:tc>
          <w:tcPr>
            <w:tcW w:w="1848" w:type="dxa"/>
            <w:vAlign w:val="center"/>
          </w:tcPr>
          <w:p w:rsidR="00A636FF" w:rsidRPr="002B7C03" w:rsidRDefault="00EF33C2" w:rsidP="006E53E1">
            <w:pPr>
              <w:tabs>
                <w:tab w:val="left" w:pos="3769"/>
              </w:tabs>
              <w:spacing w:line="276" w:lineRule="auto"/>
              <w:jc w:val="center"/>
              <w:rPr>
                <w:sz w:val="20"/>
              </w:rPr>
            </w:pPr>
            <w:r>
              <w:rPr>
                <w:sz w:val="20"/>
              </w:rPr>
              <w:t>2</w:t>
            </w:r>
            <w:r w:rsidR="002B7C03">
              <w:rPr>
                <w:sz w:val="20"/>
              </w:rPr>
              <w:t>50</w:t>
            </w:r>
          </w:p>
        </w:tc>
        <w:tc>
          <w:tcPr>
            <w:tcW w:w="1849" w:type="dxa"/>
            <w:vAlign w:val="center"/>
          </w:tcPr>
          <w:p w:rsidR="00A636FF" w:rsidRPr="002B7C03" w:rsidRDefault="00EF33C2" w:rsidP="006E53E1">
            <w:pPr>
              <w:tabs>
                <w:tab w:val="left" w:pos="3769"/>
              </w:tabs>
              <w:spacing w:line="276" w:lineRule="auto"/>
              <w:jc w:val="center"/>
              <w:rPr>
                <w:sz w:val="20"/>
              </w:rPr>
            </w:pPr>
            <w:r>
              <w:rPr>
                <w:sz w:val="20"/>
              </w:rPr>
              <w:t>313.3</w:t>
            </w:r>
          </w:p>
        </w:tc>
      </w:tr>
      <w:tr w:rsidR="002B7C03" w:rsidRPr="002B7C03" w:rsidTr="002B7C03">
        <w:trPr>
          <w:jc w:val="center"/>
        </w:trPr>
        <w:tc>
          <w:tcPr>
            <w:tcW w:w="3347" w:type="dxa"/>
            <w:vAlign w:val="center"/>
          </w:tcPr>
          <w:p w:rsidR="002B7C03" w:rsidRPr="002B7C03" w:rsidRDefault="002B7C03" w:rsidP="006E53E1">
            <w:pPr>
              <w:tabs>
                <w:tab w:val="left" w:pos="3769"/>
              </w:tabs>
              <w:spacing w:line="276" w:lineRule="auto"/>
              <w:jc w:val="center"/>
              <w:rPr>
                <w:sz w:val="20"/>
              </w:rPr>
            </w:pPr>
            <w:r>
              <w:rPr>
                <w:sz w:val="20"/>
              </w:rPr>
              <w:t xml:space="preserve">Railways </w:t>
            </w:r>
          </w:p>
        </w:tc>
        <w:tc>
          <w:tcPr>
            <w:tcW w:w="1848" w:type="dxa"/>
            <w:vAlign w:val="center"/>
          </w:tcPr>
          <w:p w:rsidR="002B7C03" w:rsidRDefault="002B7C03" w:rsidP="006E53E1">
            <w:pPr>
              <w:tabs>
                <w:tab w:val="left" w:pos="3769"/>
              </w:tabs>
              <w:spacing w:line="276" w:lineRule="auto"/>
              <w:jc w:val="center"/>
              <w:rPr>
                <w:sz w:val="20"/>
              </w:rPr>
            </w:pPr>
          </w:p>
        </w:tc>
        <w:tc>
          <w:tcPr>
            <w:tcW w:w="1848" w:type="dxa"/>
            <w:vAlign w:val="center"/>
          </w:tcPr>
          <w:p w:rsidR="002B7C03" w:rsidRDefault="002B7C03" w:rsidP="006E53E1">
            <w:pPr>
              <w:tabs>
                <w:tab w:val="left" w:pos="3769"/>
              </w:tabs>
              <w:spacing w:line="276" w:lineRule="auto"/>
              <w:jc w:val="center"/>
              <w:rPr>
                <w:sz w:val="20"/>
              </w:rPr>
            </w:pPr>
            <w:r>
              <w:rPr>
                <w:sz w:val="20"/>
              </w:rPr>
              <w:t>200</w:t>
            </w:r>
          </w:p>
        </w:tc>
        <w:tc>
          <w:tcPr>
            <w:tcW w:w="1849" w:type="dxa"/>
            <w:vAlign w:val="center"/>
          </w:tcPr>
          <w:p w:rsidR="002B7C03" w:rsidRDefault="00E05CBA" w:rsidP="006E53E1">
            <w:pPr>
              <w:tabs>
                <w:tab w:val="left" w:pos="3769"/>
              </w:tabs>
              <w:spacing w:line="276" w:lineRule="auto"/>
              <w:jc w:val="center"/>
              <w:rPr>
                <w:sz w:val="20"/>
              </w:rPr>
            </w:pPr>
            <w:r>
              <w:rPr>
                <w:sz w:val="20"/>
              </w:rPr>
              <w:t>-</w:t>
            </w:r>
          </w:p>
        </w:tc>
      </w:tr>
      <w:tr w:rsidR="002B7C03" w:rsidRPr="002B7C03" w:rsidTr="002B7C03">
        <w:trPr>
          <w:jc w:val="center"/>
        </w:trPr>
        <w:tc>
          <w:tcPr>
            <w:tcW w:w="3347" w:type="dxa"/>
            <w:vAlign w:val="center"/>
          </w:tcPr>
          <w:p w:rsidR="002B7C03" w:rsidRDefault="002B7C03" w:rsidP="006E53E1">
            <w:pPr>
              <w:tabs>
                <w:tab w:val="left" w:pos="3769"/>
              </w:tabs>
              <w:spacing w:line="276" w:lineRule="auto"/>
              <w:jc w:val="center"/>
              <w:rPr>
                <w:sz w:val="20"/>
              </w:rPr>
            </w:pPr>
            <w:r>
              <w:rPr>
                <w:sz w:val="20"/>
              </w:rPr>
              <w:t xml:space="preserve">Women and Child </w:t>
            </w:r>
            <w:r w:rsidR="008F5600">
              <w:rPr>
                <w:sz w:val="20"/>
              </w:rPr>
              <w:t>Development</w:t>
            </w:r>
          </w:p>
        </w:tc>
        <w:tc>
          <w:tcPr>
            <w:tcW w:w="1848" w:type="dxa"/>
            <w:vAlign w:val="center"/>
          </w:tcPr>
          <w:p w:rsidR="002B7C03" w:rsidRDefault="00EF33C2" w:rsidP="006E53E1">
            <w:pPr>
              <w:tabs>
                <w:tab w:val="left" w:pos="3769"/>
              </w:tabs>
              <w:spacing w:line="276" w:lineRule="auto"/>
              <w:jc w:val="center"/>
              <w:rPr>
                <w:sz w:val="20"/>
              </w:rPr>
            </w:pPr>
            <w:r>
              <w:rPr>
                <w:sz w:val="20"/>
              </w:rPr>
              <w:t>400</w:t>
            </w:r>
          </w:p>
        </w:tc>
        <w:tc>
          <w:tcPr>
            <w:tcW w:w="1848" w:type="dxa"/>
            <w:vAlign w:val="center"/>
          </w:tcPr>
          <w:p w:rsidR="002B7C03" w:rsidRDefault="00EF33C2" w:rsidP="006E53E1">
            <w:pPr>
              <w:tabs>
                <w:tab w:val="left" w:pos="3769"/>
              </w:tabs>
              <w:spacing w:line="276" w:lineRule="auto"/>
              <w:jc w:val="center"/>
              <w:rPr>
                <w:sz w:val="20"/>
              </w:rPr>
            </w:pPr>
            <w:r>
              <w:rPr>
                <w:sz w:val="20"/>
              </w:rPr>
              <w:t>585</w:t>
            </w:r>
          </w:p>
        </w:tc>
        <w:tc>
          <w:tcPr>
            <w:tcW w:w="1849" w:type="dxa"/>
            <w:vAlign w:val="center"/>
          </w:tcPr>
          <w:p w:rsidR="002B7C03" w:rsidRDefault="00EF33C2" w:rsidP="006E53E1">
            <w:pPr>
              <w:tabs>
                <w:tab w:val="left" w:pos="3769"/>
              </w:tabs>
              <w:spacing w:line="276" w:lineRule="auto"/>
              <w:jc w:val="center"/>
              <w:rPr>
                <w:sz w:val="20"/>
              </w:rPr>
            </w:pPr>
            <w:r>
              <w:rPr>
                <w:sz w:val="20"/>
              </w:rPr>
              <w:t>400</w:t>
            </w:r>
          </w:p>
        </w:tc>
      </w:tr>
    </w:tbl>
    <w:p w:rsidR="00A636FF" w:rsidRPr="00240ECA" w:rsidRDefault="00240ECA" w:rsidP="00240ECA">
      <w:pPr>
        <w:tabs>
          <w:tab w:val="left" w:pos="3769"/>
        </w:tabs>
        <w:spacing w:after="0" w:line="240" w:lineRule="auto"/>
        <w:jc w:val="both"/>
        <w:rPr>
          <w:sz w:val="18"/>
        </w:rPr>
      </w:pPr>
      <w:r w:rsidRPr="00747118">
        <w:rPr>
          <w:i/>
          <w:sz w:val="18"/>
        </w:rPr>
        <w:t>Source:</w:t>
      </w:r>
      <w:r w:rsidRPr="00743F69">
        <w:rPr>
          <w:sz w:val="18"/>
        </w:rPr>
        <w:t xml:space="preserve"> Compiled by CBGA from Union Budget documents</w:t>
      </w:r>
      <w:r>
        <w:rPr>
          <w:sz w:val="18"/>
        </w:rPr>
        <w:t>.</w:t>
      </w:r>
    </w:p>
    <w:p w:rsidR="00EC68B2" w:rsidRDefault="00EC68B2" w:rsidP="00343D35">
      <w:pPr>
        <w:tabs>
          <w:tab w:val="left" w:pos="3769"/>
        </w:tabs>
        <w:spacing w:before="120" w:after="120"/>
        <w:jc w:val="both"/>
      </w:pPr>
      <w:r>
        <w:t xml:space="preserve">However, there is a need for </w:t>
      </w:r>
      <w:r w:rsidR="004E2E10">
        <w:t>greater</w:t>
      </w:r>
      <w:r>
        <w:t xml:space="preserve"> clarity on </w:t>
      </w:r>
      <w:proofErr w:type="spellStart"/>
      <w:r w:rsidRPr="00EC68B2">
        <w:rPr>
          <w:i/>
        </w:rPr>
        <w:t>Nirbhaya</w:t>
      </w:r>
      <w:proofErr w:type="spellEnd"/>
      <w:r>
        <w:t xml:space="preserve"> Fund. The government must make information on the allocations and utilisation of interventions under the Fund available in the public domain. Also, important proposals</w:t>
      </w:r>
      <w:r>
        <w:rPr>
          <w:rStyle w:val="FootnoteReference"/>
        </w:rPr>
        <w:footnoteReference w:id="3"/>
      </w:r>
      <w:r>
        <w:t xml:space="preserve">, such as the Central Victim Compensation Fund, proposed under the </w:t>
      </w:r>
      <w:proofErr w:type="spellStart"/>
      <w:r w:rsidRPr="004E2E10">
        <w:rPr>
          <w:i/>
          <w:iCs/>
        </w:rPr>
        <w:t>Nirbhaya</w:t>
      </w:r>
      <w:proofErr w:type="spellEnd"/>
      <w:r>
        <w:t xml:space="preserve"> Fund, do not seem to have been introduced in Union Budget 2017-18. </w:t>
      </w:r>
    </w:p>
    <w:p w:rsidR="000A5C7C" w:rsidRDefault="00B01A65" w:rsidP="00343D35">
      <w:pPr>
        <w:tabs>
          <w:tab w:val="left" w:pos="3769"/>
        </w:tabs>
        <w:spacing w:before="120" w:after="120"/>
        <w:jc w:val="both"/>
      </w:pPr>
      <w:r>
        <w:t xml:space="preserve">The hurdles in the operationalisation of </w:t>
      </w:r>
      <w:proofErr w:type="spellStart"/>
      <w:r w:rsidRPr="00B01A65">
        <w:rPr>
          <w:i/>
        </w:rPr>
        <w:t>Nirbhaya</w:t>
      </w:r>
      <w:proofErr w:type="spellEnd"/>
      <w:r>
        <w:t xml:space="preserve"> Fund have affected its effective utilisation. </w:t>
      </w:r>
      <w:r w:rsidR="00240ECA">
        <w:t xml:space="preserve">The </w:t>
      </w:r>
      <w:r>
        <w:t>low utilisation</w:t>
      </w:r>
      <w:r w:rsidR="00240ECA">
        <w:t xml:space="preserve"> of the Fund indicates the lack of priority towards the issue of women’s safety</w:t>
      </w:r>
      <w:r>
        <w:t xml:space="preserve"> and </w:t>
      </w:r>
      <w:proofErr w:type="spellStart"/>
      <w:r>
        <w:t>security</w:t>
      </w:r>
      <w:r w:rsidR="004E2E10">
        <w:t>.T</w:t>
      </w:r>
      <w:r>
        <w:t>the</w:t>
      </w:r>
      <w:proofErr w:type="spellEnd"/>
      <w:r w:rsidR="00240ECA">
        <w:t xml:space="preserve"> implementation of th</w:t>
      </w:r>
      <w:r w:rsidR="004E2E10">
        <w:t>is</w:t>
      </w:r>
      <w:r w:rsidR="00240ECA">
        <w:t xml:space="preserve"> Fund presented an opportunity to institute a comprehensive set of measures by appropriate</w:t>
      </w:r>
      <w:r>
        <w:t xml:space="preserve"> departments and ministries. Given government’s stated commitment towards enhancing women’s safety in the country, it is imperative to undertake steps to ensure optimal utilisation of the Fund. </w:t>
      </w:r>
    </w:p>
    <w:p w:rsidR="000A5C7C" w:rsidRDefault="000A5C7C" w:rsidP="00343D35">
      <w:pPr>
        <w:tabs>
          <w:tab w:val="left" w:pos="3769"/>
        </w:tabs>
        <w:spacing w:before="120" w:after="120"/>
        <w:jc w:val="both"/>
      </w:pPr>
    </w:p>
    <w:p w:rsidR="00EC68B2" w:rsidRDefault="00EC68B2" w:rsidP="00343D35">
      <w:pPr>
        <w:tabs>
          <w:tab w:val="left" w:pos="3769"/>
        </w:tabs>
        <w:spacing w:before="120" w:after="120"/>
        <w:jc w:val="both"/>
      </w:pPr>
    </w:p>
    <w:p w:rsidR="000A5C7C" w:rsidRPr="00B01A65" w:rsidRDefault="000A5C7C" w:rsidP="00343D35">
      <w:pPr>
        <w:tabs>
          <w:tab w:val="left" w:pos="3769"/>
        </w:tabs>
        <w:spacing w:before="120" w:after="120"/>
        <w:jc w:val="both"/>
        <w:rPr>
          <w:b/>
        </w:rPr>
      </w:pPr>
    </w:p>
    <w:sectPr w:rsidR="000A5C7C" w:rsidRPr="00B01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71C" w:rsidRDefault="00F1571C" w:rsidP="00A20404">
      <w:pPr>
        <w:spacing w:after="0" w:line="240" w:lineRule="auto"/>
      </w:pPr>
      <w:r>
        <w:separator/>
      </w:r>
    </w:p>
  </w:endnote>
  <w:endnote w:type="continuationSeparator" w:id="0">
    <w:p w:rsidR="00F1571C" w:rsidRDefault="00F1571C" w:rsidP="00A2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71C" w:rsidRDefault="00F1571C" w:rsidP="00A20404">
      <w:pPr>
        <w:spacing w:after="0" w:line="240" w:lineRule="auto"/>
      </w:pPr>
      <w:r>
        <w:separator/>
      </w:r>
    </w:p>
  </w:footnote>
  <w:footnote w:type="continuationSeparator" w:id="0">
    <w:p w:rsidR="00F1571C" w:rsidRDefault="00F1571C" w:rsidP="00A20404">
      <w:pPr>
        <w:spacing w:after="0" w:line="240" w:lineRule="auto"/>
      </w:pPr>
      <w:r>
        <w:continuationSeparator/>
      </w:r>
    </w:p>
  </w:footnote>
  <w:footnote w:id="1">
    <w:p w:rsidR="00A20404" w:rsidRPr="00A20404" w:rsidRDefault="00A20404" w:rsidP="003A42AC">
      <w:pPr>
        <w:pStyle w:val="FootnoteText"/>
        <w:jc w:val="both"/>
        <w:rPr>
          <w:lang w:val="en-US"/>
        </w:rPr>
      </w:pPr>
      <w:r>
        <w:rPr>
          <w:rStyle w:val="FootnoteReference"/>
        </w:rPr>
        <w:footnoteRef/>
      </w:r>
      <w:r>
        <w:t xml:space="preserve"> </w:t>
      </w:r>
      <w:r w:rsidR="003A42AC">
        <w:rPr>
          <w:rFonts w:cs="Arial"/>
          <w:color w:val="222222"/>
          <w:sz w:val="18"/>
          <w:shd w:val="clear" w:color="auto" w:fill="FFFFFF"/>
        </w:rPr>
        <w:t>Government of India (2017),</w:t>
      </w:r>
      <w:r w:rsidR="003A42AC" w:rsidRPr="003A42AC">
        <w:rPr>
          <w:rFonts w:cs="Arial"/>
          <w:color w:val="222222"/>
          <w:sz w:val="18"/>
          <w:shd w:val="clear" w:color="auto" w:fill="FFFFFF"/>
        </w:rPr>
        <w:t xml:space="preserve"> Pan-India expansion of Maternity Benefit Programme (MBP) to benefit pregnant and lactating mothers across the country dated 3 January 2017, New Delhi: Press Information Bureau. Available </w:t>
      </w:r>
      <w:proofErr w:type="spellStart"/>
      <w:r w:rsidR="003A42AC" w:rsidRPr="003A42AC">
        <w:rPr>
          <w:rFonts w:cs="Arial"/>
          <w:color w:val="222222"/>
          <w:sz w:val="18"/>
          <w:shd w:val="clear" w:color="auto" w:fill="FFFFFF"/>
        </w:rPr>
        <w:t>at:</w:t>
      </w:r>
      <w:hyperlink r:id="rId1" w:tgtFrame="_blank" w:history="1">
        <w:r w:rsidR="003A42AC" w:rsidRPr="003A42AC">
          <w:rPr>
            <w:rStyle w:val="Hyperlink"/>
            <w:rFonts w:cs="Arial"/>
            <w:color w:val="1155CC"/>
            <w:sz w:val="18"/>
            <w:shd w:val="clear" w:color="auto" w:fill="FFFFFF"/>
          </w:rPr>
          <w:t>http</w:t>
        </w:r>
        <w:proofErr w:type="spellEnd"/>
        <w:r w:rsidR="003A42AC" w:rsidRPr="003A42AC">
          <w:rPr>
            <w:rStyle w:val="Hyperlink"/>
            <w:rFonts w:cs="Arial"/>
            <w:color w:val="1155CC"/>
            <w:sz w:val="18"/>
            <w:shd w:val="clear" w:color="auto" w:fill="FFFFFF"/>
          </w:rPr>
          <w:t>://pib.nic.in/</w:t>
        </w:r>
        <w:proofErr w:type="spellStart"/>
        <w:r w:rsidR="003A42AC" w:rsidRPr="003A42AC">
          <w:rPr>
            <w:rStyle w:val="Hyperlink"/>
            <w:rFonts w:cs="Arial"/>
            <w:color w:val="1155CC"/>
            <w:sz w:val="18"/>
            <w:shd w:val="clear" w:color="auto" w:fill="FFFFFF"/>
          </w:rPr>
          <w:t>newsite</w:t>
        </w:r>
        <w:proofErr w:type="spellEnd"/>
        <w:r w:rsidR="003A42AC" w:rsidRPr="003A42AC">
          <w:rPr>
            <w:rStyle w:val="Hyperlink"/>
            <w:rFonts w:cs="Arial"/>
            <w:color w:val="1155CC"/>
            <w:sz w:val="18"/>
            <w:shd w:val="clear" w:color="auto" w:fill="FFFFFF"/>
          </w:rPr>
          <w:t>/</w:t>
        </w:r>
        <w:proofErr w:type="spellStart"/>
        <w:r w:rsidR="003A42AC" w:rsidRPr="003A42AC">
          <w:rPr>
            <w:rStyle w:val="Hyperlink"/>
            <w:rFonts w:cs="Arial"/>
            <w:color w:val="1155CC"/>
            <w:sz w:val="18"/>
            <w:shd w:val="clear" w:color="auto" w:fill="FFFFFF"/>
          </w:rPr>
          <w:t>PrintRelease.aspx?relid</w:t>
        </w:r>
        <w:proofErr w:type="spellEnd"/>
        <w:r w:rsidR="003A42AC" w:rsidRPr="003A42AC">
          <w:rPr>
            <w:rStyle w:val="Hyperlink"/>
            <w:rFonts w:cs="Arial"/>
            <w:color w:val="1155CC"/>
            <w:sz w:val="18"/>
            <w:shd w:val="clear" w:color="auto" w:fill="FFFFFF"/>
          </w:rPr>
          <w:t>=156094</w:t>
        </w:r>
      </w:hyperlink>
    </w:p>
  </w:footnote>
  <w:footnote w:id="2">
    <w:p w:rsidR="00FE1CA1" w:rsidRPr="00FE1CA1" w:rsidRDefault="00FE1CA1">
      <w:pPr>
        <w:pStyle w:val="FootnoteText"/>
        <w:rPr>
          <w:lang w:val="en-US"/>
        </w:rPr>
      </w:pPr>
      <w:r>
        <w:rPr>
          <w:rStyle w:val="FootnoteReference"/>
        </w:rPr>
        <w:footnoteRef/>
      </w:r>
      <w:r>
        <w:t xml:space="preserve"> </w:t>
      </w:r>
      <w:r w:rsidRPr="00FE1CA1">
        <w:t xml:space="preserve">Government of India (2017), </w:t>
      </w:r>
      <w:r>
        <w:t xml:space="preserve">Clarification regarding Utilisation of </w:t>
      </w:r>
      <w:proofErr w:type="spellStart"/>
      <w:r>
        <w:t>Nirbhaya</w:t>
      </w:r>
      <w:proofErr w:type="spellEnd"/>
      <w:r>
        <w:t xml:space="preserve"> Fund</w:t>
      </w:r>
      <w:r w:rsidRPr="00FE1CA1">
        <w:t xml:space="preserve"> dated </w:t>
      </w:r>
      <w:r w:rsidR="00A636FF">
        <w:t xml:space="preserve">27 </w:t>
      </w:r>
      <w:r w:rsidRPr="00FE1CA1">
        <w:t>January 2017, New Delhi: Press Information Bureau. Available at:</w:t>
      </w:r>
      <w:r w:rsidR="00A636FF">
        <w:t xml:space="preserve"> </w:t>
      </w:r>
      <w:r w:rsidR="00A636FF" w:rsidRPr="00FE1CA1">
        <w:rPr>
          <w:lang w:val="en-US"/>
        </w:rPr>
        <w:t xml:space="preserve"> </w:t>
      </w:r>
      <w:r w:rsidR="00A636FF" w:rsidRPr="00A636FF">
        <w:rPr>
          <w:lang w:val="en-US"/>
        </w:rPr>
        <w:t>http://pib.nic.in/newsite/PrintRelease.aspx?relid=157727</w:t>
      </w:r>
    </w:p>
  </w:footnote>
  <w:footnote w:id="3">
    <w:p w:rsidR="00EC68B2" w:rsidRPr="00EC68B2" w:rsidRDefault="00EC68B2" w:rsidP="00EC68B2">
      <w:pPr>
        <w:pStyle w:val="FootnoteText"/>
        <w:rPr>
          <w:b/>
        </w:rPr>
      </w:pPr>
      <w:r>
        <w:rPr>
          <w:rStyle w:val="FootnoteReference"/>
        </w:rPr>
        <w:footnoteRef/>
      </w:r>
      <w:r>
        <w:t xml:space="preserve"> </w:t>
      </w:r>
      <w:proofErr w:type="spellStart"/>
      <w:r w:rsidRPr="00EC68B2">
        <w:t>Rajya</w:t>
      </w:r>
      <w:proofErr w:type="spellEnd"/>
      <w:r w:rsidRPr="00EC68B2">
        <w:t xml:space="preserve"> Sabha </w:t>
      </w:r>
      <w:proofErr w:type="spellStart"/>
      <w:r w:rsidRPr="00EC68B2">
        <w:t>Unstarred</w:t>
      </w:r>
      <w:proofErr w:type="spellEnd"/>
      <w:r w:rsidRPr="00EC68B2">
        <w:t xml:space="preserve"> Question No 2931 </w:t>
      </w:r>
      <w:r w:rsidRPr="00EC68B2">
        <w:rPr>
          <w:bCs/>
        </w:rPr>
        <w:t>To Be Answered On 11.08.2016</w:t>
      </w:r>
    </w:p>
    <w:p w:rsidR="00EC68B2" w:rsidRPr="00EC68B2" w:rsidRDefault="00EC68B2">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5CCB"/>
    <w:multiLevelType w:val="hybridMultilevel"/>
    <w:tmpl w:val="658C096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2E220EA3"/>
    <w:multiLevelType w:val="hybridMultilevel"/>
    <w:tmpl w:val="77E862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44F4640"/>
    <w:multiLevelType w:val="hybridMultilevel"/>
    <w:tmpl w:val="F7B0D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8FC3C80"/>
    <w:multiLevelType w:val="hybridMultilevel"/>
    <w:tmpl w:val="98EA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ED"/>
    <w:rsid w:val="0001414C"/>
    <w:rsid w:val="00050212"/>
    <w:rsid w:val="00055D8D"/>
    <w:rsid w:val="00081533"/>
    <w:rsid w:val="0009105D"/>
    <w:rsid w:val="0009720E"/>
    <w:rsid w:val="000A5C7C"/>
    <w:rsid w:val="000A732A"/>
    <w:rsid w:val="00110346"/>
    <w:rsid w:val="001378DD"/>
    <w:rsid w:val="0018779C"/>
    <w:rsid w:val="0019421F"/>
    <w:rsid w:val="00197D04"/>
    <w:rsid w:val="001A2D16"/>
    <w:rsid w:val="001C6758"/>
    <w:rsid w:val="00232F5A"/>
    <w:rsid w:val="00240ECA"/>
    <w:rsid w:val="00254D7D"/>
    <w:rsid w:val="00264C2E"/>
    <w:rsid w:val="00265320"/>
    <w:rsid w:val="00270D31"/>
    <w:rsid w:val="002855D8"/>
    <w:rsid w:val="0028714C"/>
    <w:rsid w:val="002A2508"/>
    <w:rsid w:val="002A7D0A"/>
    <w:rsid w:val="002B7C03"/>
    <w:rsid w:val="002B7D23"/>
    <w:rsid w:val="002C0C89"/>
    <w:rsid w:val="00311879"/>
    <w:rsid w:val="00333393"/>
    <w:rsid w:val="00343D35"/>
    <w:rsid w:val="00374B8E"/>
    <w:rsid w:val="00376EC7"/>
    <w:rsid w:val="00390724"/>
    <w:rsid w:val="003A3F9B"/>
    <w:rsid w:val="003A42AC"/>
    <w:rsid w:val="003D0BDF"/>
    <w:rsid w:val="003D69ED"/>
    <w:rsid w:val="0043026A"/>
    <w:rsid w:val="0044416A"/>
    <w:rsid w:val="004721D2"/>
    <w:rsid w:val="00473ADE"/>
    <w:rsid w:val="004861D9"/>
    <w:rsid w:val="004C138C"/>
    <w:rsid w:val="004E2E10"/>
    <w:rsid w:val="004F3919"/>
    <w:rsid w:val="005041A4"/>
    <w:rsid w:val="0054476B"/>
    <w:rsid w:val="005C2363"/>
    <w:rsid w:val="005D09FC"/>
    <w:rsid w:val="005E11C4"/>
    <w:rsid w:val="005E2AE7"/>
    <w:rsid w:val="005E5F7D"/>
    <w:rsid w:val="005F2C33"/>
    <w:rsid w:val="005F5A5F"/>
    <w:rsid w:val="006357ED"/>
    <w:rsid w:val="00697372"/>
    <w:rsid w:val="006B3509"/>
    <w:rsid w:val="006B405D"/>
    <w:rsid w:val="006E3BE0"/>
    <w:rsid w:val="006E53E1"/>
    <w:rsid w:val="006F55AD"/>
    <w:rsid w:val="007022B1"/>
    <w:rsid w:val="007305DA"/>
    <w:rsid w:val="00743F69"/>
    <w:rsid w:val="00747118"/>
    <w:rsid w:val="00773ABB"/>
    <w:rsid w:val="00785A2B"/>
    <w:rsid w:val="00795EB7"/>
    <w:rsid w:val="007E520E"/>
    <w:rsid w:val="00800311"/>
    <w:rsid w:val="008130E1"/>
    <w:rsid w:val="00822E2B"/>
    <w:rsid w:val="00831D2D"/>
    <w:rsid w:val="00844E5E"/>
    <w:rsid w:val="008B3742"/>
    <w:rsid w:val="008F5600"/>
    <w:rsid w:val="00904E0E"/>
    <w:rsid w:val="0090799C"/>
    <w:rsid w:val="00931375"/>
    <w:rsid w:val="009407E1"/>
    <w:rsid w:val="0095547B"/>
    <w:rsid w:val="00964391"/>
    <w:rsid w:val="00975B61"/>
    <w:rsid w:val="00976C37"/>
    <w:rsid w:val="009A6426"/>
    <w:rsid w:val="009B6B40"/>
    <w:rsid w:val="00A0466C"/>
    <w:rsid w:val="00A20404"/>
    <w:rsid w:val="00A41870"/>
    <w:rsid w:val="00A636FF"/>
    <w:rsid w:val="00A67C96"/>
    <w:rsid w:val="00A80754"/>
    <w:rsid w:val="00A82F8D"/>
    <w:rsid w:val="00A871B9"/>
    <w:rsid w:val="00A9442D"/>
    <w:rsid w:val="00AA0F16"/>
    <w:rsid w:val="00AB10E5"/>
    <w:rsid w:val="00AD0E4B"/>
    <w:rsid w:val="00AD672C"/>
    <w:rsid w:val="00B01A65"/>
    <w:rsid w:val="00B032F2"/>
    <w:rsid w:val="00B07B23"/>
    <w:rsid w:val="00B2392D"/>
    <w:rsid w:val="00B41D16"/>
    <w:rsid w:val="00B43AC2"/>
    <w:rsid w:val="00B9191D"/>
    <w:rsid w:val="00B967E3"/>
    <w:rsid w:val="00BC44BE"/>
    <w:rsid w:val="00BD6EA2"/>
    <w:rsid w:val="00BE651D"/>
    <w:rsid w:val="00BE6F2E"/>
    <w:rsid w:val="00C00982"/>
    <w:rsid w:val="00C134AE"/>
    <w:rsid w:val="00C43FA0"/>
    <w:rsid w:val="00C64B82"/>
    <w:rsid w:val="00C66DCD"/>
    <w:rsid w:val="00CD7613"/>
    <w:rsid w:val="00D04B2F"/>
    <w:rsid w:val="00D052D9"/>
    <w:rsid w:val="00D50905"/>
    <w:rsid w:val="00D61055"/>
    <w:rsid w:val="00D66993"/>
    <w:rsid w:val="00D7470B"/>
    <w:rsid w:val="00DD035C"/>
    <w:rsid w:val="00DE4E26"/>
    <w:rsid w:val="00DE6457"/>
    <w:rsid w:val="00E05CBA"/>
    <w:rsid w:val="00E10D66"/>
    <w:rsid w:val="00E1139A"/>
    <w:rsid w:val="00E123AB"/>
    <w:rsid w:val="00E1411B"/>
    <w:rsid w:val="00E93274"/>
    <w:rsid w:val="00E948ED"/>
    <w:rsid w:val="00EA7409"/>
    <w:rsid w:val="00EB3B3F"/>
    <w:rsid w:val="00EC68B2"/>
    <w:rsid w:val="00EF33C2"/>
    <w:rsid w:val="00F06BAC"/>
    <w:rsid w:val="00F1571C"/>
    <w:rsid w:val="00F220F4"/>
    <w:rsid w:val="00F37DF8"/>
    <w:rsid w:val="00F40A29"/>
    <w:rsid w:val="00F76BD1"/>
    <w:rsid w:val="00F953AB"/>
    <w:rsid w:val="00FB3374"/>
    <w:rsid w:val="00FC398F"/>
    <w:rsid w:val="00FC45F1"/>
    <w:rsid w:val="00FE1C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23"/>
    <w:rPr>
      <w:rFonts w:ascii="Tahoma" w:hAnsi="Tahoma" w:cs="Tahoma"/>
      <w:sz w:val="16"/>
      <w:szCs w:val="16"/>
    </w:rPr>
  </w:style>
  <w:style w:type="paragraph" w:styleId="ListParagraph">
    <w:name w:val="List Paragraph"/>
    <w:basedOn w:val="Normal"/>
    <w:uiPriority w:val="34"/>
    <w:qFormat/>
    <w:rsid w:val="005E11C4"/>
    <w:pPr>
      <w:ind w:left="720"/>
      <w:contextualSpacing/>
    </w:pPr>
  </w:style>
  <w:style w:type="character" w:styleId="Strong">
    <w:name w:val="Strong"/>
    <w:basedOn w:val="DefaultParagraphFont"/>
    <w:uiPriority w:val="22"/>
    <w:qFormat/>
    <w:rsid w:val="00BD6EA2"/>
    <w:rPr>
      <w:b/>
      <w:bCs/>
    </w:rPr>
  </w:style>
  <w:style w:type="paragraph" w:styleId="FootnoteText">
    <w:name w:val="footnote text"/>
    <w:basedOn w:val="Normal"/>
    <w:link w:val="FootnoteTextChar"/>
    <w:uiPriority w:val="99"/>
    <w:semiHidden/>
    <w:unhideWhenUsed/>
    <w:rsid w:val="00A2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404"/>
    <w:rPr>
      <w:sz w:val="20"/>
      <w:szCs w:val="20"/>
    </w:rPr>
  </w:style>
  <w:style w:type="character" w:styleId="FootnoteReference">
    <w:name w:val="footnote reference"/>
    <w:basedOn w:val="DefaultParagraphFont"/>
    <w:uiPriority w:val="99"/>
    <w:semiHidden/>
    <w:unhideWhenUsed/>
    <w:rsid w:val="00A20404"/>
    <w:rPr>
      <w:vertAlign w:val="superscript"/>
    </w:rPr>
  </w:style>
  <w:style w:type="character" w:styleId="Hyperlink">
    <w:name w:val="Hyperlink"/>
    <w:basedOn w:val="DefaultParagraphFont"/>
    <w:uiPriority w:val="99"/>
    <w:unhideWhenUsed/>
    <w:rsid w:val="003A42AC"/>
    <w:rPr>
      <w:color w:val="0000FF"/>
      <w:u w:val="single"/>
    </w:rPr>
  </w:style>
  <w:style w:type="table" w:styleId="TableGrid">
    <w:name w:val="Table Grid"/>
    <w:basedOn w:val="TableNormal"/>
    <w:uiPriority w:val="59"/>
    <w:rsid w:val="00A6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23"/>
    <w:rPr>
      <w:rFonts w:ascii="Tahoma" w:hAnsi="Tahoma" w:cs="Tahoma"/>
      <w:sz w:val="16"/>
      <w:szCs w:val="16"/>
    </w:rPr>
  </w:style>
  <w:style w:type="paragraph" w:styleId="ListParagraph">
    <w:name w:val="List Paragraph"/>
    <w:basedOn w:val="Normal"/>
    <w:uiPriority w:val="34"/>
    <w:qFormat/>
    <w:rsid w:val="005E11C4"/>
    <w:pPr>
      <w:ind w:left="720"/>
      <w:contextualSpacing/>
    </w:pPr>
  </w:style>
  <w:style w:type="character" w:styleId="Strong">
    <w:name w:val="Strong"/>
    <w:basedOn w:val="DefaultParagraphFont"/>
    <w:uiPriority w:val="22"/>
    <w:qFormat/>
    <w:rsid w:val="00BD6EA2"/>
    <w:rPr>
      <w:b/>
      <w:bCs/>
    </w:rPr>
  </w:style>
  <w:style w:type="paragraph" w:styleId="FootnoteText">
    <w:name w:val="footnote text"/>
    <w:basedOn w:val="Normal"/>
    <w:link w:val="FootnoteTextChar"/>
    <w:uiPriority w:val="99"/>
    <w:semiHidden/>
    <w:unhideWhenUsed/>
    <w:rsid w:val="00A2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404"/>
    <w:rPr>
      <w:sz w:val="20"/>
      <w:szCs w:val="20"/>
    </w:rPr>
  </w:style>
  <w:style w:type="character" w:styleId="FootnoteReference">
    <w:name w:val="footnote reference"/>
    <w:basedOn w:val="DefaultParagraphFont"/>
    <w:uiPriority w:val="99"/>
    <w:semiHidden/>
    <w:unhideWhenUsed/>
    <w:rsid w:val="00A20404"/>
    <w:rPr>
      <w:vertAlign w:val="superscript"/>
    </w:rPr>
  </w:style>
  <w:style w:type="character" w:styleId="Hyperlink">
    <w:name w:val="Hyperlink"/>
    <w:basedOn w:val="DefaultParagraphFont"/>
    <w:uiPriority w:val="99"/>
    <w:unhideWhenUsed/>
    <w:rsid w:val="003A42AC"/>
    <w:rPr>
      <w:color w:val="0000FF"/>
      <w:u w:val="single"/>
    </w:rPr>
  </w:style>
  <w:style w:type="table" w:styleId="TableGrid">
    <w:name w:val="Table Grid"/>
    <w:basedOn w:val="TableNormal"/>
    <w:uiPriority w:val="59"/>
    <w:rsid w:val="00A6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7938">
      <w:bodyDiv w:val="1"/>
      <w:marLeft w:val="0"/>
      <w:marRight w:val="0"/>
      <w:marTop w:val="0"/>
      <w:marBottom w:val="0"/>
      <w:divBdr>
        <w:top w:val="none" w:sz="0" w:space="0" w:color="auto"/>
        <w:left w:val="none" w:sz="0" w:space="0" w:color="auto"/>
        <w:bottom w:val="none" w:sz="0" w:space="0" w:color="auto"/>
        <w:right w:val="none" w:sz="0" w:space="0" w:color="auto"/>
      </w:divBdr>
    </w:div>
    <w:div w:id="1036543063">
      <w:bodyDiv w:val="1"/>
      <w:marLeft w:val="0"/>
      <w:marRight w:val="0"/>
      <w:marTop w:val="0"/>
      <w:marBottom w:val="0"/>
      <w:divBdr>
        <w:top w:val="none" w:sz="0" w:space="0" w:color="auto"/>
        <w:left w:val="none" w:sz="0" w:space="0" w:color="auto"/>
        <w:bottom w:val="none" w:sz="0" w:space="0" w:color="auto"/>
        <w:right w:val="none" w:sz="0" w:space="0" w:color="auto"/>
      </w:divBdr>
      <w:divsChild>
        <w:div w:id="752554524">
          <w:marLeft w:val="0"/>
          <w:marRight w:val="0"/>
          <w:marTop w:val="0"/>
          <w:marBottom w:val="0"/>
          <w:divBdr>
            <w:top w:val="none" w:sz="0" w:space="0" w:color="auto"/>
            <w:left w:val="none" w:sz="0" w:space="0" w:color="auto"/>
            <w:bottom w:val="none" w:sz="0" w:space="0" w:color="auto"/>
            <w:right w:val="none" w:sz="0" w:space="0" w:color="auto"/>
          </w:divBdr>
        </w:div>
      </w:divsChild>
    </w:div>
    <w:div w:id="19123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pib.nic.in/newsite/PrintRelease.aspx?relid=156094"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'GBS Part A'!$D$4</c:f>
              <c:strCache>
                <c:ptCount val="1"/>
                <c:pt idx="0">
                  <c:v>Allocations in Part A of the GBS (in Rs. Crore)</c:v>
                </c:pt>
              </c:strCache>
            </c:strRef>
          </c:tx>
          <c:invertIfNegative val="0"/>
          <c:dLbls>
            <c:dLbl>
              <c:idx val="2"/>
              <c:tx>
                <c:rich>
                  <a:bodyPr/>
                  <a:lstStyle/>
                  <a:p>
                    <a:r>
                      <a:rPr lang="en-US"/>
                      <a:t>17,426.3</a:t>
                    </a:r>
                  </a:p>
                </c:rich>
              </c:tx>
              <c:showLegendKey val="0"/>
              <c:showVal val="1"/>
              <c:showCatName val="0"/>
              <c:showSerName val="0"/>
              <c:showPercent val="0"/>
              <c:showBubbleSize val="0"/>
            </c:dLbl>
            <c:dLbl>
              <c:idx val="3"/>
              <c:layout>
                <c:manualLayout>
                  <c:x val="3.0097814341750726E-3"/>
                  <c:y val="4.1666666666666664E-2"/>
                </c:manualLayout>
              </c:layout>
              <c:showLegendKey val="0"/>
              <c:showVal val="1"/>
              <c:showCatName val="0"/>
              <c:showSerName val="0"/>
              <c:showPercent val="0"/>
              <c:showBubbleSize val="0"/>
            </c:dLbl>
            <c:dLbl>
              <c:idx val="4"/>
              <c:layout>
                <c:manualLayout>
                  <c:x val="-5.4621665512507654E-2"/>
                  <c:y val="6.4712064764572919E-2"/>
                </c:manualLayout>
              </c:layout>
              <c:showLegendKey val="0"/>
              <c:showVal val="1"/>
              <c:showCatName val="0"/>
              <c:showSerName val="0"/>
              <c:showPercent val="0"/>
              <c:showBubbleSize val="0"/>
            </c:dLbl>
            <c:dLbl>
              <c:idx val="5"/>
              <c:layout>
                <c:manualLayout>
                  <c:x val="-5.0985454107788569E-2"/>
                  <c:y val="5.1545221800369072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'GBS Part A'!$C$5:$C$10</c:f>
              <c:strCache>
                <c:ptCount val="6"/>
                <c:pt idx="0">
                  <c:v>2012-13 (RE)</c:v>
                </c:pt>
                <c:pt idx="1">
                  <c:v>2013-14 (RE)</c:v>
                </c:pt>
                <c:pt idx="2">
                  <c:v>2014-15 (RE)</c:v>
                </c:pt>
                <c:pt idx="3">
                  <c:v>2015-16 (RE)</c:v>
                </c:pt>
                <c:pt idx="4">
                  <c:v>2016-17 (RE)</c:v>
                </c:pt>
                <c:pt idx="5">
                  <c:v>2017-18 (BE)</c:v>
                </c:pt>
              </c:strCache>
            </c:strRef>
          </c:cat>
          <c:val>
            <c:numRef>
              <c:f>'GBS Part A'!$D$5:$D$10</c:f>
              <c:numCache>
                <c:formatCode>#,##0.0</c:formatCode>
                <c:ptCount val="6"/>
                <c:pt idx="0" formatCode="#,##0">
                  <c:v>18875</c:v>
                </c:pt>
                <c:pt idx="1">
                  <c:v>24285.1</c:v>
                </c:pt>
                <c:pt idx="2" formatCode="#,##0.00">
                  <c:v>17426.3</c:v>
                </c:pt>
                <c:pt idx="3">
                  <c:v>11388.4</c:v>
                </c:pt>
                <c:pt idx="4" formatCode="0.0">
                  <c:v>21179.119999999999</c:v>
                </c:pt>
                <c:pt idx="5">
                  <c:v>31390.799999999999</c:v>
                </c:pt>
              </c:numCache>
            </c:numRef>
          </c:val>
        </c:ser>
        <c:dLbls>
          <c:showLegendKey val="0"/>
          <c:showVal val="0"/>
          <c:showCatName val="0"/>
          <c:showSerName val="0"/>
          <c:showPercent val="0"/>
          <c:showBubbleSize val="0"/>
        </c:dLbls>
        <c:gapWidth val="150"/>
        <c:axId val="138270208"/>
        <c:axId val="138271744"/>
      </c:barChart>
      <c:lineChart>
        <c:grouping val="standard"/>
        <c:varyColors val="0"/>
        <c:ser>
          <c:idx val="1"/>
          <c:order val="1"/>
          <c:tx>
            <c:strRef>
              <c:f>'GBS Part A'!$E$4</c:f>
              <c:strCache>
                <c:ptCount val="1"/>
                <c:pt idx="0">
                  <c:v>Allocations in Part A of the GBS as a proportion of the Union Budget</c:v>
                </c:pt>
              </c:strCache>
            </c:strRef>
          </c:tx>
          <c:marker>
            <c:spPr>
              <a:solidFill>
                <a:schemeClr val="tx1"/>
              </a:solidFill>
            </c:spPr>
          </c:marker>
          <c:dLbls>
            <c:dLblPos val="t"/>
            <c:showLegendKey val="0"/>
            <c:showVal val="1"/>
            <c:showCatName val="0"/>
            <c:showSerName val="0"/>
            <c:showPercent val="0"/>
            <c:showBubbleSize val="0"/>
            <c:showLeaderLines val="0"/>
          </c:dLbls>
          <c:cat>
            <c:strRef>
              <c:f>'GBS Part A'!$C$5:$C$10</c:f>
              <c:strCache>
                <c:ptCount val="6"/>
                <c:pt idx="0">
                  <c:v>2012-13 (RE)</c:v>
                </c:pt>
                <c:pt idx="1">
                  <c:v>2013-14 (RE)</c:v>
                </c:pt>
                <c:pt idx="2">
                  <c:v>2014-15 (RE)</c:v>
                </c:pt>
                <c:pt idx="3">
                  <c:v>2015-16 (RE)</c:v>
                </c:pt>
                <c:pt idx="4">
                  <c:v>2016-17 (RE)</c:v>
                </c:pt>
                <c:pt idx="5">
                  <c:v>2017-18 (BE)</c:v>
                </c:pt>
              </c:strCache>
            </c:strRef>
          </c:cat>
          <c:val>
            <c:numRef>
              <c:f>'GBS Part A'!$E$5:$E$10</c:f>
              <c:numCache>
                <c:formatCode>General</c:formatCode>
                <c:ptCount val="6"/>
                <c:pt idx="0">
                  <c:v>1.3</c:v>
                </c:pt>
                <c:pt idx="1">
                  <c:v>1.5</c:v>
                </c:pt>
                <c:pt idx="2">
                  <c:v>1</c:v>
                </c:pt>
                <c:pt idx="3">
                  <c:v>0.6</c:v>
                </c:pt>
                <c:pt idx="4" formatCode="0.0">
                  <c:v>1.05</c:v>
                </c:pt>
                <c:pt idx="5" formatCode="0.0">
                  <c:v>1.46</c:v>
                </c:pt>
              </c:numCache>
            </c:numRef>
          </c:val>
          <c:smooth val="0"/>
        </c:ser>
        <c:dLbls>
          <c:showLegendKey val="0"/>
          <c:showVal val="0"/>
          <c:showCatName val="0"/>
          <c:showSerName val="0"/>
          <c:showPercent val="0"/>
          <c:showBubbleSize val="0"/>
        </c:dLbls>
        <c:marker val="1"/>
        <c:smooth val="0"/>
        <c:axId val="138275072"/>
        <c:axId val="138273536"/>
      </c:lineChart>
      <c:catAx>
        <c:axId val="138270208"/>
        <c:scaling>
          <c:orientation val="minMax"/>
        </c:scaling>
        <c:delete val="0"/>
        <c:axPos val="b"/>
        <c:majorTickMark val="out"/>
        <c:minorTickMark val="none"/>
        <c:tickLblPos val="nextTo"/>
        <c:crossAx val="138271744"/>
        <c:crosses val="autoZero"/>
        <c:auto val="1"/>
        <c:lblAlgn val="ctr"/>
        <c:lblOffset val="100"/>
        <c:noMultiLvlLbl val="0"/>
      </c:catAx>
      <c:valAx>
        <c:axId val="138271744"/>
        <c:scaling>
          <c:orientation val="minMax"/>
        </c:scaling>
        <c:delete val="0"/>
        <c:axPos val="l"/>
        <c:numFmt formatCode="#,##0" sourceLinked="1"/>
        <c:majorTickMark val="out"/>
        <c:minorTickMark val="none"/>
        <c:tickLblPos val="nextTo"/>
        <c:txPr>
          <a:bodyPr/>
          <a:lstStyle/>
          <a:p>
            <a:pPr>
              <a:defRPr sz="1000"/>
            </a:pPr>
            <a:endParaRPr lang="en-US"/>
          </a:p>
        </c:txPr>
        <c:crossAx val="138270208"/>
        <c:crosses val="autoZero"/>
        <c:crossBetween val="between"/>
      </c:valAx>
      <c:valAx>
        <c:axId val="138273536"/>
        <c:scaling>
          <c:orientation val="minMax"/>
        </c:scaling>
        <c:delete val="0"/>
        <c:axPos val="r"/>
        <c:numFmt formatCode="General" sourceLinked="1"/>
        <c:majorTickMark val="out"/>
        <c:minorTickMark val="none"/>
        <c:tickLblPos val="nextTo"/>
        <c:crossAx val="138275072"/>
        <c:crosses val="max"/>
        <c:crossBetween val="between"/>
      </c:valAx>
      <c:catAx>
        <c:axId val="138275072"/>
        <c:scaling>
          <c:orientation val="minMax"/>
        </c:scaling>
        <c:delete val="1"/>
        <c:axPos val="b"/>
        <c:majorTickMark val="out"/>
        <c:minorTickMark val="none"/>
        <c:tickLblPos val="nextTo"/>
        <c:crossAx val="138273536"/>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EBB30-C4A8-4F30-8ADC-7D1861D9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dc:creator>
  <cp:lastModifiedBy>Priyanka</cp:lastModifiedBy>
  <cp:revision>2</cp:revision>
  <dcterms:created xsi:type="dcterms:W3CDTF">2017-02-02T02:52:00Z</dcterms:created>
  <dcterms:modified xsi:type="dcterms:W3CDTF">2017-02-02T02:52:00Z</dcterms:modified>
</cp:coreProperties>
</file>