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2BD9D">
      <w:pPr>
        <w:jc w:val="right"/>
        <w:rPr>
          <w:rFonts w:hint="eastAsia" w:ascii="宋体" w:hAnsi="宋体" w:eastAsia="宋体"/>
          <w:b/>
          <w:sz w:val="28"/>
          <w:lang w:val="en-US" w:eastAsia="zh-CN"/>
        </w:rPr>
      </w:pPr>
      <w:r>
        <w:rPr>
          <w:rFonts w:hint="eastAsia" w:ascii="宋体" w:hAnsi="宋体"/>
          <w:b/>
          <w:sz w:val="28"/>
        </w:rPr>
        <w:t>密级：</w:t>
      </w:r>
      <w:r>
        <w:rPr>
          <w:rFonts w:hint="eastAsia" w:ascii="楷体_GB2312" w:eastAsia="楷体_GB2312"/>
          <w:sz w:val="30"/>
          <w:szCs w:val="30"/>
        </w:rPr>
        <w:t>★</w:t>
      </w:r>
      <w:r>
        <w:rPr>
          <w:rFonts w:hint="eastAsia" w:ascii="楷体_GB2312" w:hAnsi="华文中宋" w:eastAsia="楷体_GB2312"/>
          <w:sz w:val="30"/>
          <w:szCs w:val="30"/>
        </w:rPr>
        <w:t>公开</w:t>
      </w:r>
    </w:p>
    <w:p w14:paraId="1029A0BA">
      <w:pPr>
        <w:rPr>
          <w:rFonts w:ascii="宋体" w:hAnsi="宋体"/>
          <w:sz w:val="28"/>
        </w:rPr>
      </w:pPr>
    </w:p>
    <w:p w14:paraId="17B72B2C">
      <w:pPr>
        <w:rPr>
          <w:rFonts w:ascii="宋体" w:hAnsi="宋体"/>
          <w:sz w:val="28"/>
        </w:rPr>
      </w:pPr>
    </w:p>
    <w:p w14:paraId="3D03A291">
      <w:pPr>
        <w:jc w:val="center"/>
        <w:rPr>
          <w:rFonts w:hint="default" w:ascii="黑体" w:hAnsi="黑体" w:eastAsia="黑体" w:cs="Times New Roman"/>
          <w:b/>
          <w:sz w:val="72"/>
          <w:szCs w:val="72"/>
          <w:lang w:val="en-US" w:eastAsia="zh-CN"/>
        </w:rPr>
      </w:pPr>
      <w:r>
        <w:rPr>
          <w:rFonts w:hint="eastAsia" w:ascii="黑体" w:hAnsi="黑体" w:eastAsia="黑体" w:cs="Times New Roman"/>
          <w:b/>
          <w:sz w:val="72"/>
          <w:szCs w:val="72"/>
          <w:lang w:val="en-US" w:eastAsia="zh-CN"/>
        </w:rPr>
        <w:t>无人机飞行控制器设计与演示验证任务二</w:t>
      </w:r>
    </w:p>
    <w:p w14:paraId="394ECB93">
      <w:pPr>
        <w:jc w:val="center"/>
        <w:rPr>
          <w:rFonts w:hint="eastAsia" w:ascii="黑体" w:hAnsi="黑体" w:eastAsia="黑体" w:cs="方正小标宋简体"/>
          <w:b/>
          <w:sz w:val="52"/>
          <w:szCs w:val="52"/>
          <w:lang w:val="en-US" w:eastAsia="zh-CN"/>
        </w:rPr>
      </w:pPr>
      <w:r>
        <w:rPr>
          <w:rFonts w:hint="eastAsia" w:ascii="黑体" w:hAnsi="黑体" w:eastAsia="黑体" w:cs="方正小标宋简体"/>
          <w:b/>
          <w:sz w:val="52"/>
          <w:szCs w:val="52"/>
        </w:rPr>
        <w:t xml:space="preserve"> 测 试 </w:t>
      </w:r>
      <w:r>
        <w:rPr>
          <w:rFonts w:hint="eastAsia" w:ascii="黑体" w:hAnsi="黑体" w:eastAsia="黑体" w:cs="方正小标宋简体"/>
          <w:b/>
          <w:sz w:val="52"/>
          <w:szCs w:val="52"/>
          <w:lang w:val="en-US" w:eastAsia="zh-CN"/>
        </w:rPr>
        <w:t>报 告</w:t>
      </w:r>
    </w:p>
    <w:p w14:paraId="24CD9809">
      <w:pPr>
        <w:rPr>
          <w:rFonts w:hint="eastAsia" w:ascii="宋体" w:hAnsi="宋体"/>
        </w:rPr>
      </w:pPr>
    </w:p>
    <w:p w14:paraId="1134C04F">
      <w:pPr>
        <w:rPr>
          <w:rFonts w:ascii="宋体" w:hAnsi="宋体"/>
        </w:rPr>
      </w:pPr>
    </w:p>
    <w:p w14:paraId="3BDC2C58">
      <w:pPr>
        <w:ind w:left="2319" w:leftChars="773" w:firstLine="1280" w:firstLineChars="400"/>
        <w:rPr>
          <w:rFonts w:hint="eastAsia" w:ascii="宋体" w:hAnsi="宋体" w:cs="黑体"/>
          <w:sz w:val="32"/>
          <w:szCs w:val="32"/>
        </w:rPr>
      </w:pPr>
      <w:r>
        <w:rPr>
          <w:rFonts w:hint="eastAsia" w:ascii="宋体" w:hAnsi="宋体" w:cs="黑体"/>
          <w:sz w:val="32"/>
          <w:szCs w:val="32"/>
        </w:rPr>
        <w:t>编制：</w:t>
      </w:r>
    </w:p>
    <w:p w14:paraId="665CC6E3">
      <w:pPr>
        <w:ind w:left="2319" w:leftChars="773" w:firstLine="1280" w:firstLineChars="400"/>
        <w:rPr>
          <w:rFonts w:hint="eastAsia" w:ascii="宋体" w:hAnsi="宋体" w:cs="黑体"/>
          <w:sz w:val="32"/>
          <w:szCs w:val="32"/>
        </w:rPr>
      </w:pPr>
      <w:r>
        <w:rPr>
          <w:rFonts w:hint="eastAsia" w:ascii="宋体" w:hAnsi="宋体" w:cs="黑体"/>
          <w:sz w:val="32"/>
          <w:szCs w:val="32"/>
        </w:rPr>
        <w:t>校对：</w:t>
      </w:r>
    </w:p>
    <w:p w14:paraId="1D34376A">
      <w:pPr>
        <w:ind w:left="2319" w:leftChars="773" w:firstLine="1280" w:firstLineChars="400"/>
        <w:rPr>
          <w:rFonts w:hint="eastAsia" w:ascii="宋体" w:hAnsi="宋体" w:cs="黑体"/>
          <w:sz w:val="32"/>
          <w:szCs w:val="32"/>
        </w:rPr>
      </w:pPr>
      <w:r>
        <w:rPr>
          <w:rFonts w:hint="eastAsia" w:ascii="宋体" w:hAnsi="宋体" w:cs="黑体"/>
          <w:sz w:val="32"/>
          <w:szCs w:val="32"/>
        </w:rPr>
        <w:t>审核：</w:t>
      </w:r>
    </w:p>
    <w:p w14:paraId="74078750">
      <w:pPr>
        <w:ind w:left="2319" w:leftChars="773" w:firstLine="1280" w:firstLineChars="400"/>
        <w:rPr>
          <w:rFonts w:hint="eastAsia" w:ascii="宋体" w:hAnsi="宋体" w:cs="黑体"/>
          <w:sz w:val="32"/>
          <w:szCs w:val="32"/>
        </w:rPr>
      </w:pPr>
      <w:r>
        <w:rPr>
          <w:rFonts w:hint="eastAsia" w:ascii="宋体" w:hAnsi="宋体" w:cs="黑体"/>
          <w:sz w:val="32"/>
          <w:szCs w:val="32"/>
        </w:rPr>
        <w:t>批准：</w:t>
      </w:r>
    </w:p>
    <w:p w14:paraId="098C6332">
      <w:pPr>
        <w:rPr>
          <w:rFonts w:hint="eastAsia" w:ascii="宋体" w:hAnsi="宋体"/>
        </w:rPr>
      </w:pPr>
    </w:p>
    <w:p w14:paraId="251C9B54">
      <w:pPr>
        <w:rPr>
          <w:rFonts w:hint="eastAsia" w:ascii="宋体" w:hAnsi="宋体"/>
        </w:rPr>
      </w:pPr>
    </w:p>
    <w:p w14:paraId="4711FA57">
      <w:pPr>
        <w:rPr>
          <w:rFonts w:hint="eastAsia" w:ascii="宋体" w:hAnsi="宋体"/>
          <w:sz w:val="28"/>
          <w:u w:val="single"/>
        </w:rPr>
      </w:pPr>
    </w:p>
    <w:p w14:paraId="44616556">
      <w:pPr>
        <w:rPr>
          <w:rFonts w:hint="eastAsia" w:ascii="宋体" w:hAnsi="宋体"/>
          <w:sz w:val="28"/>
          <w:u w:val="single"/>
        </w:rPr>
      </w:pPr>
    </w:p>
    <w:p w14:paraId="4428D6C2">
      <w:pPr>
        <w:rPr>
          <w:rFonts w:hint="eastAsia" w:ascii="宋体" w:hAnsi="宋体"/>
          <w:sz w:val="28"/>
          <w:u w:val="single"/>
        </w:rPr>
      </w:pPr>
    </w:p>
    <w:p w14:paraId="6DB12C51">
      <w:pPr>
        <w:spacing w:line="360" w:lineRule="auto"/>
        <w:jc w:val="center"/>
        <w:rPr>
          <w:rFonts w:hint="eastAsia" w:ascii="宋体" w:hAnsi="宋体" w:cs="仿宋_GB2312"/>
          <w:sz w:val="32"/>
          <w:szCs w:val="32"/>
        </w:rPr>
      </w:pPr>
      <w:r>
        <w:rPr>
          <w:rFonts w:hint="eastAsia" w:ascii="宋体" w:hAnsi="宋体" w:cs="仿宋_GB2312"/>
          <w:sz w:val="32"/>
          <w:szCs w:val="32"/>
        </w:rPr>
        <w:t>国防科技大学智能科学学院</w:t>
      </w:r>
    </w:p>
    <w:p w14:paraId="67E15C44">
      <w:pPr>
        <w:spacing w:line="360" w:lineRule="auto"/>
        <w:jc w:val="center"/>
        <w:rPr>
          <w:rFonts w:ascii="宋体" w:hAnsi="宋体"/>
          <w:b/>
          <w:sz w:val="36"/>
          <w:szCs w:val="36"/>
        </w:rPr>
      </w:pPr>
      <w:r>
        <w:rPr>
          <w:rFonts w:hint="eastAsia" w:ascii="宋体" w:hAnsi="宋体" w:cs="仿宋_GB2312"/>
          <w:sz w:val="32"/>
          <w:szCs w:val="32"/>
          <w:lang w:val="en-US" w:eastAsia="zh-CN"/>
        </w:rPr>
        <w:t>2026</w:t>
      </w:r>
      <w:r>
        <w:rPr>
          <w:rFonts w:hint="eastAsia" w:ascii="宋体" w:hAnsi="宋体" w:cs="仿宋_GB2312"/>
          <w:sz w:val="32"/>
          <w:szCs w:val="32"/>
        </w:rPr>
        <w:t xml:space="preserve"> 年 </w:t>
      </w:r>
      <w:r>
        <w:rPr>
          <w:rFonts w:hint="eastAsia" w:ascii="宋体" w:hAnsi="宋体" w:cs="仿宋_GB2312"/>
          <w:sz w:val="32"/>
          <w:szCs w:val="32"/>
          <w:lang w:val="en-US" w:eastAsia="zh-CN"/>
        </w:rPr>
        <w:t>8</w:t>
      </w:r>
      <w:r>
        <w:rPr>
          <w:rFonts w:hint="eastAsia" w:ascii="宋体" w:hAnsi="宋体" w:cs="仿宋_GB2312"/>
          <w:sz w:val="32"/>
          <w:szCs w:val="32"/>
        </w:rPr>
        <w:t xml:space="preserve"> 月 </w:t>
      </w:r>
      <w:r>
        <w:rPr>
          <w:rFonts w:hint="eastAsia" w:ascii="宋体" w:hAnsi="宋体" w:cs="仿宋_GB2312"/>
          <w:sz w:val="32"/>
          <w:szCs w:val="32"/>
          <w:lang w:val="en-US" w:eastAsia="zh-CN"/>
        </w:rPr>
        <w:t>15</w:t>
      </w:r>
      <w:r>
        <w:rPr>
          <w:rFonts w:hint="eastAsia" w:ascii="宋体" w:hAnsi="宋体" w:cs="仿宋_GB2312"/>
          <w:sz w:val="32"/>
          <w:szCs w:val="32"/>
        </w:rPr>
        <w:t xml:space="preserve"> 日</w:t>
      </w:r>
    </w:p>
    <w:p w14:paraId="4A092C69">
      <w:pPr>
        <w:jc w:val="center"/>
        <w:rPr>
          <w:rFonts w:ascii="宋体" w:hAnsi="宋体"/>
          <w:b/>
          <w:sz w:val="36"/>
          <w:szCs w:val="36"/>
        </w:rPr>
      </w:pPr>
      <w:r>
        <w:rPr>
          <w:rFonts w:hint="eastAsia" w:ascii="宋体" w:hAnsi="宋体"/>
          <w:b/>
          <w:sz w:val="36"/>
          <w:szCs w:val="36"/>
        </w:rPr>
        <w:t>目  录</w:t>
      </w:r>
    </w:p>
    <w:p w14:paraId="0A18EE55">
      <w:pPr>
        <w:rPr>
          <w:rFonts w:ascii="宋体" w:hAnsi="宋体"/>
          <w:sz w:val="28"/>
        </w:rPr>
      </w:pPr>
    </w:p>
    <w:sdt>
      <w:sdtPr>
        <w:rPr>
          <w:rFonts w:ascii="宋体" w:hAnsi="宋体" w:eastAsia="宋体" w:cs="Times New Roman"/>
          <w:sz w:val="21"/>
          <w:szCs w:val="22"/>
          <w:lang w:val="en-US" w:eastAsia="zh-CN" w:bidi="ar-SA"/>
        </w:rPr>
        <w:id w:val="147462902"/>
        <w15:color w:val="DBDBDB"/>
        <w:docPartObj>
          <w:docPartGallery w:val="Table of Contents"/>
          <w:docPartUnique/>
        </w:docPartObj>
      </w:sdtPr>
      <w:sdtEndPr>
        <w:rPr>
          <w:rFonts w:ascii="宋体" w:hAnsi="宋体" w:eastAsia="仿宋" w:cs="Times New Roman"/>
          <w:sz w:val="30"/>
          <w:szCs w:val="22"/>
          <w:lang w:val="en-US" w:eastAsia="zh-CN" w:bidi="ar-SA"/>
        </w:rPr>
      </w:sdtEndPr>
      <w:sdtContent>
        <w:p w14:paraId="38D10A7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ACBE1D3">
          <w:pPr>
            <w:pStyle w:val="9"/>
            <w:tabs>
              <w:tab w:val="right" w:leader="dot" w:pos="9025"/>
            </w:tabs>
          </w:pPr>
          <w:r>
            <w:rPr>
              <w:rFonts w:ascii="宋体" w:hAnsi="宋体"/>
              <w:sz w:val="28"/>
            </w:rPr>
            <w:fldChar w:fldCharType="begin"/>
          </w:r>
          <w:r>
            <w:rPr>
              <w:rFonts w:ascii="宋体" w:hAnsi="宋体"/>
              <w:sz w:val="28"/>
            </w:rPr>
            <w:instrText xml:space="preserve">TOC \o "1-3" \h \u </w:instrText>
          </w:r>
          <w:r>
            <w:rPr>
              <w:rFonts w:ascii="宋体" w:hAnsi="宋体"/>
              <w:sz w:val="28"/>
            </w:rPr>
            <w:fldChar w:fldCharType="separate"/>
          </w:r>
          <w:r>
            <w:rPr>
              <w:rFonts w:ascii="宋体" w:hAnsi="宋体"/>
            </w:rPr>
            <w:fldChar w:fldCharType="begin"/>
          </w:r>
          <w:r>
            <w:rPr>
              <w:rFonts w:ascii="宋体" w:hAnsi="宋体"/>
            </w:rPr>
            <w:instrText xml:space="preserve"> HYPERLINK \l _Toc290 </w:instrText>
          </w:r>
          <w:r>
            <w:rPr>
              <w:rFonts w:ascii="宋体" w:hAnsi="宋体"/>
            </w:rPr>
            <w:fldChar w:fldCharType="separate"/>
          </w:r>
          <w:r>
            <w:rPr>
              <w:rFonts w:hint="eastAsia" w:ascii="黑体" w:hAnsi="黑体" w:cs="黑体"/>
              <w:bCs w:val="0"/>
              <w:szCs w:val="30"/>
            </w:rPr>
            <w:t xml:space="preserve">1. </w:t>
          </w:r>
          <w:r>
            <w:rPr>
              <w:rFonts w:hint="eastAsia" w:ascii="黑体" w:hAnsi="黑体" w:cs="黑体"/>
              <w:bCs w:val="0"/>
              <w:szCs w:val="30"/>
              <w:lang w:val="en-US" w:eastAsia="zh-CN"/>
            </w:rPr>
            <w:t>测试</w:t>
          </w:r>
          <w:r>
            <w:rPr>
              <w:rFonts w:hint="eastAsia" w:ascii="黑体" w:hAnsi="黑体" w:cs="黑体"/>
              <w:bCs w:val="0"/>
              <w:szCs w:val="30"/>
              <w:lang w:eastAsia="zh-CN"/>
            </w:rPr>
            <w:t>依据</w:t>
          </w:r>
          <w:r>
            <w:tab/>
          </w:r>
          <w:r>
            <w:fldChar w:fldCharType="begin"/>
          </w:r>
          <w:r>
            <w:instrText xml:space="preserve"> PAGEREF _Toc290 \h </w:instrText>
          </w:r>
          <w:r>
            <w:fldChar w:fldCharType="separate"/>
          </w:r>
          <w:r>
            <w:t>2</w:t>
          </w:r>
          <w:r>
            <w:fldChar w:fldCharType="end"/>
          </w:r>
          <w:r>
            <w:rPr>
              <w:rFonts w:ascii="宋体" w:hAnsi="宋体"/>
            </w:rPr>
            <w:fldChar w:fldCharType="end"/>
          </w:r>
        </w:p>
        <w:p w14:paraId="4E49614B">
          <w:pPr>
            <w:pStyle w:val="9"/>
            <w:tabs>
              <w:tab w:val="right" w:leader="dot" w:pos="9025"/>
            </w:tabs>
          </w:pPr>
          <w:r>
            <w:rPr>
              <w:rFonts w:ascii="宋体" w:hAnsi="宋体"/>
            </w:rPr>
            <w:fldChar w:fldCharType="begin"/>
          </w:r>
          <w:r>
            <w:rPr>
              <w:rFonts w:ascii="宋体" w:hAnsi="宋体"/>
            </w:rPr>
            <w:instrText xml:space="preserve"> HYPERLINK \l _Toc14436 </w:instrText>
          </w:r>
          <w:r>
            <w:rPr>
              <w:rFonts w:ascii="宋体" w:hAnsi="宋体"/>
            </w:rPr>
            <w:fldChar w:fldCharType="separate"/>
          </w:r>
          <w:r>
            <w:rPr>
              <w:rFonts w:hint="eastAsia" w:ascii="黑体" w:hAnsi="黑体" w:cs="黑体"/>
              <w:bCs w:val="0"/>
              <w:szCs w:val="30"/>
              <w:lang w:eastAsia="zh-CN"/>
            </w:rPr>
            <w:t xml:space="preserve">2. </w:t>
          </w:r>
          <w:r>
            <w:rPr>
              <w:rFonts w:hint="eastAsia" w:ascii="黑体" w:hAnsi="黑体" w:cs="黑体"/>
              <w:bCs w:val="0"/>
              <w:szCs w:val="30"/>
              <w:lang w:val="en-US" w:eastAsia="zh-CN"/>
            </w:rPr>
            <w:t>验收测试</w:t>
          </w:r>
          <w:r>
            <w:rPr>
              <w:rFonts w:hint="eastAsia" w:ascii="黑体" w:hAnsi="黑体" w:cs="黑体"/>
              <w:bCs w:val="0"/>
              <w:szCs w:val="30"/>
              <w:lang w:eastAsia="zh-CN"/>
            </w:rPr>
            <w:t>内容</w:t>
          </w:r>
          <w:r>
            <w:tab/>
          </w:r>
          <w:r>
            <w:fldChar w:fldCharType="begin"/>
          </w:r>
          <w:r>
            <w:instrText xml:space="preserve"> PAGEREF _Toc14436 \h </w:instrText>
          </w:r>
          <w:r>
            <w:fldChar w:fldCharType="separate"/>
          </w:r>
          <w:r>
            <w:t>2</w:t>
          </w:r>
          <w:r>
            <w:fldChar w:fldCharType="end"/>
          </w:r>
          <w:r>
            <w:rPr>
              <w:rFonts w:ascii="宋体" w:hAnsi="宋体"/>
            </w:rPr>
            <w:fldChar w:fldCharType="end"/>
          </w:r>
        </w:p>
        <w:p w14:paraId="28406E2B">
          <w:pPr>
            <w:pStyle w:val="9"/>
            <w:tabs>
              <w:tab w:val="right" w:leader="dot" w:pos="9025"/>
            </w:tabs>
          </w:pPr>
          <w:r>
            <w:rPr>
              <w:rFonts w:ascii="宋体" w:hAnsi="宋体"/>
            </w:rPr>
            <w:fldChar w:fldCharType="begin"/>
          </w:r>
          <w:r>
            <w:rPr>
              <w:rFonts w:ascii="宋体" w:hAnsi="宋体"/>
            </w:rPr>
            <w:instrText xml:space="preserve"> HYPERLINK \l _Toc30523 </w:instrText>
          </w:r>
          <w:r>
            <w:rPr>
              <w:rFonts w:ascii="宋体" w:hAnsi="宋体"/>
            </w:rPr>
            <w:fldChar w:fldCharType="separate"/>
          </w:r>
          <w:r>
            <w:rPr>
              <w:rFonts w:hint="eastAsia" w:ascii="黑体" w:hAnsi="黑体" w:cs="黑体"/>
              <w:bCs w:val="0"/>
              <w:szCs w:val="30"/>
              <w:lang w:eastAsia="zh-CN"/>
            </w:rPr>
            <w:t xml:space="preserve">3. </w:t>
          </w:r>
          <w:r>
            <w:rPr>
              <w:rFonts w:hint="eastAsia" w:ascii="黑体" w:hAnsi="黑体" w:cs="黑体"/>
              <w:bCs w:val="0"/>
              <w:szCs w:val="30"/>
              <w:lang w:val="en-US" w:eastAsia="zh-CN"/>
            </w:rPr>
            <w:t>验收测试标准、方式、地点、条件</w:t>
          </w:r>
          <w:r>
            <w:tab/>
          </w:r>
          <w:r>
            <w:fldChar w:fldCharType="begin"/>
          </w:r>
          <w:r>
            <w:instrText xml:space="preserve"> PAGEREF _Toc30523 \h </w:instrText>
          </w:r>
          <w:r>
            <w:fldChar w:fldCharType="separate"/>
          </w:r>
          <w:r>
            <w:t>2</w:t>
          </w:r>
          <w:r>
            <w:fldChar w:fldCharType="end"/>
          </w:r>
          <w:r>
            <w:rPr>
              <w:rFonts w:ascii="宋体" w:hAnsi="宋体"/>
            </w:rPr>
            <w:fldChar w:fldCharType="end"/>
          </w:r>
        </w:p>
        <w:p w14:paraId="2774A05B">
          <w:pPr>
            <w:pStyle w:val="9"/>
            <w:tabs>
              <w:tab w:val="right" w:leader="dot" w:pos="9025"/>
            </w:tabs>
          </w:pPr>
          <w:r>
            <w:rPr>
              <w:rFonts w:ascii="宋体" w:hAnsi="宋体"/>
            </w:rPr>
            <w:fldChar w:fldCharType="begin"/>
          </w:r>
          <w:r>
            <w:rPr>
              <w:rFonts w:ascii="宋体" w:hAnsi="宋体"/>
            </w:rPr>
            <w:instrText xml:space="preserve"> HYPERLINK \l _Toc9233 </w:instrText>
          </w:r>
          <w:r>
            <w:rPr>
              <w:rFonts w:ascii="宋体" w:hAnsi="宋体"/>
            </w:rPr>
            <w:fldChar w:fldCharType="separate"/>
          </w:r>
          <w:r>
            <w:rPr>
              <w:rFonts w:hint="eastAsia" w:ascii="黑体" w:hAnsi="黑体" w:cs="黑体"/>
              <w:bCs w:val="0"/>
              <w:szCs w:val="30"/>
              <w:lang w:val="en-US" w:eastAsia="zh-CN"/>
            </w:rPr>
            <w:t>4. 成果</w:t>
          </w:r>
          <w:r>
            <w:rPr>
              <w:rFonts w:hint="eastAsia" w:ascii="黑体" w:hAnsi="黑体" w:cs="黑体"/>
              <w:bCs w:val="0"/>
              <w:szCs w:val="30"/>
            </w:rPr>
            <w:t>交付</w:t>
          </w:r>
          <w:r>
            <w:rPr>
              <w:rFonts w:hint="eastAsia" w:ascii="黑体" w:hAnsi="黑体" w:cs="黑体"/>
              <w:bCs w:val="0"/>
              <w:szCs w:val="30"/>
              <w:lang w:val="en-US" w:eastAsia="zh-CN"/>
            </w:rPr>
            <w:t>情况检查</w:t>
          </w:r>
          <w:r>
            <w:tab/>
          </w:r>
          <w:r>
            <w:fldChar w:fldCharType="begin"/>
          </w:r>
          <w:r>
            <w:instrText xml:space="preserve"> PAGEREF _Toc9233 \h </w:instrText>
          </w:r>
          <w:r>
            <w:fldChar w:fldCharType="separate"/>
          </w:r>
          <w:r>
            <w:t>4</w:t>
          </w:r>
          <w:r>
            <w:fldChar w:fldCharType="end"/>
          </w:r>
          <w:r>
            <w:rPr>
              <w:rFonts w:ascii="宋体" w:hAnsi="宋体"/>
            </w:rPr>
            <w:fldChar w:fldCharType="end"/>
          </w:r>
        </w:p>
        <w:p w14:paraId="59255EE0">
          <w:pPr>
            <w:pStyle w:val="9"/>
            <w:tabs>
              <w:tab w:val="right" w:leader="dot" w:pos="9025"/>
            </w:tabs>
          </w:pPr>
          <w:r>
            <w:rPr>
              <w:rFonts w:ascii="宋体" w:hAnsi="宋体"/>
            </w:rPr>
            <w:fldChar w:fldCharType="begin"/>
          </w:r>
          <w:r>
            <w:rPr>
              <w:rFonts w:ascii="宋体" w:hAnsi="宋体"/>
            </w:rPr>
            <w:instrText xml:space="preserve"> HYPERLINK \l _Toc23533 </w:instrText>
          </w:r>
          <w:r>
            <w:rPr>
              <w:rFonts w:ascii="宋体" w:hAnsi="宋体"/>
            </w:rPr>
            <w:fldChar w:fldCharType="separate"/>
          </w:r>
          <w:r>
            <w:rPr>
              <w:rFonts w:hint="eastAsia" w:ascii="黑体" w:hAnsi="黑体" w:cs="黑体"/>
              <w:bCs w:val="0"/>
              <w:szCs w:val="30"/>
              <w:lang w:val="en-US" w:eastAsia="zh-CN"/>
            </w:rPr>
            <w:t>5. 技术指标和参数测试</w:t>
          </w:r>
          <w:r>
            <w:tab/>
          </w:r>
          <w:r>
            <w:fldChar w:fldCharType="begin"/>
          </w:r>
          <w:r>
            <w:instrText xml:space="preserve"> PAGEREF _Toc23533 \h </w:instrText>
          </w:r>
          <w:r>
            <w:fldChar w:fldCharType="separate"/>
          </w:r>
          <w:r>
            <w:t>5</w:t>
          </w:r>
          <w:r>
            <w:fldChar w:fldCharType="end"/>
          </w:r>
          <w:r>
            <w:rPr>
              <w:rFonts w:ascii="宋体" w:hAnsi="宋体"/>
            </w:rPr>
            <w:fldChar w:fldCharType="end"/>
          </w:r>
        </w:p>
        <w:p w14:paraId="75F9AA84">
          <w:pPr>
            <w:pStyle w:val="9"/>
            <w:tabs>
              <w:tab w:val="right" w:leader="dot" w:pos="9025"/>
            </w:tabs>
          </w:pPr>
          <w:r>
            <w:rPr>
              <w:rFonts w:ascii="宋体" w:hAnsi="宋体"/>
            </w:rPr>
            <w:fldChar w:fldCharType="begin"/>
          </w:r>
          <w:r>
            <w:rPr>
              <w:rFonts w:ascii="宋体" w:hAnsi="宋体"/>
            </w:rPr>
            <w:instrText xml:space="preserve"> HYPERLINK \l _Toc18930 </w:instrText>
          </w:r>
          <w:r>
            <w:rPr>
              <w:rFonts w:ascii="宋体" w:hAnsi="宋体"/>
            </w:rPr>
            <w:fldChar w:fldCharType="separate"/>
          </w:r>
          <w:r>
            <w:rPr>
              <w:rFonts w:hint="eastAsia"/>
              <w:lang w:val="en-US" w:eastAsia="zh-CN"/>
            </w:rPr>
            <w:t>6  测试内容1：基于传统方法轨迹生成有效性验证测试</w:t>
          </w:r>
          <w:r>
            <w:tab/>
          </w:r>
          <w:r>
            <w:fldChar w:fldCharType="begin"/>
          </w:r>
          <w:r>
            <w:instrText xml:space="preserve"> PAGEREF _Toc18930 \h </w:instrText>
          </w:r>
          <w:r>
            <w:fldChar w:fldCharType="separate"/>
          </w:r>
          <w:r>
            <w:t>5</w:t>
          </w:r>
          <w:r>
            <w:fldChar w:fldCharType="end"/>
          </w:r>
          <w:r>
            <w:rPr>
              <w:rFonts w:ascii="宋体" w:hAnsi="宋体"/>
            </w:rPr>
            <w:fldChar w:fldCharType="end"/>
          </w:r>
        </w:p>
        <w:p w14:paraId="68C3E634">
          <w:pPr>
            <w:pStyle w:val="10"/>
            <w:tabs>
              <w:tab w:val="right" w:leader="dot" w:pos="9025"/>
            </w:tabs>
          </w:pPr>
          <w:r>
            <w:rPr>
              <w:rFonts w:ascii="宋体" w:hAnsi="宋体"/>
            </w:rPr>
            <w:fldChar w:fldCharType="begin"/>
          </w:r>
          <w:r>
            <w:rPr>
              <w:rFonts w:ascii="宋体" w:hAnsi="宋体"/>
            </w:rPr>
            <w:instrText xml:space="preserve"> HYPERLINK \l _Toc3333 </w:instrText>
          </w:r>
          <w:r>
            <w:rPr>
              <w:rFonts w:ascii="宋体" w:hAnsi="宋体"/>
            </w:rPr>
            <w:fldChar w:fldCharType="separate"/>
          </w:r>
          <w:r>
            <w:rPr>
              <w:rFonts w:hint="eastAsia"/>
              <w:lang w:val="en-US" w:eastAsia="zh-CN"/>
            </w:rPr>
            <w:t>6.1 传统方法研究对象与技术路线</w:t>
          </w:r>
          <w:r>
            <w:tab/>
          </w:r>
          <w:r>
            <w:fldChar w:fldCharType="begin"/>
          </w:r>
          <w:r>
            <w:instrText xml:space="preserve"> PAGEREF _Toc3333 \h </w:instrText>
          </w:r>
          <w:r>
            <w:fldChar w:fldCharType="separate"/>
          </w:r>
          <w:r>
            <w:t>5</w:t>
          </w:r>
          <w:r>
            <w:fldChar w:fldCharType="end"/>
          </w:r>
          <w:r>
            <w:rPr>
              <w:rFonts w:ascii="宋体" w:hAnsi="宋体"/>
            </w:rPr>
            <w:fldChar w:fldCharType="end"/>
          </w:r>
        </w:p>
        <w:p w14:paraId="4BB8D02B">
          <w:pPr>
            <w:rPr>
              <w:rFonts w:ascii="宋体" w:hAnsi="宋体" w:eastAsia="仿宋" w:cs="Times New Roman"/>
              <w:sz w:val="30"/>
              <w:szCs w:val="22"/>
              <w:lang w:val="en-US" w:eastAsia="zh-CN" w:bidi="ar-SA"/>
            </w:rPr>
          </w:pPr>
          <w:r>
            <w:rPr>
              <w:rFonts w:ascii="宋体" w:hAnsi="宋体"/>
            </w:rPr>
            <w:fldChar w:fldCharType="end"/>
          </w:r>
        </w:p>
      </w:sdtContent>
    </w:sdt>
    <w:p w14:paraId="26C3EC3F">
      <w:pPr>
        <w:rPr>
          <w:rFonts w:ascii="宋体" w:hAnsi="宋体" w:eastAsia="仿宋" w:cs="Times New Roman"/>
          <w:sz w:val="30"/>
          <w:szCs w:val="22"/>
          <w:lang w:val="en-US" w:eastAsia="zh-CN" w:bidi="ar-SA"/>
        </w:rPr>
        <w:sectPr>
          <w:headerReference r:id="rId5" w:type="first"/>
          <w:footnotePr>
            <w:pos w:val="beneathText"/>
          </w:footnotePr>
          <w:pgSz w:w="11905" w:h="16837"/>
          <w:pgMar w:top="1440" w:right="1440" w:bottom="1440" w:left="1440" w:header="851" w:footer="992" w:gutter="0"/>
          <w:pgNumType w:start="0"/>
          <w:cols w:space="720" w:num="1"/>
          <w:titlePg/>
          <w:docGrid w:linePitch="299" w:charSpace="0"/>
        </w:sectPr>
      </w:pPr>
    </w:p>
    <w:p w14:paraId="77C70EE1">
      <w:pPr>
        <w:pStyle w:val="2"/>
        <w:numPr>
          <w:ilvl w:val="0"/>
          <w:numId w:val="1"/>
        </w:numPr>
        <w:spacing w:before="120" w:beforeLines="50" w:after="120" w:afterLines="50" w:line="240" w:lineRule="auto"/>
        <w:rPr>
          <w:rFonts w:hint="eastAsia" w:ascii="黑体" w:hAnsi="黑体" w:cs="黑体"/>
          <w:bCs w:val="0"/>
          <w:sz w:val="30"/>
          <w:szCs w:val="30"/>
        </w:rPr>
      </w:pPr>
      <w:bookmarkStart w:id="0" w:name="_Toc22671"/>
      <w:bookmarkStart w:id="1" w:name="_Toc290"/>
      <w:bookmarkStart w:id="2" w:name="_Toc65656040"/>
      <w:r>
        <w:rPr>
          <w:rFonts w:hint="eastAsia" w:ascii="黑体" w:hAnsi="黑体" w:cs="黑体"/>
          <w:bCs w:val="0"/>
          <w:sz w:val="30"/>
          <w:szCs w:val="30"/>
          <w:lang w:val="en-US" w:eastAsia="zh-CN"/>
        </w:rPr>
        <w:t>测试</w:t>
      </w:r>
      <w:r>
        <w:rPr>
          <w:rFonts w:hint="eastAsia" w:ascii="黑体" w:hAnsi="黑体" w:cs="黑体"/>
          <w:bCs w:val="0"/>
          <w:sz w:val="30"/>
          <w:szCs w:val="30"/>
          <w:lang w:eastAsia="zh-CN"/>
        </w:rPr>
        <w:t>依据</w:t>
      </w:r>
      <w:bookmarkEnd w:id="0"/>
      <w:bookmarkEnd w:id="1"/>
    </w:p>
    <w:p w14:paraId="062C74C3">
      <w:pPr>
        <w:ind w:firstLine="600" w:firstLineChars="200"/>
        <w:rPr>
          <w:rFonts w:hint="eastAsia" w:ascii="仿宋_GB2312" w:hAnsi="仿宋_GB2312" w:eastAsia="仿宋_GB2312" w:cs="仿宋_GB2312"/>
        </w:rPr>
      </w:pPr>
      <w:r>
        <w:rPr>
          <w:rFonts w:hint="eastAsia" w:ascii="仿宋_GB2312" w:hAnsi="仿宋_GB2312" w:eastAsia="仿宋_GB2312" w:cs="仿宋_GB2312"/>
          <w:color w:val="000000"/>
          <w:sz w:val="30"/>
          <w:szCs w:val="30"/>
        </w:rPr>
        <w:t>本</w:t>
      </w:r>
      <w:r>
        <w:rPr>
          <w:rFonts w:hint="eastAsia" w:ascii="仿宋_GB2312" w:hAnsi="仿宋_GB2312" w:eastAsia="仿宋_GB2312" w:cs="仿宋_GB2312"/>
          <w:color w:val="000000"/>
          <w:sz w:val="30"/>
          <w:szCs w:val="30"/>
          <w:lang w:val="en-US" w:eastAsia="zh-CN"/>
        </w:rPr>
        <w:t>报告</w:t>
      </w:r>
      <w:r>
        <w:rPr>
          <w:rFonts w:hint="eastAsia" w:ascii="仿宋_GB2312" w:hAnsi="仿宋_GB2312" w:eastAsia="仿宋_GB2312" w:cs="仿宋_GB2312"/>
          <w:color w:val="000000"/>
          <w:sz w:val="30"/>
          <w:szCs w:val="30"/>
        </w:rPr>
        <w:t>根据“</w:t>
      </w:r>
      <w:r>
        <w:rPr>
          <w:rFonts w:hint="default" w:ascii="仿宋_GB2312" w:hAnsi="仿宋_GB2312" w:eastAsia="仿宋_GB2312" w:cs="仿宋_GB2312"/>
          <w:color w:val="000000"/>
          <w:sz w:val="30"/>
          <w:szCs w:val="30"/>
        </w:rPr>
        <w:t>《</w:t>
      </w:r>
      <w:r>
        <w:rPr>
          <w:rFonts w:hint="eastAsia" w:ascii="仿宋_GB2312" w:hAnsi="仿宋_GB2312" w:eastAsia="仿宋_GB2312" w:cs="仿宋_GB2312"/>
          <w:color w:val="000000"/>
          <w:sz w:val="30"/>
          <w:szCs w:val="30"/>
          <w:lang w:val="en-US" w:eastAsia="zh-CN"/>
        </w:rPr>
        <w:t>无人机飞行控制器设计与演示验证</w:t>
      </w:r>
      <w:r>
        <w:rPr>
          <w:rFonts w:hint="default" w:ascii="仿宋_GB2312" w:hAnsi="仿宋_GB2312" w:eastAsia="仿宋_GB2312" w:cs="仿宋_GB2312"/>
          <w:color w:val="000000"/>
          <w:sz w:val="30"/>
          <w:szCs w:val="30"/>
        </w:rPr>
        <w:t>》（编号： wx202</w:t>
      </w:r>
      <w:r>
        <w:rPr>
          <w:rFonts w:hint="eastAsia" w:ascii="仿宋_GB2312" w:hAnsi="仿宋_GB2312" w:eastAsia="仿宋_GB2312" w:cs="仿宋_GB2312"/>
          <w:color w:val="000000"/>
          <w:sz w:val="30"/>
          <w:szCs w:val="30"/>
          <w:lang w:val="en-US" w:eastAsia="zh-CN"/>
        </w:rPr>
        <w:t>5</w:t>
      </w:r>
      <w:r>
        <w:rPr>
          <w:rFonts w:hint="default" w:ascii="仿宋_GB2312" w:hAnsi="仿宋_GB2312" w:eastAsia="仿宋_GB2312" w:cs="仿宋_GB2312"/>
          <w:color w:val="000000"/>
          <w:sz w:val="30"/>
          <w:szCs w:val="30"/>
        </w:rPr>
        <w:t>0</w:t>
      </w:r>
      <w:r>
        <w:rPr>
          <w:rFonts w:hint="eastAsia" w:ascii="仿宋_GB2312" w:hAnsi="仿宋_GB2312" w:eastAsia="仿宋_GB2312" w:cs="仿宋_GB2312"/>
          <w:color w:val="000000"/>
          <w:sz w:val="30"/>
          <w:szCs w:val="30"/>
          <w:lang w:val="en-US" w:eastAsia="zh-CN"/>
        </w:rPr>
        <w:t>61</w:t>
      </w:r>
      <w:r>
        <w:rPr>
          <w:rFonts w:hint="default" w:ascii="仿宋_GB2312" w:hAnsi="仿宋_GB2312" w:eastAsia="仿宋_GB2312" w:cs="仿宋_GB2312"/>
          <w:color w:val="000000"/>
          <w:sz w:val="30"/>
          <w:szCs w:val="30"/>
        </w:rPr>
        <w:t>）</w:t>
      </w:r>
      <w:r>
        <w:rPr>
          <w:rFonts w:hint="eastAsia" w:ascii="仿宋_GB2312" w:hAnsi="仿宋_GB2312" w:eastAsia="仿宋_GB2312" w:cs="仿宋_GB2312"/>
          <w:color w:val="000000"/>
          <w:sz w:val="30"/>
          <w:szCs w:val="30"/>
        </w:rPr>
        <w:t>”项目合同编写，将作为该合同的验收测试依据。</w:t>
      </w:r>
    </w:p>
    <w:bookmarkEnd w:id="2"/>
    <w:p w14:paraId="69A64F4A">
      <w:pPr>
        <w:pStyle w:val="2"/>
        <w:numPr>
          <w:ilvl w:val="0"/>
          <w:numId w:val="1"/>
        </w:numPr>
        <w:spacing w:before="120" w:beforeLines="50" w:after="120" w:afterLines="50" w:line="240" w:lineRule="auto"/>
        <w:rPr>
          <w:rFonts w:hint="eastAsia" w:ascii="黑体" w:hAnsi="黑体" w:cs="黑体"/>
          <w:bCs w:val="0"/>
          <w:sz w:val="30"/>
          <w:szCs w:val="30"/>
          <w:lang w:eastAsia="zh-CN"/>
        </w:rPr>
      </w:pPr>
      <w:bookmarkStart w:id="3" w:name="_Toc14436"/>
      <w:bookmarkStart w:id="4" w:name="_Toc29686"/>
      <w:r>
        <w:rPr>
          <w:rFonts w:hint="eastAsia" w:ascii="黑体" w:hAnsi="黑体" w:cs="黑体"/>
          <w:bCs w:val="0"/>
          <w:sz w:val="30"/>
          <w:szCs w:val="30"/>
          <w:lang w:val="en-US" w:eastAsia="zh-CN"/>
        </w:rPr>
        <w:t>验收测试</w:t>
      </w:r>
      <w:r>
        <w:rPr>
          <w:rFonts w:hint="eastAsia" w:ascii="黑体" w:hAnsi="黑体" w:cs="黑体"/>
          <w:bCs w:val="0"/>
          <w:sz w:val="30"/>
          <w:szCs w:val="30"/>
          <w:lang w:eastAsia="zh-CN"/>
        </w:rPr>
        <w:t>内容</w:t>
      </w:r>
      <w:bookmarkEnd w:id="3"/>
      <w:bookmarkEnd w:id="4"/>
    </w:p>
    <w:p w14:paraId="01528541">
      <w:pPr>
        <w:ind w:firstLine="600" w:firstLineChars="200"/>
        <w:rPr>
          <w:rFonts w:hint="eastAsia" w:ascii="仿宋_GB2312" w:hAnsi="仿宋_GB2312" w:eastAsia="仿宋_GB2312" w:cs="仿宋_GB2312"/>
        </w:rPr>
      </w:pPr>
      <w:r>
        <w:rPr>
          <w:rFonts w:hint="eastAsia" w:ascii="仿宋_GB2312" w:hAnsi="仿宋_GB2312" w:eastAsia="仿宋_GB2312" w:cs="仿宋_GB2312"/>
          <w:color w:val="000000"/>
          <w:sz w:val="30"/>
          <w:szCs w:val="30"/>
        </w:rPr>
        <w:t>按照合同要求，本次任务</w:t>
      </w:r>
      <w:r>
        <w:rPr>
          <w:rFonts w:hint="eastAsia" w:ascii="仿宋_GB2312" w:hAnsi="仿宋_GB2312" w:eastAsia="仿宋_GB2312" w:cs="仿宋_GB2312"/>
          <w:color w:val="000000"/>
          <w:sz w:val="30"/>
          <w:szCs w:val="30"/>
          <w:lang w:val="en-US" w:eastAsia="zh-CN"/>
        </w:rPr>
        <w:t>二</w:t>
      </w:r>
      <w:r>
        <w:rPr>
          <w:rFonts w:hint="eastAsia" w:ascii="仿宋_GB2312" w:hAnsi="仿宋_GB2312" w:eastAsia="仿宋_GB2312" w:cs="仿宋_GB2312"/>
          <w:color w:val="000000"/>
          <w:sz w:val="30"/>
          <w:szCs w:val="30"/>
        </w:rPr>
        <w:t>的要求为：“轨迹—姿态规划结果有效对应的无人机高机动飞行动作不少于1种”。报告围绕小型固定翼无人机三维绕障爬升转弯动作，验证传统轨迹生成方法与扩散模型方法的可用性。</w:t>
      </w:r>
    </w:p>
    <w:p w14:paraId="7CD02EC3">
      <w:pPr>
        <w:pStyle w:val="2"/>
        <w:numPr>
          <w:ilvl w:val="0"/>
          <w:numId w:val="1"/>
        </w:numPr>
        <w:spacing w:before="120" w:beforeLines="50" w:after="120" w:afterLines="50" w:line="240" w:lineRule="auto"/>
        <w:rPr>
          <w:rFonts w:hint="eastAsia" w:ascii="黑体" w:hAnsi="黑体" w:cs="黑体"/>
          <w:bCs w:val="0"/>
          <w:sz w:val="30"/>
          <w:szCs w:val="30"/>
          <w:lang w:eastAsia="zh-CN"/>
        </w:rPr>
      </w:pPr>
      <w:bookmarkStart w:id="5" w:name="_Toc30523"/>
      <w:bookmarkStart w:id="6" w:name="_Toc18973"/>
      <w:r>
        <w:rPr>
          <w:rFonts w:hint="eastAsia" w:ascii="黑体" w:hAnsi="黑体" w:cs="黑体"/>
          <w:bCs w:val="0"/>
          <w:sz w:val="30"/>
          <w:szCs w:val="30"/>
          <w:lang w:val="en-US" w:eastAsia="zh-CN"/>
        </w:rPr>
        <w:t>验收测试标准、方式、地点、条件</w:t>
      </w:r>
      <w:bookmarkEnd w:id="5"/>
      <w:bookmarkEnd w:id="6"/>
    </w:p>
    <w:p w14:paraId="42634F2B">
      <w:pPr>
        <w:ind w:firstLine="600" w:firstLineChars="200"/>
        <w:rPr>
          <w:rFonts w:hint="eastAsia" w:ascii="仿宋_GB2312" w:hAnsi="仿宋_GB2312" w:eastAsia="仿宋_GB2312" w:cs="仿宋_GB2312"/>
          <w:color w:val="000000"/>
          <w:sz w:val="30"/>
          <w:szCs w:val="30"/>
          <w:lang w:val="en-US" w:eastAsia="zh-CN"/>
        </w:rPr>
      </w:pPr>
      <w:r>
        <w:rPr>
          <w:rFonts w:hint="eastAsia" w:ascii="仿宋_GB2312" w:hAnsi="仿宋_GB2312" w:eastAsia="仿宋_GB2312" w:cs="仿宋_GB2312"/>
          <w:color w:val="000000"/>
          <w:sz w:val="30"/>
          <w:szCs w:val="30"/>
        </w:rPr>
        <w:t>验收测试标准: 按照合同约定的“任务</w:t>
      </w:r>
      <w:r>
        <w:rPr>
          <w:rFonts w:hint="eastAsia" w:ascii="仿宋_GB2312" w:hAnsi="仿宋_GB2312" w:eastAsia="仿宋_GB2312" w:cs="仿宋_GB2312"/>
          <w:color w:val="000000"/>
          <w:sz w:val="30"/>
          <w:szCs w:val="30"/>
          <w:lang w:val="en-US" w:eastAsia="zh-CN"/>
        </w:rPr>
        <w:t>二</w:t>
      </w:r>
      <w:r>
        <w:rPr>
          <w:rFonts w:hint="eastAsia" w:ascii="仿宋_GB2312" w:hAnsi="仿宋_GB2312" w:eastAsia="仿宋_GB2312" w:cs="仿宋_GB2312"/>
          <w:color w:val="000000"/>
          <w:sz w:val="30"/>
          <w:szCs w:val="30"/>
        </w:rPr>
        <w:t>”相关内容与指标进行验收。</w:t>
      </w:r>
    </w:p>
    <w:p w14:paraId="6A3B33FD">
      <w:pPr>
        <w:ind w:firstLine="600" w:firstLineChars="200"/>
        <w:rPr>
          <w:rFonts w:hint="eastAsia" w:ascii="仿宋_GB2312" w:hAnsi="仿宋_GB2312" w:eastAsia="仿宋_GB2312" w:cs="仿宋_GB2312"/>
          <w:color w:val="000000"/>
          <w:sz w:val="30"/>
          <w:szCs w:val="30"/>
          <w:lang w:eastAsia="zh-CN"/>
        </w:rPr>
      </w:pPr>
      <w:r>
        <w:rPr>
          <w:rFonts w:hint="eastAsia" w:ascii="仿宋_GB2312" w:hAnsi="仿宋_GB2312" w:eastAsia="仿宋_GB2312" w:cs="仿宋_GB2312"/>
          <w:color w:val="000000"/>
          <w:sz w:val="30"/>
          <w:szCs w:val="30"/>
        </w:rPr>
        <w:t>验收测试方式:</w:t>
      </w:r>
      <w:r>
        <w:rPr>
          <w:rFonts w:hint="eastAsia" w:ascii="仿宋_GB2312" w:hAnsi="仿宋_GB2312" w:eastAsia="仿宋_GB2312" w:cs="仿宋_GB2312"/>
          <w:color w:val="000000"/>
          <w:sz w:val="30"/>
          <w:szCs w:val="30"/>
          <w:lang w:val="en-US" w:eastAsia="zh-CN"/>
        </w:rPr>
        <w:t>轨迹</w:t>
      </w:r>
      <w:r>
        <w:rPr>
          <w:rFonts w:hint="eastAsia" w:ascii="仿宋_GB2312" w:hAnsi="仿宋_GB2312" w:eastAsia="仿宋_GB2312" w:cs="仿宋_GB2312"/>
          <w:color w:val="000000"/>
          <w:sz w:val="30"/>
          <w:szCs w:val="30"/>
        </w:rPr>
        <w:t>演示、数据对比分析与专家评审相结合的方式。</w:t>
      </w:r>
    </w:p>
    <w:p w14:paraId="53779EE6">
      <w:pPr>
        <w:ind w:firstLine="600" w:firstLineChars="200"/>
        <w:rPr>
          <w:rFonts w:hint="eastAsia" w:ascii="仿宋_GB2312" w:hAnsi="仿宋_GB2312" w:eastAsia="仿宋_GB2312" w:cs="仿宋_GB2312"/>
          <w:color w:val="000000"/>
          <w:sz w:val="30"/>
          <w:szCs w:val="30"/>
          <w:lang w:val="en-US" w:eastAsia="zh-CN"/>
        </w:rPr>
      </w:pPr>
      <w:r>
        <w:rPr>
          <w:rFonts w:hint="eastAsia" w:ascii="仿宋_GB2312" w:hAnsi="仿宋_GB2312" w:eastAsia="仿宋_GB2312" w:cs="仿宋_GB2312"/>
          <w:color w:val="000000"/>
          <w:sz w:val="30"/>
          <w:szCs w:val="30"/>
        </w:rPr>
        <w:t>验收测试地点:</w:t>
      </w:r>
      <w:r>
        <w:rPr>
          <w:rFonts w:hint="eastAsia" w:ascii="仿宋_GB2312" w:hAnsi="仿宋_GB2312" w:eastAsia="仿宋_GB2312" w:cs="仿宋_GB2312"/>
          <w:color w:val="000000"/>
          <w:sz w:val="30"/>
          <w:szCs w:val="30"/>
          <w:lang w:val="en-US" w:eastAsia="zh-CN"/>
        </w:rPr>
        <w:t>甲方指定实验室或会议室（具备演示环境）。</w:t>
      </w:r>
    </w:p>
    <w:p w14:paraId="34CAD01F">
      <w:pPr>
        <w:ind w:firstLine="600" w:firstLineChars="200"/>
        <w:rPr>
          <w:rFonts w:hint="eastAsia" w:ascii="仿宋_GB2312" w:hAnsi="仿宋_GB2312" w:eastAsia="仿宋_GB2312" w:cs="仿宋_GB2312"/>
          <w:color w:val="000000"/>
          <w:sz w:val="30"/>
          <w:szCs w:val="30"/>
          <w:lang w:val="en-US" w:eastAsia="zh-CN"/>
        </w:rPr>
      </w:pPr>
      <w:r>
        <w:rPr>
          <w:rFonts w:hint="eastAsia" w:ascii="仿宋_GB2312" w:hAnsi="仿宋_GB2312" w:eastAsia="仿宋_GB2312" w:cs="仿宋_GB2312"/>
          <w:color w:val="000000"/>
          <w:sz w:val="30"/>
          <w:szCs w:val="30"/>
        </w:rPr>
        <w:t>验收测试条件：</w:t>
      </w:r>
      <w:r>
        <w:rPr>
          <w:rFonts w:hint="eastAsia" w:ascii="仿宋_GB2312" w:hAnsi="仿宋_GB2312" w:eastAsia="仿宋_GB2312" w:cs="仿宋_GB2312"/>
          <w:color w:val="000000"/>
          <w:sz w:val="30"/>
          <w:szCs w:val="30"/>
          <w:lang w:val="en-US" w:eastAsia="zh-CN"/>
        </w:rPr>
        <w:t>测试人员准备测试工具。</w:t>
      </w:r>
    </w:p>
    <w:p w14:paraId="707F3E6B">
      <w:pPr>
        <w:ind w:firstLine="600" w:firstLineChars="200"/>
        <w:rPr>
          <w:rFonts w:hint="eastAsia" w:ascii="仿宋_GB2312" w:hAnsi="仿宋_GB2312" w:eastAsia="仿宋_GB2312" w:cs="仿宋_GB2312"/>
          <w:color w:val="000000"/>
          <w:sz w:val="30"/>
          <w:szCs w:val="30"/>
          <w:lang w:val="en-US" w:eastAsia="zh-CN"/>
        </w:rPr>
      </w:pPr>
    </w:p>
    <w:p w14:paraId="0037D7AD">
      <w:pPr>
        <w:spacing w:before="120" w:beforeLines="50" w:after="120" w:afterLines="50" w:line="240" w:lineRule="auto"/>
        <w:jc w:val="center"/>
        <w:rPr>
          <w:rFonts w:hint="eastAsia" w:ascii="黑体" w:hAnsi="黑体" w:cs="黑体"/>
          <w:b/>
          <w:bCs/>
          <w:sz w:val="30"/>
          <w:szCs w:val="30"/>
        </w:rPr>
      </w:pPr>
    </w:p>
    <w:p w14:paraId="68D061C5">
      <w:pPr>
        <w:spacing w:before="120" w:beforeLines="50" w:after="120" w:afterLines="50" w:line="240" w:lineRule="auto"/>
        <w:jc w:val="center"/>
        <w:rPr>
          <w:rFonts w:hint="eastAsia" w:ascii="黑体" w:hAnsi="黑体" w:cs="黑体"/>
          <w:b/>
          <w:bCs/>
          <w:sz w:val="30"/>
          <w:szCs w:val="30"/>
        </w:rPr>
      </w:pPr>
    </w:p>
    <w:p w14:paraId="62F7B2C3">
      <w:pPr>
        <w:spacing w:before="120" w:beforeLines="50" w:after="120" w:afterLines="50" w:line="240" w:lineRule="auto"/>
        <w:jc w:val="center"/>
        <w:rPr>
          <w:rFonts w:hint="eastAsia" w:ascii="黑体" w:hAnsi="黑体" w:cs="黑体"/>
          <w:b/>
          <w:bCs/>
          <w:sz w:val="30"/>
          <w:szCs w:val="30"/>
        </w:rPr>
      </w:pPr>
    </w:p>
    <w:p w14:paraId="34D4BE02">
      <w:pPr>
        <w:spacing w:before="120" w:beforeLines="50" w:after="120" w:afterLines="50" w:line="240" w:lineRule="auto"/>
        <w:jc w:val="center"/>
        <w:rPr>
          <w:rFonts w:hint="eastAsia" w:ascii="黑体" w:hAnsi="黑体" w:cs="黑体"/>
          <w:b/>
          <w:bCs/>
          <w:color w:val="FF0000"/>
          <w:sz w:val="30"/>
          <w:szCs w:val="30"/>
        </w:rPr>
      </w:pPr>
      <w:r>
        <w:rPr>
          <w:rFonts w:hint="eastAsia" w:ascii="黑体" w:hAnsi="黑体" w:cs="黑体"/>
          <w:b/>
          <w:bCs/>
          <w:sz w:val="30"/>
          <w:szCs w:val="30"/>
        </w:rPr>
        <w:t>表1 测试人员</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3676"/>
        <w:gridCol w:w="2653"/>
      </w:tblGrid>
      <w:tr w14:paraId="5C2C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2309" w:type="dxa"/>
            <w:noWrap w:val="0"/>
            <w:vAlign w:val="center"/>
          </w:tcPr>
          <w:p w14:paraId="4663EC57">
            <w:pPr>
              <w:spacing w:after="0" w:line="240" w:lineRule="auto"/>
              <w:jc w:val="center"/>
              <w:rPr>
                <w:rFonts w:hint="eastAsia" w:ascii="黑体" w:hAnsi="黑体" w:cs="黑体"/>
                <w:b/>
                <w:bCs/>
                <w:sz w:val="30"/>
                <w:szCs w:val="30"/>
              </w:rPr>
            </w:pPr>
            <w:r>
              <w:rPr>
                <w:rFonts w:hint="eastAsia" w:ascii="黑体" w:hAnsi="黑体" w:cs="黑体"/>
                <w:b/>
                <w:bCs/>
                <w:sz w:val="30"/>
                <w:szCs w:val="30"/>
              </w:rPr>
              <w:t>姓名</w:t>
            </w:r>
          </w:p>
        </w:tc>
        <w:tc>
          <w:tcPr>
            <w:tcW w:w="3894" w:type="dxa"/>
            <w:noWrap w:val="0"/>
            <w:vAlign w:val="center"/>
          </w:tcPr>
          <w:p w14:paraId="31CEE65B">
            <w:pPr>
              <w:spacing w:after="0" w:line="240" w:lineRule="auto"/>
              <w:jc w:val="center"/>
              <w:rPr>
                <w:rFonts w:hint="eastAsia" w:ascii="黑体" w:hAnsi="黑体" w:cs="黑体"/>
                <w:b/>
                <w:bCs/>
                <w:sz w:val="30"/>
                <w:szCs w:val="30"/>
              </w:rPr>
            </w:pPr>
            <w:r>
              <w:rPr>
                <w:rFonts w:hint="eastAsia" w:ascii="黑体" w:hAnsi="黑体" w:cs="黑体"/>
                <w:b/>
                <w:bCs/>
                <w:sz w:val="30"/>
                <w:szCs w:val="30"/>
              </w:rPr>
              <w:t>单位</w:t>
            </w:r>
          </w:p>
        </w:tc>
        <w:tc>
          <w:tcPr>
            <w:tcW w:w="2800" w:type="dxa"/>
            <w:noWrap w:val="0"/>
            <w:vAlign w:val="center"/>
          </w:tcPr>
          <w:p w14:paraId="57BEAE31">
            <w:pPr>
              <w:spacing w:after="0" w:line="240" w:lineRule="auto"/>
              <w:jc w:val="center"/>
              <w:rPr>
                <w:rFonts w:hint="eastAsia" w:ascii="黑体" w:hAnsi="黑体" w:cs="黑体"/>
                <w:b/>
                <w:bCs/>
                <w:sz w:val="30"/>
                <w:szCs w:val="30"/>
              </w:rPr>
            </w:pPr>
            <w:r>
              <w:rPr>
                <w:rFonts w:hint="eastAsia" w:ascii="黑体" w:hAnsi="黑体" w:cs="黑体"/>
                <w:b/>
                <w:bCs/>
                <w:sz w:val="30"/>
                <w:szCs w:val="30"/>
              </w:rPr>
              <w:t>备注</w:t>
            </w:r>
          </w:p>
        </w:tc>
      </w:tr>
      <w:tr w14:paraId="7882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309" w:type="dxa"/>
            <w:noWrap w:val="0"/>
            <w:vAlign w:val="center"/>
          </w:tcPr>
          <w:p w14:paraId="1E99E0A9">
            <w:pPr>
              <w:spacing w:after="0" w:line="240" w:lineRule="auto"/>
              <w:jc w:val="center"/>
              <w:rPr>
                <w:rFonts w:hint="default" w:ascii="仿宋_GB2312" w:hAnsi="仿宋_GB2312" w:eastAsia="仿宋_GB2312" w:cs="仿宋_GB2312"/>
                <w:color w:val="FF0000"/>
                <w:sz w:val="30"/>
                <w:szCs w:val="30"/>
                <w:lang w:val="en-US" w:eastAsia="zh-CN"/>
              </w:rPr>
            </w:pPr>
          </w:p>
        </w:tc>
        <w:tc>
          <w:tcPr>
            <w:tcW w:w="3894" w:type="dxa"/>
            <w:noWrap w:val="0"/>
            <w:vAlign w:val="center"/>
          </w:tcPr>
          <w:p w14:paraId="2C6616D9">
            <w:pPr>
              <w:spacing w:after="0" w:line="240" w:lineRule="auto"/>
              <w:jc w:val="center"/>
              <w:rPr>
                <w:rFonts w:hint="default" w:ascii="仿宋_GB2312" w:hAnsi="仿宋_GB2312" w:eastAsia="仿宋_GB2312" w:cs="仿宋_GB2312"/>
                <w:color w:val="FF0000"/>
                <w:sz w:val="30"/>
                <w:szCs w:val="30"/>
                <w:lang w:val="en-US" w:eastAsia="zh-CN"/>
              </w:rPr>
            </w:pPr>
          </w:p>
        </w:tc>
        <w:tc>
          <w:tcPr>
            <w:tcW w:w="2800" w:type="dxa"/>
            <w:noWrap w:val="0"/>
            <w:vAlign w:val="center"/>
          </w:tcPr>
          <w:p w14:paraId="7FC9C093">
            <w:pPr>
              <w:spacing w:after="0" w:line="240" w:lineRule="auto"/>
              <w:jc w:val="center"/>
              <w:rPr>
                <w:rFonts w:hint="eastAsia" w:ascii="仿宋_GB2312" w:hAnsi="仿宋_GB2312" w:eastAsia="仿宋_GB2312" w:cs="仿宋_GB2312"/>
                <w:color w:val="FF0000"/>
                <w:sz w:val="30"/>
                <w:szCs w:val="30"/>
                <w:lang w:val="en-US" w:eastAsia="zh-CN"/>
              </w:rPr>
            </w:pPr>
          </w:p>
        </w:tc>
      </w:tr>
      <w:tr w14:paraId="124F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309" w:type="dxa"/>
            <w:noWrap w:val="0"/>
            <w:vAlign w:val="center"/>
          </w:tcPr>
          <w:p w14:paraId="7FE3BD59">
            <w:pPr>
              <w:spacing w:after="0" w:line="240" w:lineRule="auto"/>
              <w:jc w:val="center"/>
              <w:rPr>
                <w:rFonts w:hint="default" w:ascii="仿宋_GB2312" w:hAnsi="仿宋_GB2312" w:eastAsia="仿宋_GB2312" w:cs="仿宋_GB2312"/>
                <w:color w:val="FF0000"/>
                <w:sz w:val="30"/>
                <w:szCs w:val="30"/>
                <w:lang w:val="en-US" w:eastAsia="zh-CN"/>
              </w:rPr>
            </w:pPr>
          </w:p>
        </w:tc>
        <w:tc>
          <w:tcPr>
            <w:tcW w:w="3894" w:type="dxa"/>
            <w:noWrap w:val="0"/>
            <w:vAlign w:val="center"/>
          </w:tcPr>
          <w:p w14:paraId="7DED0061">
            <w:pPr>
              <w:spacing w:after="0" w:line="240" w:lineRule="auto"/>
              <w:jc w:val="center"/>
              <w:rPr>
                <w:rFonts w:hint="default" w:ascii="仿宋_GB2312" w:hAnsi="仿宋_GB2312" w:eastAsia="仿宋_GB2312" w:cs="仿宋_GB2312"/>
                <w:color w:val="FF0000"/>
                <w:sz w:val="30"/>
                <w:szCs w:val="30"/>
                <w:lang w:val="en-US" w:eastAsia="zh-CN"/>
              </w:rPr>
            </w:pPr>
          </w:p>
        </w:tc>
        <w:tc>
          <w:tcPr>
            <w:tcW w:w="2800" w:type="dxa"/>
            <w:noWrap w:val="0"/>
            <w:vAlign w:val="center"/>
          </w:tcPr>
          <w:p w14:paraId="564B5B2F">
            <w:pPr>
              <w:spacing w:after="0" w:line="240" w:lineRule="auto"/>
              <w:jc w:val="center"/>
              <w:rPr>
                <w:rFonts w:hint="eastAsia" w:ascii="仿宋_GB2312" w:hAnsi="仿宋_GB2312" w:eastAsia="仿宋_GB2312" w:cs="仿宋_GB2312"/>
                <w:color w:val="FF0000"/>
                <w:sz w:val="30"/>
                <w:szCs w:val="30"/>
                <w:lang w:val="en-US" w:eastAsia="zh-CN"/>
              </w:rPr>
            </w:pPr>
          </w:p>
        </w:tc>
      </w:tr>
      <w:tr w14:paraId="0471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2309" w:type="dxa"/>
            <w:noWrap w:val="0"/>
            <w:vAlign w:val="center"/>
          </w:tcPr>
          <w:p w14:paraId="46450C29">
            <w:pPr>
              <w:spacing w:after="0" w:line="240" w:lineRule="auto"/>
              <w:jc w:val="center"/>
              <w:rPr>
                <w:rFonts w:hint="default" w:ascii="仿宋_GB2312" w:hAnsi="仿宋_GB2312" w:eastAsia="仿宋_GB2312" w:cs="仿宋_GB2312"/>
                <w:color w:val="FF0000"/>
                <w:sz w:val="30"/>
                <w:szCs w:val="30"/>
                <w:lang w:val="en-US" w:eastAsia="zh-CN"/>
              </w:rPr>
            </w:pPr>
          </w:p>
        </w:tc>
        <w:tc>
          <w:tcPr>
            <w:tcW w:w="3894" w:type="dxa"/>
            <w:noWrap w:val="0"/>
            <w:vAlign w:val="center"/>
          </w:tcPr>
          <w:p w14:paraId="5AAAF747">
            <w:pPr>
              <w:spacing w:after="0" w:line="240" w:lineRule="auto"/>
              <w:jc w:val="center"/>
              <w:rPr>
                <w:rFonts w:hint="default" w:ascii="仿宋_GB2312" w:hAnsi="仿宋_GB2312" w:eastAsia="仿宋_GB2312" w:cs="仿宋_GB2312"/>
                <w:color w:val="FF0000"/>
                <w:sz w:val="30"/>
                <w:szCs w:val="30"/>
                <w:lang w:val="en-US" w:eastAsia="zh-CN"/>
              </w:rPr>
            </w:pPr>
          </w:p>
        </w:tc>
        <w:tc>
          <w:tcPr>
            <w:tcW w:w="2800" w:type="dxa"/>
            <w:noWrap w:val="0"/>
            <w:vAlign w:val="center"/>
          </w:tcPr>
          <w:p w14:paraId="63D2C531">
            <w:pPr>
              <w:spacing w:after="0" w:line="240" w:lineRule="auto"/>
              <w:jc w:val="center"/>
              <w:rPr>
                <w:rFonts w:hint="eastAsia" w:ascii="仿宋_GB2312" w:hAnsi="仿宋_GB2312" w:eastAsia="仿宋_GB2312" w:cs="仿宋_GB2312"/>
                <w:color w:val="FF0000"/>
                <w:sz w:val="30"/>
                <w:szCs w:val="30"/>
                <w:lang w:val="en-US" w:eastAsia="zh-CN"/>
              </w:rPr>
            </w:pPr>
          </w:p>
        </w:tc>
      </w:tr>
      <w:tr w14:paraId="4267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2309" w:type="dxa"/>
            <w:noWrap w:val="0"/>
            <w:vAlign w:val="center"/>
          </w:tcPr>
          <w:p w14:paraId="5839B36C">
            <w:pPr>
              <w:spacing w:after="0" w:line="240" w:lineRule="auto"/>
              <w:jc w:val="center"/>
              <w:rPr>
                <w:rFonts w:hint="default" w:ascii="仿宋_GB2312" w:hAnsi="仿宋_GB2312" w:eastAsia="仿宋_GB2312" w:cs="仿宋_GB2312"/>
                <w:color w:val="FF0000"/>
                <w:sz w:val="30"/>
                <w:szCs w:val="30"/>
                <w:lang w:val="en-US" w:eastAsia="zh-CN"/>
              </w:rPr>
            </w:pPr>
          </w:p>
        </w:tc>
        <w:tc>
          <w:tcPr>
            <w:tcW w:w="3894" w:type="dxa"/>
            <w:noWrap w:val="0"/>
            <w:vAlign w:val="center"/>
          </w:tcPr>
          <w:p w14:paraId="5F6C98D5">
            <w:pPr>
              <w:spacing w:after="0" w:line="240" w:lineRule="auto"/>
              <w:jc w:val="center"/>
              <w:rPr>
                <w:rFonts w:hint="default" w:ascii="仿宋_GB2312" w:hAnsi="仿宋_GB2312" w:eastAsia="仿宋_GB2312" w:cs="仿宋_GB2312"/>
                <w:color w:val="FF0000"/>
                <w:sz w:val="30"/>
                <w:szCs w:val="30"/>
                <w:lang w:val="en-US" w:eastAsia="zh-CN"/>
              </w:rPr>
            </w:pPr>
          </w:p>
        </w:tc>
        <w:tc>
          <w:tcPr>
            <w:tcW w:w="2800" w:type="dxa"/>
            <w:noWrap w:val="0"/>
            <w:vAlign w:val="center"/>
          </w:tcPr>
          <w:p w14:paraId="3718EEF4">
            <w:pPr>
              <w:spacing w:after="0" w:line="240" w:lineRule="auto"/>
              <w:jc w:val="center"/>
              <w:rPr>
                <w:rFonts w:hint="eastAsia" w:ascii="仿宋_GB2312" w:hAnsi="仿宋_GB2312" w:eastAsia="仿宋_GB2312" w:cs="仿宋_GB2312"/>
                <w:color w:val="FF0000"/>
                <w:sz w:val="30"/>
                <w:szCs w:val="30"/>
                <w:lang w:val="en-US" w:eastAsia="zh-CN"/>
              </w:rPr>
            </w:pPr>
          </w:p>
        </w:tc>
      </w:tr>
    </w:tbl>
    <w:p w14:paraId="7951B493">
      <w:pPr>
        <w:rPr>
          <w:rFonts w:hint="eastAsia" w:ascii="黑体" w:hAnsi="黑体" w:cs="黑体"/>
          <w:b/>
          <w:bCs/>
          <w:sz w:val="24"/>
          <w:szCs w:val="24"/>
        </w:rPr>
      </w:pPr>
    </w:p>
    <w:p w14:paraId="20629B07">
      <w:pPr>
        <w:rPr>
          <w:rFonts w:hint="eastAsia" w:ascii="黑体" w:hAnsi="黑体" w:cs="黑体"/>
          <w:b/>
          <w:bCs/>
          <w:sz w:val="24"/>
          <w:szCs w:val="24"/>
        </w:rPr>
      </w:pPr>
    </w:p>
    <w:p w14:paraId="059A4196">
      <w:pPr>
        <w:rPr>
          <w:rFonts w:hint="eastAsia" w:ascii="黑体" w:hAnsi="黑体" w:cs="黑体"/>
          <w:b/>
          <w:bCs/>
          <w:sz w:val="24"/>
          <w:szCs w:val="24"/>
        </w:rPr>
      </w:pPr>
    </w:p>
    <w:p w14:paraId="1EF2E8C2">
      <w:pPr>
        <w:spacing w:before="120" w:beforeLines="50" w:after="120" w:afterLines="50" w:line="240" w:lineRule="auto"/>
        <w:jc w:val="center"/>
        <w:rPr>
          <w:rFonts w:hint="eastAsia" w:ascii="黑体" w:hAnsi="黑体" w:cs="黑体"/>
          <w:b/>
          <w:bCs/>
          <w:sz w:val="30"/>
          <w:szCs w:val="30"/>
        </w:rPr>
      </w:pPr>
      <w:r>
        <w:rPr>
          <w:rFonts w:hint="eastAsia" w:ascii="黑体" w:hAnsi="黑体" w:cs="黑体"/>
          <w:b/>
          <w:bCs/>
          <w:sz w:val="30"/>
          <w:szCs w:val="30"/>
        </w:rPr>
        <w:t>表2 测试项目与测试时间</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3"/>
        <w:gridCol w:w="2597"/>
        <w:gridCol w:w="2212"/>
      </w:tblGrid>
      <w:tr w14:paraId="6469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916" w:type="dxa"/>
            <w:noWrap w:val="0"/>
            <w:vAlign w:val="center"/>
          </w:tcPr>
          <w:p w14:paraId="4B9C2DD5">
            <w:pPr>
              <w:spacing w:after="0" w:line="240" w:lineRule="auto"/>
              <w:jc w:val="center"/>
              <w:rPr>
                <w:rFonts w:hint="eastAsia" w:ascii="黑体" w:hAnsi="黑体" w:cs="黑体"/>
                <w:b/>
                <w:bCs/>
                <w:sz w:val="30"/>
                <w:szCs w:val="30"/>
              </w:rPr>
            </w:pPr>
            <w:r>
              <w:rPr>
                <w:rFonts w:hint="eastAsia" w:ascii="黑体" w:hAnsi="黑体" w:cs="黑体"/>
                <w:b/>
                <w:bCs/>
                <w:sz w:val="30"/>
                <w:szCs w:val="30"/>
              </w:rPr>
              <w:t>测试项目</w:t>
            </w:r>
          </w:p>
        </w:tc>
        <w:tc>
          <w:tcPr>
            <w:tcW w:w="2750" w:type="dxa"/>
            <w:noWrap w:val="0"/>
            <w:vAlign w:val="center"/>
          </w:tcPr>
          <w:p w14:paraId="5C336D8E">
            <w:pPr>
              <w:spacing w:after="0" w:line="240" w:lineRule="auto"/>
              <w:jc w:val="center"/>
              <w:rPr>
                <w:rFonts w:hint="eastAsia" w:ascii="黑体" w:hAnsi="黑体" w:cs="黑体"/>
                <w:b/>
                <w:bCs/>
                <w:sz w:val="30"/>
                <w:szCs w:val="30"/>
              </w:rPr>
            </w:pPr>
            <w:r>
              <w:rPr>
                <w:rFonts w:hint="eastAsia" w:ascii="黑体" w:hAnsi="黑体" w:cs="黑体"/>
                <w:b/>
                <w:bCs/>
                <w:sz w:val="30"/>
                <w:szCs w:val="30"/>
              </w:rPr>
              <w:t>负责人员</w:t>
            </w:r>
          </w:p>
        </w:tc>
        <w:tc>
          <w:tcPr>
            <w:tcW w:w="2337" w:type="dxa"/>
            <w:noWrap w:val="0"/>
            <w:vAlign w:val="center"/>
          </w:tcPr>
          <w:p w14:paraId="11AB58B9">
            <w:pPr>
              <w:spacing w:after="0" w:line="240" w:lineRule="auto"/>
              <w:jc w:val="center"/>
              <w:rPr>
                <w:rFonts w:hint="eastAsia" w:ascii="黑体" w:hAnsi="黑体" w:cs="黑体"/>
                <w:b/>
                <w:bCs/>
                <w:sz w:val="30"/>
                <w:szCs w:val="30"/>
              </w:rPr>
            </w:pPr>
            <w:r>
              <w:rPr>
                <w:rFonts w:hint="eastAsia" w:ascii="黑体" w:hAnsi="黑体" w:cs="黑体"/>
                <w:b/>
                <w:bCs/>
                <w:sz w:val="30"/>
                <w:szCs w:val="30"/>
              </w:rPr>
              <w:t>测试时间</w:t>
            </w:r>
          </w:p>
        </w:tc>
      </w:tr>
      <w:tr w14:paraId="499AA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3916" w:type="dxa"/>
            <w:noWrap w:val="0"/>
            <w:vAlign w:val="center"/>
          </w:tcPr>
          <w:p w14:paraId="1FD9B71E">
            <w:pPr>
              <w:spacing w:after="0" w:line="240" w:lineRule="auto"/>
              <w:jc w:val="center"/>
              <w:rPr>
                <w:rFonts w:hint="eastAsia" w:ascii="仿宋_GB2312" w:hAnsi="仿宋_GB2312" w:eastAsia="仿宋_GB2312" w:cs="仿宋_GB2312"/>
                <w:color w:val="FF0000"/>
                <w:sz w:val="30"/>
                <w:szCs w:val="30"/>
              </w:rPr>
            </w:pPr>
            <w:r>
              <w:rPr>
                <w:rFonts w:hint="eastAsia" w:ascii="仿宋_GB2312" w:hAnsi="仿宋_GB2312" w:eastAsia="仿宋_GB2312" w:cs="仿宋_GB2312"/>
                <w:color w:val="auto"/>
                <w:sz w:val="30"/>
                <w:szCs w:val="30"/>
              </w:rPr>
              <w:t>成果支付情况检查</w:t>
            </w:r>
          </w:p>
        </w:tc>
        <w:tc>
          <w:tcPr>
            <w:tcW w:w="2750" w:type="dxa"/>
            <w:noWrap w:val="0"/>
            <w:vAlign w:val="center"/>
          </w:tcPr>
          <w:p w14:paraId="5D2E5443">
            <w:pPr>
              <w:spacing w:after="0" w:line="240" w:lineRule="auto"/>
              <w:jc w:val="center"/>
              <w:rPr>
                <w:rFonts w:hint="eastAsia" w:ascii="仿宋_GB2312" w:hAnsi="仿宋_GB2312" w:eastAsia="仿宋_GB2312" w:cs="仿宋_GB2312"/>
                <w:color w:val="FF0000"/>
                <w:sz w:val="30"/>
                <w:szCs w:val="30"/>
                <w:lang w:val="en-US" w:eastAsia="zh-CN"/>
              </w:rPr>
            </w:pPr>
          </w:p>
        </w:tc>
        <w:tc>
          <w:tcPr>
            <w:tcW w:w="2337" w:type="dxa"/>
            <w:noWrap w:val="0"/>
            <w:vAlign w:val="center"/>
          </w:tcPr>
          <w:p w14:paraId="1BB65290">
            <w:pPr>
              <w:spacing w:after="0" w:line="240" w:lineRule="auto"/>
              <w:jc w:val="center"/>
              <w:rPr>
                <w:rFonts w:hint="eastAsia" w:ascii="仿宋_GB2312" w:hAnsi="仿宋_GB2312" w:eastAsia="仿宋_GB2312" w:cs="仿宋_GB2312"/>
                <w:color w:val="FF0000"/>
                <w:sz w:val="30"/>
                <w:szCs w:val="30"/>
                <w:lang w:val="en-US" w:eastAsia="zh-CN"/>
              </w:rPr>
            </w:pPr>
          </w:p>
        </w:tc>
      </w:tr>
      <w:tr w14:paraId="0A63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3916" w:type="dxa"/>
            <w:noWrap w:val="0"/>
            <w:vAlign w:val="center"/>
          </w:tcPr>
          <w:p w14:paraId="5C2E06BB">
            <w:pPr>
              <w:spacing w:after="0" w:line="240" w:lineRule="auto"/>
              <w:jc w:val="center"/>
              <w:rPr>
                <w:rFonts w:ascii="仿宋_GB2312" w:hAnsi="仿宋_GB2312" w:eastAsia="仿宋_GB2312" w:cs="仿宋_GB2312"/>
                <w:color w:val="FF0000"/>
                <w:sz w:val="30"/>
                <w:szCs w:val="30"/>
              </w:rPr>
            </w:pPr>
            <w:r>
              <w:rPr>
                <w:rFonts w:hint="eastAsia" w:ascii="仿宋_GB2312" w:hAnsi="仿宋_GB2312" w:eastAsia="仿宋_GB2312" w:cs="仿宋_GB2312"/>
                <w:color w:val="auto"/>
                <w:sz w:val="30"/>
                <w:szCs w:val="30"/>
              </w:rPr>
              <w:t>协作任务完成情况检验</w:t>
            </w:r>
          </w:p>
        </w:tc>
        <w:tc>
          <w:tcPr>
            <w:tcW w:w="2750" w:type="dxa"/>
            <w:noWrap w:val="0"/>
            <w:vAlign w:val="center"/>
          </w:tcPr>
          <w:p w14:paraId="0BE50BBF">
            <w:pPr>
              <w:spacing w:after="0" w:line="240" w:lineRule="auto"/>
              <w:jc w:val="center"/>
              <w:rPr>
                <w:rFonts w:hint="eastAsia" w:ascii="仿宋_GB2312" w:hAnsi="仿宋_GB2312" w:eastAsia="仿宋_GB2312" w:cs="仿宋_GB2312"/>
                <w:color w:val="FF0000"/>
                <w:sz w:val="30"/>
                <w:szCs w:val="30"/>
                <w:lang w:val="en-US" w:eastAsia="zh-CN"/>
              </w:rPr>
            </w:pPr>
          </w:p>
        </w:tc>
        <w:tc>
          <w:tcPr>
            <w:tcW w:w="2337" w:type="dxa"/>
            <w:noWrap w:val="0"/>
            <w:vAlign w:val="center"/>
          </w:tcPr>
          <w:p w14:paraId="206AF151">
            <w:pPr>
              <w:spacing w:after="0" w:line="240" w:lineRule="auto"/>
              <w:jc w:val="center"/>
              <w:rPr>
                <w:rFonts w:hint="eastAsia" w:ascii="仿宋_GB2312" w:hAnsi="仿宋_GB2312" w:eastAsia="仿宋_GB2312" w:cs="仿宋_GB2312"/>
                <w:color w:val="FF0000"/>
                <w:sz w:val="30"/>
                <w:szCs w:val="30"/>
                <w:lang w:val="en-US" w:eastAsia="zh-CN"/>
              </w:rPr>
            </w:pPr>
          </w:p>
        </w:tc>
      </w:tr>
      <w:tr w14:paraId="2BD3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9" w:hRule="atLeast"/>
        </w:trPr>
        <w:tc>
          <w:tcPr>
            <w:tcW w:w="3916" w:type="dxa"/>
            <w:noWrap w:val="0"/>
            <w:vAlign w:val="center"/>
          </w:tcPr>
          <w:p w14:paraId="62D7147E">
            <w:pPr>
              <w:numPr>
                <w:ilvl w:val="0"/>
                <w:numId w:val="0"/>
              </w:numPr>
              <w:spacing w:after="0" w:line="240" w:lineRule="auto"/>
              <w:jc w:val="center"/>
              <w:rPr>
                <w:rFonts w:hint="eastAsia" w:ascii="仿宋_GB2312" w:hAnsi="仿宋_GB2312" w:eastAsia="仿宋_GB2312" w:cs="仿宋_GB2312"/>
                <w:color w:val="auto"/>
                <w:sz w:val="30"/>
                <w:szCs w:val="30"/>
              </w:rPr>
            </w:pPr>
            <w:r>
              <w:rPr>
                <w:rFonts w:hint="eastAsia" w:ascii="仿宋_GB2312" w:hAnsi="仿宋_GB2312" w:eastAsia="仿宋_GB2312" w:cs="仿宋_GB2312"/>
                <w:color w:val="auto"/>
                <w:sz w:val="30"/>
                <w:szCs w:val="30"/>
                <w:lang w:val="en-US" w:eastAsia="zh-CN" w:bidi="ar-SA"/>
              </w:rPr>
              <w:t>（1）基于</w:t>
            </w:r>
            <w:r>
              <w:rPr>
                <w:rFonts w:hint="eastAsia" w:ascii="仿宋_GB2312" w:hAnsi="仿宋_GB2312" w:eastAsia="仿宋_GB2312" w:cs="仿宋_GB2312"/>
                <w:color w:val="auto"/>
                <w:sz w:val="30"/>
                <w:szCs w:val="30"/>
                <w:lang w:val="en-US" w:eastAsia="zh-CN"/>
              </w:rPr>
              <w:t>传统方法轨迹生成有效性验证测</w:t>
            </w:r>
            <w:r>
              <w:rPr>
                <w:rFonts w:hint="eastAsia" w:ascii="仿宋_GB2312" w:hAnsi="仿宋_GB2312" w:eastAsia="仿宋_GB2312" w:cs="仿宋_GB2312"/>
                <w:color w:val="auto"/>
                <w:sz w:val="30"/>
                <w:szCs w:val="30"/>
              </w:rPr>
              <w:t>试</w:t>
            </w:r>
          </w:p>
          <w:p w14:paraId="51E96E9D">
            <w:pPr>
              <w:numPr>
                <w:ilvl w:val="0"/>
                <w:numId w:val="0"/>
              </w:numPr>
              <w:spacing w:after="0" w:line="240" w:lineRule="auto"/>
              <w:jc w:val="left"/>
              <w:rPr>
                <w:rFonts w:hint="eastAsia" w:ascii="仿宋_GB2312" w:hAnsi="仿宋_GB2312" w:eastAsia="仿宋_GB2312" w:cs="仿宋_GB2312"/>
                <w:color w:val="auto"/>
                <w:sz w:val="30"/>
                <w:szCs w:val="30"/>
              </w:rPr>
            </w:pPr>
            <w:r>
              <w:rPr>
                <w:rFonts w:hint="eastAsia" w:ascii="仿宋_GB2312" w:hAnsi="仿宋_GB2312" w:eastAsia="仿宋_GB2312" w:cs="仿宋_GB2312"/>
                <w:color w:val="auto"/>
                <w:sz w:val="30"/>
                <w:szCs w:val="30"/>
                <w:lang w:val="en-US" w:eastAsia="zh-CN" w:bidi="ar-SA"/>
              </w:rPr>
              <w:t>（2）基于扩散</w:t>
            </w:r>
            <w:r>
              <w:rPr>
                <w:rFonts w:hint="eastAsia" w:ascii="仿宋_GB2312" w:hAnsi="仿宋_GB2312" w:eastAsia="仿宋_GB2312" w:cs="仿宋_GB2312"/>
                <w:color w:val="auto"/>
                <w:sz w:val="30"/>
                <w:szCs w:val="30"/>
                <w:lang w:val="en-US" w:eastAsia="zh-CN"/>
              </w:rPr>
              <w:t>模型轨迹生成有效性验证测试</w:t>
            </w:r>
          </w:p>
        </w:tc>
        <w:tc>
          <w:tcPr>
            <w:tcW w:w="2750" w:type="dxa"/>
            <w:noWrap w:val="0"/>
            <w:vAlign w:val="center"/>
          </w:tcPr>
          <w:p w14:paraId="71D6BE96">
            <w:pPr>
              <w:spacing w:after="0" w:line="240" w:lineRule="auto"/>
              <w:jc w:val="center"/>
              <w:rPr>
                <w:rFonts w:hint="eastAsia" w:ascii="仿宋_GB2312" w:hAnsi="仿宋_GB2312" w:eastAsia="仿宋_GB2312" w:cs="仿宋_GB2312"/>
                <w:color w:val="FF0000"/>
                <w:sz w:val="30"/>
                <w:szCs w:val="30"/>
                <w:lang w:val="en-US" w:eastAsia="zh-CN"/>
              </w:rPr>
            </w:pPr>
          </w:p>
        </w:tc>
        <w:tc>
          <w:tcPr>
            <w:tcW w:w="2337" w:type="dxa"/>
            <w:noWrap w:val="0"/>
            <w:vAlign w:val="center"/>
          </w:tcPr>
          <w:p w14:paraId="7650A888">
            <w:pPr>
              <w:spacing w:after="0" w:line="240" w:lineRule="auto"/>
              <w:jc w:val="center"/>
              <w:rPr>
                <w:rFonts w:hint="eastAsia" w:ascii="仿宋_GB2312" w:hAnsi="仿宋_GB2312" w:eastAsia="仿宋_GB2312" w:cs="仿宋_GB2312"/>
                <w:color w:val="FF0000"/>
                <w:sz w:val="30"/>
                <w:szCs w:val="30"/>
                <w:lang w:val="en-US" w:eastAsia="zh-CN"/>
              </w:rPr>
            </w:pPr>
          </w:p>
        </w:tc>
      </w:tr>
    </w:tbl>
    <w:p w14:paraId="2FCEC708">
      <w:pPr>
        <w:ind w:firstLine="600" w:firstLineChars="200"/>
        <w:rPr>
          <w:rFonts w:hint="default" w:ascii="仿宋_GB2312" w:hAnsi="仿宋_GB2312" w:eastAsia="仿宋_GB2312" w:cs="仿宋_GB2312"/>
          <w:color w:val="000000"/>
          <w:sz w:val="30"/>
          <w:szCs w:val="30"/>
          <w:lang w:val="en-US" w:eastAsia="zh-CN"/>
        </w:rPr>
      </w:pPr>
    </w:p>
    <w:p w14:paraId="377AD353">
      <w:pPr>
        <w:ind w:firstLine="600" w:firstLineChars="200"/>
        <w:rPr>
          <w:rFonts w:hint="default" w:ascii="仿宋_GB2312" w:hAnsi="仿宋_GB2312" w:eastAsia="仿宋_GB2312" w:cs="仿宋_GB2312"/>
          <w:color w:val="000000"/>
          <w:sz w:val="30"/>
          <w:szCs w:val="30"/>
          <w:lang w:val="en-US" w:eastAsia="zh-CN"/>
        </w:rPr>
      </w:pPr>
    </w:p>
    <w:p w14:paraId="62223944">
      <w:pPr>
        <w:pStyle w:val="2"/>
        <w:numPr>
          <w:ilvl w:val="0"/>
          <w:numId w:val="1"/>
        </w:numPr>
        <w:spacing w:before="120" w:beforeLines="50" w:after="120" w:afterLines="50" w:line="240" w:lineRule="auto"/>
        <w:rPr>
          <w:rFonts w:hint="eastAsia" w:ascii="黑体" w:hAnsi="黑体" w:cs="黑体"/>
          <w:bCs w:val="0"/>
          <w:sz w:val="30"/>
          <w:szCs w:val="30"/>
          <w:lang w:val="en-US" w:eastAsia="zh-CN"/>
        </w:rPr>
      </w:pPr>
      <w:bookmarkStart w:id="7" w:name="_Toc14663"/>
      <w:bookmarkStart w:id="8" w:name="_Toc9233"/>
      <w:r>
        <w:rPr>
          <w:rFonts w:hint="eastAsia" w:ascii="黑体" w:hAnsi="黑体" w:cs="黑体"/>
          <w:bCs w:val="0"/>
          <w:sz w:val="30"/>
          <w:szCs w:val="30"/>
          <w:lang w:val="en-US" w:eastAsia="zh-CN"/>
        </w:rPr>
        <w:t>成果</w:t>
      </w:r>
      <w:r>
        <w:rPr>
          <w:rFonts w:hint="eastAsia" w:ascii="黑体" w:hAnsi="黑体" w:cs="黑体"/>
          <w:bCs w:val="0"/>
          <w:sz w:val="30"/>
          <w:szCs w:val="30"/>
        </w:rPr>
        <w:t>交付</w:t>
      </w:r>
      <w:r>
        <w:rPr>
          <w:rFonts w:hint="eastAsia" w:ascii="黑体" w:hAnsi="黑体" w:cs="黑体"/>
          <w:bCs w:val="0"/>
          <w:sz w:val="30"/>
          <w:szCs w:val="30"/>
          <w:lang w:val="en-US" w:eastAsia="zh-CN"/>
        </w:rPr>
        <w:t>情况检查</w:t>
      </w:r>
      <w:bookmarkEnd w:id="7"/>
      <w:bookmarkEnd w:id="8"/>
    </w:p>
    <w:p w14:paraId="4E7D8B22">
      <w:pPr>
        <w:rPr>
          <w:rFonts w:hint="eastAsia"/>
          <w:lang w:val="en-US" w:eastAsia="zh-CN"/>
        </w:rPr>
      </w:pPr>
    </w:p>
    <w:p w14:paraId="635A0D03">
      <w:pPr>
        <w:spacing w:before="120" w:beforeLines="50" w:after="120" w:afterLines="50" w:line="240" w:lineRule="auto"/>
        <w:jc w:val="center"/>
        <w:rPr>
          <w:rFonts w:hint="eastAsia"/>
          <w:lang w:val="en-US" w:eastAsia="zh-CN"/>
        </w:rPr>
      </w:pPr>
      <w:r>
        <w:rPr>
          <w:rFonts w:hint="eastAsia" w:ascii="黑体" w:hAnsi="黑体" w:cs="黑体"/>
          <w:b/>
          <w:bCs/>
          <w:sz w:val="30"/>
          <w:szCs w:val="30"/>
        </w:rPr>
        <w:t>表3成果支付情况检查结果汇总表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3362"/>
        <w:gridCol w:w="3379"/>
      </w:tblGrid>
      <w:tr w14:paraId="13754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81" w:type="dxa"/>
            <w:noWrap w:val="0"/>
            <w:vAlign w:val="center"/>
          </w:tcPr>
          <w:p w14:paraId="5A66550F">
            <w:pPr>
              <w:spacing w:after="0" w:line="240" w:lineRule="auto"/>
              <w:jc w:val="center"/>
              <w:rPr>
                <w:rFonts w:hint="eastAsia" w:ascii="黑体" w:hAnsi="黑体" w:cs="黑体"/>
                <w:b/>
                <w:bCs/>
                <w:sz w:val="28"/>
                <w:szCs w:val="28"/>
              </w:rPr>
            </w:pPr>
            <w:r>
              <w:rPr>
                <w:rFonts w:hint="eastAsia" w:ascii="黑体" w:hAnsi="黑体" w:cs="黑体"/>
                <w:b/>
                <w:bCs/>
                <w:sz w:val="28"/>
                <w:szCs w:val="28"/>
              </w:rPr>
              <w:t>合同要求交付的成果</w:t>
            </w:r>
          </w:p>
        </w:tc>
        <w:tc>
          <w:tcPr>
            <w:tcW w:w="3362" w:type="dxa"/>
            <w:noWrap w:val="0"/>
            <w:vAlign w:val="center"/>
          </w:tcPr>
          <w:p w14:paraId="6E012B75">
            <w:pPr>
              <w:spacing w:after="0" w:line="240" w:lineRule="auto"/>
              <w:jc w:val="center"/>
              <w:rPr>
                <w:rFonts w:hint="eastAsia" w:ascii="黑体" w:hAnsi="黑体" w:cs="黑体"/>
                <w:b/>
                <w:bCs/>
                <w:sz w:val="28"/>
                <w:szCs w:val="28"/>
              </w:rPr>
            </w:pPr>
            <w:r>
              <w:rPr>
                <w:rFonts w:hint="eastAsia" w:ascii="黑体" w:hAnsi="黑体" w:cs="黑体"/>
                <w:b/>
                <w:bCs/>
                <w:sz w:val="28"/>
                <w:szCs w:val="28"/>
              </w:rPr>
              <w:t>检查方式</w:t>
            </w:r>
          </w:p>
        </w:tc>
        <w:tc>
          <w:tcPr>
            <w:tcW w:w="3379" w:type="dxa"/>
            <w:noWrap w:val="0"/>
            <w:vAlign w:val="center"/>
          </w:tcPr>
          <w:p w14:paraId="7A192836">
            <w:pPr>
              <w:spacing w:after="0" w:line="240" w:lineRule="auto"/>
              <w:jc w:val="center"/>
              <w:rPr>
                <w:rFonts w:hint="eastAsia" w:ascii="黑体" w:hAnsi="黑体" w:cs="黑体"/>
                <w:b/>
                <w:bCs/>
                <w:sz w:val="28"/>
                <w:szCs w:val="28"/>
              </w:rPr>
            </w:pPr>
            <w:r>
              <w:rPr>
                <w:rFonts w:hint="eastAsia" w:ascii="黑体" w:hAnsi="黑体" w:cs="黑体"/>
                <w:b/>
                <w:bCs/>
                <w:sz w:val="30"/>
                <w:szCs w:val="30"/>
              </w:rPr>
              <w:t>检查结论</w:t>
            </w:r>
          </w:p>
        </w:tc>
      </w:tr>
      <w:tr w14:paraId="76789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81" w:type="dxa"/>
            <w:noWrap w:val="0"/>
            <w:vAlign w:val="center"/>
          </w:tcPr>
          <w:p w14:paraId="7F5B7C99">
            <w:pPr>
              <w:spacing w:after="0" w:line="240" w:lineRule="auto"/>
              <w:jc w:val="center"/>
              <w:rPr>
                <w:rFonts w:hint="eastAsia" w:ascii="仿宋_GB2312" w:hAnsi="仿宋_GB2312" w:eastAsia="仿宋_GB2312" w:cs="仿宋_GB2312"/>
                <w:color w:val="FF0000"/>
                <w:sz w:val="30"/>
                <w:szCs w:val="30"/>
              </w:rPr>
            </w:pPr>
            <w:r>
              <w:rPr>
                <w:rFonts w:hint="eastAsia" w:ascii="仿宋_GB2312" w:hAnsi="仿宋_GB2312" w:eastAsia="仿宋_GB2312" w:cs="仿宋_GB2312"/>
                <w:color w:val="auto"/>
                <w:sz w:val="30"/>
                <w:szCs w:val="30"/>
              </w:rPr>
              <w:t>无人机</w:t>
            </w:r>
            <w:r>
              <w:rPr>
                <w:rFonts w:hint="eastAsia" w:ascii="仿宋_GB2312" w:hAnsi="仿宋_GB2312" w:eastAsia="仿宋_GB2312" w:cs="仿宋_GB2312"/>
                <w:color w:val="auto"/>
                <w:sz w:val="30"/>
                <w:szCs w:val="30"/>
                <w:lang w:val="en-US" w:eastAsia="zh-CN"/>
              </w:rPr>
              <w:t>轨姿规划方法与结果</w:t>
            </w:r>
            <w:r>
              <w:rPr>
                <w:rFonts w:hint="eastAsia" w:ascii="仿宋_GB2312" w:hAnsi="仿宋_GB2312" w:eastAsia="仿宋_GB2312" w:cs="仿宋_GB2312"/>
                <w:color w:val="auto"/>
                <w:sz w:val="30"/>
                <w:szCs w:val="30"/>
              </w:rPr>
              <w:t>（源代码/工程文件）</w:t>
            </w:r>
          </w:p>
        </w:tc>
        <w:tc>
          <w:tcPr>
            <w:tcW w:w="3362" w:type="dxa"/>
            <w:noWrap w:val="0"/>
            <w:vAlign w:val="center"/>
          </w:tcPr>
          <w:p w14:paraId="54E50DA1">
            <w:pPr>
              <w:spacing w:after="0" w:line="240" w:lineRule="auto"/>
              <w:jc w:val="center"/>
              <w:rPr>
                <w:rFonts w:hint="default" w:ascii="仿宋_GB2312" w:hAnsi="仿宋_GB2312" w:eastAsia="仿宋_GB2312" w:cs="仿宋_GB2312"/>
                <w:color w:val="FF0000"/>
                <w:sz w:val="30"/>
                <w:szCs w:val="30"/>
                <w:lang w:val="en-US" w:eastAsia="zh-CN"/>
              </w:rPr>
            </w:pPr>
            <w:r>
              <w:rPr>
                <w:rFonts w:hint="eastAsia" w:ascii="仿宋_GB2312" w:hAnsi="仿宋_GB2312" w:eastAsia="仿宋_GB2312" w:cs="仿宋_GB2312"/>
                <w:color w:val="auto"/>
                <w:sz w:val="30"/>
                <w:szCs w:val="30"/>
              </w:rPr>
              <w:t>现场查验</w:t>
            </w:r>
            <w:r>
              <w:rPr>
                <w:rFonts w:hint="eastAsia" w:ascii="仿宋_GB2312" w:hAnsi="仿宋_GB2312" w:eastAsia="仿宋_GB2312" w:cs="仿宋_GB2312"/>
                <w:color w:val="auto"/>
                <w:sz w:val="30"/>
                <w:szCs w:val="30"/>
                <w:lang w:val="en-US" w:eastAsia="zh-CN"/>
              </w:rPr>
              <w:t>轨迹规划算法与生产结果</w:t>
            </w:r>
          </w:p>
        </w:tc>
        <w:tc>
          <w:tcPr>
            <w:tcW w:w="3379" w:type="dxa"/>
            <w:noWrap w:val="0"/>
            <w:vAlign w:val="center"/>
          </w:tcPr>
          <w:p w14:paraId="276231B2">
            <w:pPr>
              <w:spacing w:after="0" w:line="240" w:lineRule="auto"/>
              <w:jc w:val="center"/>
              <w:rPr>
                <w:rFonts w:hint="eastAsia" w:ascii="仿宋_GB2312" w:hAnsi="仿宋_GB2312" w:eastAsia="仿宋_GB2312" w:cs="仿宋_GB2312"/>
                <w:color w:val="auto"/>
                <w:sz w:val="30"/>
                <w:szCs w:val="30"/>
                <w:lang w:val="en-US" w:eastAsia="zh-CN"/>
              </w:rPr>
            </w:pPr>
            <w:r>
              <w:rPr>
                <w:rFonts w:hint="eastAsia" w:ascii="仿宋_GB2312" w:hAnsi="仿宋_GB2312" w:eastAsia="仿宋_GB2312" w:cs="仿宋_GB2312"/>
                <w:color w:val="auto"/>
                <w:sz w:val="30"/>
                <w:szCs w:val="30"/>
                <w:lang w:val="en-US" w:eastAsia="zh-CN"/>
              </w:rPr>
              <w:t>检查通过，运行稳定</w:t>
            </w:r>
          </w:p>
        </w:tc>
      </w:tr>
      <w:tr w14:paraId="22DF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noWrap w:val="0"/>
            <w:vAlign w:val="center"/>
          </w:tcPr>
          <w:p w14:paraId="09E44E29">
            <w:pPr>
              <w:spacing w:after="0" w:line="240" w:lineRule="auto"/>
              <w:jc w:val="center"/>
              <w:rPr>
                <w:rFonts w:hint="eastAsia" w:ascii="仿宋_GB2312" w:hAnsi="仿宋_GB2312" w:eastAsia="仿宋_GB2312" w:cs="仿宋_GB2312"/>
                <w:color w:val="FF0000"/>
                <w:sz w:val="30"/>
                <w:szCs w:val="30"/>
                <w:lang w:val="en-US" w:eastAsia="zh-CN"/>
              </w:rPr>
            </w:pPr>
            <w:r>
              <w:rPr>
                <w:rFonts w:hint="eastAsia" w:ascii="仿宋_GB2312" w:hAnsi="仿宋_GB2312" w:eastAsia="仿宋_GB2312" w:cs="仿宋_GB2312"/>
                <w:color w:val="auto"/>
                <w:sz w:val="30"/>
                <w:szCs w:val="30"/>
                <w:lang w:val="en-US" w:eastAsia="zh-CN"/>
              </w:rPr>
              <w:t>无人机轨迹生成验证报告</w:t>
            </w:r>
          </w:p>
        </w:tc>
        <w:tc>
          <w:tcPr>
            <w:tcW w:w="3362" w:type="dxa"/>
            <w:noWrap w:val="0"/>
            <w:vAlign w:val="center"/>
          </w:tcPr>
          <w:p w14:paraId="22E57565">
            <w:pPr>
              <w:spacing w:after="0" w:line="240" w:lineRule="auto"/>
              <w:jc w:val="center"/>
              <w:rPr>
                <w:rFonts w:hint="default" w:ascii="仿宋_GB2312" w:hAnsi="仿宋_GB2312" w:eastAsia="仿宋_GB2312" w:cs="仿宋_GB2312"/>
                <w:color w:val="FF0000"/>
                <w:sz w:val="30"/>
                <w:szCs w:val="30"/>
                <w:lang w:val="en-US" w:eastAsia="zh-CN"/>
              </w:rPr>
            </w:pPr>
            <w:r>
              <w:rPr>
                <w:rFonts w:hint="eastAsia" w:ascii="仿宋_GB2312" w:hAnsi="仿宋_GB2312" w:eastAsia="仿宋_GB2312" w:cs="仿宋_GB2312"/>
                <w:color w:val="auto"/>
                <w:sz w:val="30"/>
                <w:szCs w:val="30"/>
              </w:rPr>
              <w:t>现场查验文档完整性</w:t>
            </w:r>
          </w:p>
        </w:tc>
        <w:tc>
          <w:tcPr>
            <w:tcW w:w="3379" w:type="dxa"/>
            <w:noWrap w:val="0"/>
            <w:vAlign w:val="center"/>
          </w:tcPr>
          <w:p w14:paraId="74D69D3C">
            <w:pPr>
              <w:spacing w:after="0" w:line="240" w:lineRule="auto"/>
              <w:jc w:val="center"/>
              <w:rPr>
                <w:rFonts w:hint="eastAsia" w:ascii="仿宋_GB2312" w:hAnsi="仿宋_GB2312" w:eastAsia="仿宋_GB2312" w:cs="仿宋_GB2312"/>
                <w:color w:val="auto"/>
                <w:sz w:val="30"/>
                <w:szCs w:val="30"/>
                <w:lang w:val="en-US" w:eastAsia="zh-CN"/>
              </w:rPr>
            </w:pPr>
            <w:r>
              <w:rPr>
                <w:rFonts w:hint="eastAsia" w:ascii="仿宋_GB2312" w:hAnsi="仿宋_GB2312" w:eastAsia="仿宋_GB2312" w:cs="仿宋_GB2312"/>
                <w:color w:val="auto"/>
                <w:sz w:val="30"/>
                <w:szCs w:val="30"/>
                <w:lang w:val="en-US" w:eastAsia="zh-CN"/>
              </w:rPr>
              <w:t>检查通过，文档规范</w:t>
            </w:r>
          </w:p>
        </w:tc>
      </w:tr>
    </w:tbl>
    <w:p w14:paraId="6AF52A4B">
      <w:pPr>
        <w:ind w:firstLine="3000" w:firstLineChars="1000"/>
        <w:rPr>
          <w:rFonts w:hint="eastAsia"/>
          <w:sz w:val="30"/>
          <w:szCs w:val="30"/>
        </w:rPr>
      </w:pPr>
      <w:bookmarkStart w:id="9" w:name="_Toc28383"/>
      <w:r>
        <w:rPr>
          <w:rFonts w:hint="eastAsia"/>
          <w:sz w:val="30"/>
          <w:szCs w:val="30"/>
        </w:rPr>
        <w:t>测试人员签字：</w:t>
      </w:r>
      <w:r>
        <w:rPr>
          <w:rFonts w:hint="eastAsia"/>
          <w:sz w:val="30"/>
          <w:szCs w:val="30"/>
          <w:lang w:val="en-US" w:eastAsia="zh-CN"/>
        </w:rPr>
        <w:t xml:space="preserve">                </w:t>
      </w:r>
      <w:r>
        <w:rPr>
          <w:rFonts w:hint="eastAsia"/>
          <w:sz w:val="30"/>
          <w:szCs w:val="30"/>
        </w:rPr>
        <w:t>日期：</w:t>
      </w:r>
    </w:p>
    <w:p w14:paraId="43812633">
      <w:pPr>
        <w:ind w:firstLine="3000" w:firstLineChars="1000"/>
        <w:rPr>
          <w:rFonts w:hint="eastAsia"/>
          <w:sz w:val="30"/>
          <w:szCs w:val="30"/>
        </w:rPr>
      </w:pPr>
    </w:p>
    <w:p w14:paraId="12A5B271">
      <w:pPr>
        <w:ind w:firstLine="3000" w:firstLineChars="1000"/>
        <w:rPr>
          <w:rFonts w:hint="eastAsia"/>
          <w:sz w:val="30"/>
          <w:szCs w:val="30"/>
        </w:rPr>
      </w:pPr>
    </w:p>
    <w:p w14:paraId="3943DA10">
      <w:pPr>
        <w:ind w:firstLine="3000" w:firstLineChars="1000"/>
        <w:rPr>
          <w:rFonts w:hint="eastAsia"/>
          <w:sz w:val="30"/>
          <w:szCs w:val="30"/>
        </w:rPr>
      </w:pPr>
    </w:p>
    <w:p w14:paraId="0EFC2E8F">
      <w:pPr>
        <w:ind w:firstLine="3000" w:firstLineChars="1000"/>
        <w:rPr>
          <w:rFonts w:hint="eastAsia"/>
          <w:sz w:val="30"/>
          <w:szCs w:val="30"/>
        </w:rPr>
      </w:pPr>
    </w:p>
    <w:p w14:paraId="5FF7E66E">
      <w:pPr>
        <w:ind w:firstLine="3000" w:firstLineChars="1000"/>
        <w:rPr>
          <w:rFonts w:hint="eastAsia"/>
          <w:sz w:val="30"/>
          <w:szCs w:val="30"/>
          <w:lang w:val="en-US" w:eastAsia="zh-CN"/>
        </w:rPr>
      </w:pPr>
    </w:p>
    <w:bookmarkEnd w:id="9"/>
    <w:p w14:paraId="3853076D">
      <w:pPr>
        <w:pStyle w:val="2"/>
        <w:numPr>
          <w:ilvl w:val="0"/>
          <w:numId w:val="1"/>
        </w:numPr>
        <w:spacing w:before="120" w:beforeLines="50" w:after="120" w:afterLines="50" w:line="240" w:lineRule="auto"/>
        <w:rPr>
          <w:rFonts w:hint="eastAsia" w:ascii="黑体" w:hAnsi="黑体" w:cs="黑体"/>
          <w:bCs w:val="0"/>
          <w:sz w:val="30"/>
          <w:szCs w:val="30"/>
          <w:lang w:val="en-US" w:eastAsia="zh-CN"/>
        </w:rPr>
      </w:pPr>
      <w:bookmarkStart w:id="10" w:name="_Toc23533"/>
      <w:bookmarkStart w:id="11" w:name="_Toc5851"/>
      <w:r>
        <w:rPr>
          <w:rFonts w:hint="eastAsia" w:ascii="黑体" w:hAnsi="黑体" w:cs="黑体"/>
          <w:bCs w:val="0"/>
          <w:sz w:val="30"/>
          <w:szCs w:val="30"/>
          <w:lang w:val="en-US" w:eastAsia="zh-CN"/>
        </w:rPr>
        <w:t>技术指标和参数测试</w:t>
      </w:r>
      <w:bookmarkEnd w:id="10"/>
      <w:bookmarkEnd w:id="11"/>
    </w:p>
    <w:p w14:paraId="16E9B98A">
      <w:pPr>
        <w:jc w:val="center"/>
        <w:rPr>
          <w:rFonts w:hint="eastAsia" w:ascii="黑体" w:hAnsi="黑体" w:cs="黑体"/>
          <w:b/>
          <w:bCs/>
          <w:sz w:val="30"/>
          <w:szCs w:val="30"/>
        </w:rPr>
      </w:pPr>
      <w:r>
        <w:rPr>
          <w:rFonts w:hint="eastAsia" w:ascii="黑体" w:hAnsi="黑体" w:cs="黑体"/>
          <w:b/>
          <w:bCs/>
          <w:sz w:val="30"/>
          <w:szCs w:val="30"/>
        </w:rPr>
        <w:t>表</w:t>
      </w:r>
      <w:r>
        <w:rPr>
          <w:rFonts w:hint="eastAsia" w:ascii="黑体" w:hAnsi="黑体" w:cs="黑体"/>
          <w:b/>
          <w:bCs/>
          <w:sz w:val="30"/>
          <w:szCs w:val="30"/>
          <w:lang w:val="en-US" w:eastAsia="zh-CN"/>
        </w:rPr>
        <w:t>4</w:t>
      </w:r>
      <w:r>
        <w:rPr>
          <w:rFonts w:hint="eastAsia" w:ascii="黑体" w:hAnsi="黑体" w:cs="黑体"/>
          <w:b/>
          <w:bCs/>
          <w:sz w:val="30"/>
          <w:szCs w:val="30"/>
        </w:rPr>
        <w:t xml:space="preserve"> 合同要求指标分解汇总表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1791"/>
        <w:gridCol w:w="3397"/>
        <w:gridCol w:w="1686"/>
      </w:tblGrid>
      <w:tr w14:paraId="0A5D5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648" w:type="dxa"/>
            <w:noWrap w:val="0"/>
            <w:vAlign w:val="center"/>
          </w:tcPr>
          <w:p w14:paraId="3A70BD3B">
            <w:pPr>
              <w:spacing w:after="0" w:line="240" w:lineRule="auto"/>
              <w:jc w:val="center"/>
              <w:rPr>
                <w:rFonts w:hint="eastAsia" w:ascii="黑体" w:hAnsi="黑体" w:cs="黑体"/>
                <w:b/>
                <w:bCs/>
                <w:sz w:val="28"/>
                <w:szCs w:val="28"/>
              </w:rPr>
            </w:pPr>
            <w:r>
              <w:rPr>
                <w:rFonts w:hint="eastAsia" w:ascii="黑体" w:hAnsi="黑体" w:cs="黑体"/>
                <w:b/>
                <w:bCs/>
                <w:sz w:val="28"/>
                <w:szCs w:val="28"/>
              </w:rPr>
              <w:t>合同中的指标原文</w:t>
            </w:r>
          </w:p>
        </w:tc>
        <w:tc>
          <w:tcPr>
            <w:tcW w:w="1791" w:type="dxa"/>
            <w:noWrap w:val="0"/>
            <w:vAlign w:val="center"/>
          </w:tcPr>
          <w:p w14:paraId="36446E9D">
            <w:pPr>
              <w:spacing w:after="0" w:line="240" w:lineRule="auto"/>
              <w:jc w:val="center"/>
              <w:rPr>
                <w:rFonts w:ascii="黑体" w:hAnsi="黑体" w:cs="黑体"/>
                <w:b/>
                <w:bCs/>
                <w:sz w:val="28"/>
                <w:szCs w:val="28"/>
              </w:rPr>
            </w:pPr>
            <w:r>
              <w:rPr>
                <w:rFonts w:hint="eastAsia" w:ascii="黑体" w:hAnsi="黑体" w:cs="黑体"/>
                <w:b/>
                <w:bCs/>
                <w:sz w:val="28"/>
                <w:szCs w:val="28"/>
              </w:rPr>
              <w:t>指标拆分</w:t>
            </w:r>
          </w:p>
        </w:tc>
        <w:tc>
          <w:tcPr>
            <w:tcW w:w="3397" w:type="dxa"/>
            <w:noWrap w:val="0"/>
            <w:vAlign w:val="center"/>
          </w:tcPr>
          <w:p w14:paraId="368E9BA0">
            <w:pPr>
              <w:spacing w:after="0" w:line="240" w:lineRule="auto"/>
              <w:jc w:val="center"/>
              <w:rPr>
                <w:rFonts w:hint="eastAsia" w:ascii="黑体" w:hAnsi="黑体" w:cs="黑体"/>
                <w:b/>
                <w:bCs/>
                <w:sz w:val="28"/>
                <w:szCs w:val="28"/>
              </w:rPr>
            </w:pPr>
            <w:r>
              <w:rPr>
                <w:rFonts w:hint="eastAsia" w:ascii="黑体" w:hAnsi="黑体" w:cs="黑体"/>
                <w:b/>
                <w:bCs/>
                <w:sz w:val="28"/>
                <w:szCs w:val="28"/>
              </w:rPr>
              <w:t>合同要求</w:t>
            </w:r>
          </w:p>
        </w:tc>
        <w:tc>
          <w:tcPr>
            <w:tcW w:w="1686" w:type="dxa"/>
            <w:noWrap w:val="0"/>
            <w:vAlign w:val="center"/>
          </w:tcPr>
          <w:p w14:paraId="14447858">
            <w:pPr>
              <w:spacing w:after="0" w:line="240" w:lineRule="auto"/>
              <w:jc w:val="center"/>
              <w:rPr>
                <w:rFonts w:hint="eastAsia" w:ascii="黑体" w:hAnsi="黑体" w:cs="黑体"/>
                <w:b/>
                <w:bCs/>
                <w:sz w:val="28"/>
                <w:szCs w:val="28"/>
              </w:rPr>
            </w:pPr>
            <w:r>
              <w:rPr>
                <w:rFonts w:hint="eastAsia" w:ascii="黑体" w:hAnsi="黑体" w:cs="黑体"/>
                <w:b/>
                <w:bCs/>
                <w:sz w:val="28"/>
                <w:szCs w:val="28"/>
              </w:rPr>
              <w:t>测试内容</w:t>
            </w:r>
          </w:p>
          <w:p w14:paraId="55CE12BB">
            <w:pPr>
              <w:spacing w:after="0" w:line="240" w:lineRule="auto"/>
              <w:jc w:val="center"/>
              <w:rPr>
                <w:rFonts w:hint="eastAsia" w:ascii="黑体" w:hAnsi="黑体" w:eastAsia="仿宋" w:cs="黑体"/>
                <w:b/>
                <w:bCs/>
                <w:sz w:val="28"/>
                <w:szCs w:val="28"/>
                <w:lang w:val="en-US" w:eastAsia="zh-CN"/>
              </w:rPr>
            </w:pPr>
            <w:r>
              <w:rPr>
                <w:rFonts w:hint="eastAsia" w:ascii="黑体" w:hAnsi="黑体" w:cs="黑体"/>
                <w:b/>
                <w:bCs/>
                <w:sz w:val="28"/>
                <w:szCs w:val="28"/>
                <w:lang w:val="en-US" w:eastAsia="zh-CN"/>
              </w:rPr>
              <w:t>章节</w:t>
            </w:r>
          </w:p>
        </w:tc>
      </w:tr>
      <w:tr w14:paraId="1346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trPr>
        <w:tc>
          <w:tcPr>
            <w:tcW w:w="1648" w:type="dxa"/>
            <w:noWrap w:val="0"/>
            <w:vAlign w:val="center"/>
          </w:tcPr>
          <w:p w14:paraId="63F4AB4A">
            <w:pPr>
              <w:spacing w:after="0" w:line="240" w:lineRule="auto"/>
              <w:jc w:val="center"/>
              <w:rPr>
                <w:rFonts w:hint="eastAsia" w:ascii="仿宋_GB2312" w:hAnsi="仿宋_GB2312" w:eastAsia="仿宋_GB2312" w:cs="仿宋_GB2312"/>
                <w:color w:val="FF0000"/>
                <w:sz w:val="30"/>
                <w:szCs w:val="30"/>
              </w:rPr>
            </w:pPr>
            <w:r>
              <w:rPr>
                <w:rFonts w:hint="eastAsia" w:ascii="仿宋_GB2312" w:hAnsi="宋体" w:eastAsia="仿宋_GB2312" w:cs="宋体"/>
                <w:color w:val="000000"/>
                <w:kern w:val="0"/>
                <w:sz w:val="30"/>
                <w:szCs w:val="30"/>
                <w:lang w:val="en-US" w:eastAsia="zh-CN"/>
              </w:rPr>
              <w:t>1.轨迹-姿态规划结果有效对应的无人机高机动飞行动作不少于1种</w:t>
            </w:r>
          </w:p>
        </w:tc>
        <w:tc>
          <w:tcPr>
            <w:tcW w:w="1791" w:type="dxa"/>
            <w:noWrap w:val="0"/>
            <w:vAlign w:val="center"/>
          </w:tcPr>
          <w:p w14:paraId="239E75D1">
            <w:pPr>
              <w:spacing w:after="0" w:line="240" w:lineRule="auto"/>
              <w:jc w:val="center"/>
              <w:rPr>
                <w:rFonts w:hint="eastAsia" w:ascii="仿宋_GB2312" w:hAnsi="仿宋_GB2312" w:eastAsia="仿宋_GB2312" w:cs="仿宋_GB2312"/>
                <w:color w:val="FF0000"/>
                <w:sz w:val="30"/>
                <w:szCs w:val="30"/>
              </w:rPr>
            </w:pPr>
            <w:r>
              <w:rPr>
                <w:rFonts w:hint="eastAsia" w:ascii="仿宋_GB2312" w:hAnsi="宋体" w:eastAsia="仿宋_GB2312" w:cs="宋体"/>
                <w:color w:val="000000"/>
                <w:kern w:val="0"/>
                <w:sz w:val="30"/>
                <w:szCs w:val="30"/>
              </w:rPr>
              <w:t>模型精度指标</w:t>
            </w:r>
          </w:p>
        </w:tc>
        <w:tc>
          <w:tcPr>
            <w:tcW w:w="3397" w:type="dxa"/>
            <w:noWrap w:val="0"/>
            <w:vAlign w:val="center"/>
          </w:tcPr>
          <w:p w14:paraId="3A791EEA">
            <w:pPr>
              <w:spacing w:after="0" w:line="240" w:lineRule="auto"/>
              <w:jc w:val="center"/>
              <w:rPr>
                <w:rFonts w:hint="default" w:ascii="仿宋_GB2312" w:hAnsi="仿宋_GB2312" w:eastAsia="仿宋_GB2312" w:cs="仿宋_GB2312"/>
                <w:color w:val="FF0000"/>
                <w:sz w:val="30"/>
                <w:szCs w:val="30"/>
                <w:lang w:val="en-US" w:eastAsia="zh-CN"/>
              </w:rPr>
            </w:pPr>
            <w:r>
              <w:rPr>
                <w:rFonts w:hint="eastAsia" w:ascii="仿宋_GB2312" w:hAnsi="宋体" w:eastAsia="仿宋_GB2312" w:cs="宋体"/>
                <w:color w:val="000000"/>
                <w:kern w:val="0"/>
                <w:sz w:val="30"/>
                <w:szCs w:val="30"/>
              </w:rPr>
              <w:t>建立</w:t>
            </w:r>
            <w:r>
              <w:rPr>
                <w:rFonts w:hint="eastAsia" w:ascii="仿宋_GB2312" w:hAnsi="宋体" w:eastAsia="仿宋_GB2312" w:cs="宋体"/>
                <w:color w:val="000000"/>
                <w:kern w:val="0"/>
                <w:sz w:val="30"/>
                <w:szCs w:val="30"/>
                <w:lang w:val="en-US" w:eastAsia="zh-CN"/>
              </w:rPr>
              <w:t>不少于1种轨姿一体化的高机动飞行动作</w:t>
            </w:r>
          </w:p>
        </w:tc>
        <w:tc>
          <w:tcPr>
            <w:tcW w:w="1686" w:type="dxa"/>
            <w:noWrap w:val="0"/>
            <w:vAlign w:val="center"/>
          </w:tcPr>
          <w:p w14:paraId="6FE43C6A">
            <w:pPr>
              <w:spacing w:after="0" w:line="240" w:lineRule="auto"/>
              <w:jc w:val="center"/>
              <w:rPr>
                <w:rFonts w:hint="eastAsia" w:ascii="Cambria" w:hAnsi="仿宋_GB2312" w:eastAsia="仿宋_GB2312" w:cs="仿宋_GB2312"/>
                <w:color w:val="FF0000"/>
                <w:sz w:val="30"/>
                <w:szCs w:val="30"/>
                <w:lang w:val="en-US" w:eastAsia="zh-CN"/>
              </w:rPr>
            </w:pPr>
            <w:r>
              <w:rPr>
                <w:rFonts w:hint="eastAsia" w:ascii="Cambria" w:hAnsi="仿宋_GB2312" w:eastAsia="仿宋_GB2312" w:cs="仿宋_GB2312"/>
                <w:color w:val="auto"/>
                <w:sz w:val="30"/>
                <w:szCs w:val="30"/>
                <w:lang w:val="en-US" w:eastAsia="zh-CN"/>
              </w:rPr>
              <w:t>6</w:t>
            </w:r>
          </w:p>
        </w:tc>
      </w:tr>
    </w:tbl>
    <w:p w14:paraId="52CBCC13"/>
    <w:p w14:paraId="5D677F26">
      <w:pPr>
        <w:pStyle w:val="2"/>
        <w:bidi w:val="0"/>
        <w:rPr>
          <w:rFonts w:hint="eastAsia"/>
          <w:lang w:val="en-US" w:eastAsia="zh-CN"/>
        </w:rPr>
      </w:pPr>
      <w:bookmarkStart w:id="12" w:name="_Toc18930"/>
      <w:r>
        <w:rPr>
          <w:rFonts w:hint="eastAsia"/>
          <w:lang w:val="en-US" w:eastAsia="zh-CN"/>
        </w:rPr>
        <w:t>6  测试内容1：基于传统方法轨迹生成有效性验证测试</w:t>
      </w:r>
      <w:bookmarkEnd w:id="12"/>
    </w:p>
    <w:p w14:paraId="4ACF4EEE">
      <w:pPr>
        <w:pStyle w:val="3"/>
        <w:bidi w:val="0"/>
        <w:rPr>
          <w:rFonts w:hint="default"/>
          <w:lang w:val="en-US" w:eastAsia="zh-CN"/>
        </w:rPr>
      </w:pPr>
      <w:r>
        <w:rPr>
          <w:rFonts w:hint="eastAsia"/>
          <w:lang w:val="en-US" w:eastAsia="zh-CN"/>
        </w:rPr>
        <w:t>6.1测试原理概述</w:t>
      </w:r>
    </w:p>
    <w:p w14:paraId="53614335">
      <w:pPr>
        <w:pStyle w:val="4"/>
        <w:bidi w:val="0"/>
        <w:rPr>
          <w:rFonts w:hint="eastAsia"/>
          <w:lang w:val="en-US" w:eastAsia="zh-CN"/>
        </w:rPr>
      </w:pPr>
      <w:bookmarkStart w:id="13" w:name="_Toc3333"/>
      <w:r>
        <w:rPr>
          <w:rFonts w:hint="eastAsia"/>
          <w:lang w:val="en-US" w:eastAsia="zh-CN"/>
        </w:rPr>
        <w:t xml:space="preserve">6.1.1 </w:t>
      </w:r>
      <w:bookmarkEnd w:id="13"/>
      <w:r>
        <w:rPr>
          <w:rFonts w:hint="eastAsia"/>
          <w:lang w:val="en-US" w:eastAsia="zh-CN"/>
        </w:rPr>
        <w:t>研究对象与方法定位</w:t>
      </w:r>
    </w:p>
    <w:p w14:paraId="68EBF69E">
      <w:pPr>
        <w:bidi w:val="0"/>
        <w:ind w:firstLine="600" w:firstLineChars="200"/>
      </w:pPr>
      <w:r>
        <w:t>本部分面向微小型固定翼无人机高机动轨迹—姿态生成任务，选取360度筋斗与殷麦曼机动作为测试动作，对两类传统方法进行统一实现和对比。第一类方法采用分段五次多项式轨迹直接构造动作；第二类方法采用三次B样条描述曲率半径，并通过非线性约束优化确定控制节点。两种方法均输出时间、位置、速度、加速度、航迹转角、滚转指令及动力学需求量，供后续跟踪控制设计使用。</w:t>
      </w:r>
    </w:p>
    <w:p w14:paraId="0922CC72">
      <w:pPr>
        <w:ind w:firstLine="420" w:firstLineChars="0"/>
        <w:jc w:val="center"/>
      </w:pPr>
      <w:r>
        <w:drawing>
          <wp:inline distT="0" distB="0" distL="114300" distR="114300">
            <wp:extent cx="5448300" cy="2416175"/>
            <wp:effectExtent l="0" t="0" r="0" b="3175"/>
            <wp:docPr id="1" name="Picture 1" descr="图6-1 双传统方法统一测试框架" title="图6-1 双传统方法统一测试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6-1 双传统方法统一测试框架" title="图6-1 双传统方法统一测试框架"/>
                    <pic:cNvPicPr>
                      <a:picLocks noChangeAspect="1"/>
                    </pic:cNvPicPr>
                  </pic:nvPicPr>
                  <pic:blipFill>
                    <a:blip r:embed="rId7"/>
                    <a:stretch>
                      <a:fillRect/>
                    </a:stretch>
                  </pic:blipFill>
                  <pic:spPr>
                    <a:xfrm>
                      <a:off x="0" y="0"/>
                      <a:ext cx="5448300" cy="2416175"/>
                    </a:xfrm>
                    <a:prstGeom prst="rect">
                      <a:avLst/>
                    </a:prstGeom>
                  </pic:spPr>
                </pic:pic>
              </a:graphicData>
            </a:graphic>
          </wp:inline>
        </w:drawing>
      </w:r>
    </w:p>
    <w:p w14:paraId="00A2C1CF">
      <w:pPr>
        <w:pStyle w:val="5"/>
        <w:bidi w:val="0"/>
        <w:jc w:val="center"/>
        <w:rPr>
          <w:rFonts w:hint="default"/>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t>双传统方法统一测试框架</w:t>
      </w:r>
    </w:p>
    <w:p w14:paraId="0FB74FFD">
      <w:pPr>
        <w:pStyle w:val="4"/>
        <w:bidi w:val="0"/>
      </w:pPr>
      <w:r>
        <w:t>6.</w:t>
      </w:r>
      <w:r>
        <w:rPr>
          <w:rFonts w:hint="eastAsia"/>
          <w:lang w:val="en-US" w:eastAsia="zh-CN"/>
        </w:rPr>
        <w:t>1.2</w:t>
      </w:r>
      <w:r>
        <w:t xml:space="preserve"> 测试对象与动作定义</w:t>
      </w:r>
    </w:p>
    <w:p w14:paraId="1044D9FB">
      <w:pPr>
        <w:bidi w:val="0"/>
        <w:ind w:firstLine="600" w:firstLineChars="200"/>
      </w:pPr>
      <w:r>
        <w:t>筋斗和殷麦曼机动均在由初始前向轴x与竖直向上轴z构成的平面内生成。360度筋斗要求无人机从水平飞行状态进入纵向闭合回路，累计航迹转角达到360°，最终位置和速度方向回到起始边界。殷麦曼机动由前半个筋斗与顶部半滚转组成：质心轨迹在纵向平面内完成180°转向并升高64 m，速度方向与初始方向相反；同时在航迹转角120°～180°阶段完成0°到180°平滑滚转。测试时把这两部分作为同一个轨迹—姿态动作评价，而不是把殷麦曼简化成单独的半筋斗轨迹。</w:t>
      </w:r>
    </w:p>
    <w:p w14:paraId="0286D456">
      <w:pPr>
        <w:bidi w:val="0"/>
        <w:ind w:firstLine="600" w:firstLineChars="200"/>
      </w:pPr>
      <w:r>
        <w:drawing>
          <wp:inline distT="0" distB="0" distL="114300" distR="114300">
            <wp:extent cx="5608320" cy="2532380"/>
            <wp:effectExtent l="0" t="0" r="11430" b="1270"/>
            <wp:docPr id="2" name="Picture 2" descr="图6-2 筋斗与殷麦曼动作定义" title="图6-2 筋斗与殷麦曼动作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6-2 筋斗与殷麦曼动作定义" title="图6-2 筋斗与殷麦曼动作定义"/>
                    <pic:cNvPicPr>
                      <a:picLocks noChangeAspect="1"/>
                    </pic:cNvPicPr>
                  </pic:nvPicPr>
                  <pic:blipFill>
                    <a:blip r:embed="rId8"/>
                    <a:stretch>
                      <a:fillRect/>
                    </a:stretch>
                  </pic:blipFill>
                  <pic:spPr>
                    <a:xfrm>
                      <a:off x="0" y="0"/>
                      <a:ext cx="5608320" cy="2532380"/>
                    </a:xfrm>
                    <a:prstGeom prst="rect">
                      <a:avLst/>
                    </a:prstGeom>
                  </pic:spPr>
                </pic:pic>
              </a:graphicData>
            </a:graphic>
          </wp:inline>
        </w:drawing>
      </w:r>
    </w:p>
    <w:p w14:paraId="7E059C6B">
      <w:pPr>
        <w:pStyle w:val="5"/>
        <w:bidi w:val="0"/>
        <w:jc w:val="cente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w:t>
      </w:r>
      <w:r>
        <w:rPr>
          <w:rFonts w:ascii="Times New Roman" w:hAnsi="Times New Roman" w:eastAsia="宋体"/>
          <w:sz w:val="18"/>
        </w:rPr>
        <w:t>筋斗与殷麦曼动作定义</w:t>
      </w:r>
    </w:p>
    <w:p w14:paraId="1CB76FE5">
      <w:pPr>
        <w:bidi w:val="0"/>
        <w:ind w:firstLine="600" w:firstLineChars="200"/>
      </w:pPr>
      <w:r>
        <w:t>图中箭头表示轨迹切向速度方向。完整筋斗的起点与终点重合，因此起终点标记在底部叠加；殷麦曼的起点位于下方，终点位于上方且速度方向反向。该定义同时给出了后续几何误差计算所需的目标位置和目标姿态边界。选择这两种动作具有递进关系：殷麦曼机动能够检查大俯仰、高度快速变化、反向高位退出及顶部滚转耦合；完整筋斗在此基础上进一步检查轨迹闭合、整周姿态连续和上下半程载荷变化。两者共享同一纵向几何尺度和速度规律，便于分析动作长度加倍后对方法性能的影响。</w:t>
      </w:r>
    </w:p>
    <w:p w14:paraId="00C9BF97">
      <w:pPr>
        <w:pStyle w:val="4"/>
        <w:bidi w:val="0"/>
      </w:pPr>
      <w:r>
        <w:t>6.</w:t>
      </w:r>
      <w:r>
        <w:rPr>
          <w:rFonts w:hint="eastAsia"/>
          <w:lang w:val="en-US" w:eastAsia="zh-CN"/>
        </w:rPr>
        <w:t>1.</w:t>
      </w:r>
      <w:r>
        <w:t>3 坐标、状态与轨姿输出定义</w:t>
      </w:r>
    </w:p>
    <w:p w14:paraId="19C9964B">
      <w:pPr>
        <w:bidi w:val="0"/>
        <w:ind w:firstLine="600" w:firstLineChars="200"/>
      </w:pPr>
      <w:r>
        <w:t>本测试采用局部右手直角坐标系。x轴沿动作开始时的飞行方向，z轴竖直向上，y轴垂直于筋斗平面。由于两种动作的几何主运动发生在x-z平面，理想轨迹的y坐标保持不变；但姿态并不等同于平面位置，殷麦曼机动顶部滚转时机翼方向会绕速度切向旋转，因此仍需独立给出滚转角和机体系角速度。</w:t>
      </w:r>
    </w:p>
    <w:p w14:paraId="18D0B41D">
      <w:pPr>
        <w:bidi w:val="0"/>
        <w:ind w:firstLine="600" w:firstLineChars="200"/>
      </w:pPr>
      <w:r>
        <w:t>轨迹位置由r(t)=[x(t),y(t),z(t)]给出，速度由位置对时间的一阶导数得到，加速度和jerk分别对应二阶、三阶时间导数。航迹转角θ用于描述速度方向在竖直平面内的累计旋转：θ=0°表示水平前飞，θ=90°表示竖直上升，θ=180°表示水平反向飞行，θ=270°表示竖直下降，θ=360°重新回到初始方向。这种不折返的累计角定义能够避免普通俯仰角在±180°处跳变，便于评价完整筋斗。</w:t>
      </w:r>
    </w:p>
    <w:p w14:paraId="514A20B7">
      <w:pPr>
        <w:bidi w:val="0"/>
        <w:ind w:firstLine="600" w:firstLineChars="200"/>
        <w:rPr>
          <w:rFonts w:hint="eastAsia" w:eastAsia="仿宋"/>
          <w:lang w:eastAsia="zh-CN"/>
        </w:rPr>
      </w:pPr>
      <w:r>
        <w:t>姿态输出采用“航迹方向+滚转指令”的任务级表达。机体纵轴与参考速度方向对齐，机翼法向首先与轨迹主法向一致，再按滚转指令绕速度方向旋转。完整筋斗滚转角保持0°；殷麦曼机动在顶部完成180°滚转后，机翼姿态与反向水平飞行状态相匹配。该表达足以为后续位置—姿态分层控制器提供参考</w:t>
      </w:r>
      <w:r>
        <w:rPr>
          <w:rFonts w:hint="eastAsia"/>
          <w:lang w:eastAsia="zh-CN"/>
        </w:rPr>
        <w:t>。</w:t>
      </w:r>
    </w:p>
    <w:p w14:paraId="6C1195AF">
      <w:pPr>
        <w:pStyle w:val="4"/>
        <w:bidi w:val="0"/>
      </w:pPr>
      <w:r>
        <w:t>6.</w:t>
      </w:r>
      <w:r>
        <w:rPr>
          <w:rFonts w:hint="eastAsia"/>
          <w:lang w:val="en-US" w:eastAsia="zh-CN"/>
        </w:rPr>
        <w:t>1.4</w:t>
      </w:r>
      <w:r>
        <w:t xml:space="preserve"> 方法一：分段五次多项式轨迹</w:t>
      </w:r>
    </w:p>
    <w:p w14:paraId="1E7B0109">
      <w:pPr>
        <w:bidi w:val="0"/>
        <w:ind w:firstLine="600" w:firstLineChars="200"/>
        <w:rPr>
          <w:rFonts w:hint="eastAsia"/>
          <w:lang w:eastAsia="zh-CN"/>
        </w:rPr>
      </w:pPr>
      <w:r>
        <w:rPr>
          <w:rFonts w:hint="eastAsia"/>
          <w:lang w:eastAsia="zh-CN"/>
        </w:rPr>
        <w:t>方法一采用分段五次多项式直接描述机动平面内的位置。对第i段定义归一化参数u∈[0,1]，前向位置</w:t>
      </w:r>
      <w:r>
        <w:rPr>
          <w:rFonts w:hint="eastAsia"/>
          <w:lang w:val="en-US" w:eastAsia="zh-CN"/>
        </w:rPr>
        <w:t>X</w:t>
      </w:r>
      <w:r>
        <w:rPr>
          <w:rFonts w:hint="eastAsia"/>
          <w:lang w:eastAsia="zh-CN"/>
        </w:rPr>
        <w:t>i(u)和高度</w:t>
      </w:r>
      <w:r>
        <w:rPr>
          <w:rFonts w:hint="eastAsia"/>
          <w:lang w:val="en-US" w:eastAsia="zh-CN"/>
        </w:rPr>
        <w:t>Z</w:t>
      </w:r>
      <w:r>
        <w:rPr>
          <w:rFonts w:hint="eastAsia"/>
          <w:lang w:eastAsia="zh-CN"/>
        </w:rPr>
        <w:t>i(u)均写成五次多项式，因此每个坐标各有6个待定系数。360度筋斗按60°航迹转角划分为6段，殷麦曼的半筋斗阶段划分为3段。这样的分段数量既能布置底部、侧部、顶部等关键边界，又不会因航点过密而引入不必要的局部振荡。</w:t>
      </w:r>
    </w:p>
    <w:p w14:paraId="385AA7CF">
      <w:pPr>
        <w:bidi w:val="0"/>
        <w:ind w:firstLine="600" w:firstLineChars="200"/>
        <w:rPr>
          <w:rFonts w:hint="eastAsia"/>
          <w:lang w:eastAsia="zh-CN"/>
        </w:rPr>
      </w:pPr>
      <w:r>
        <w:drawing>
          <wp:inline distT="0" distB="0" distL="114300" distR="114300">
            <wp:extent cx="5257800" cy="483235"/>
            <wp:effectExtent l="0" t="0" r="0" b="12065"/>
            <wp:docPr id="3" name="Picture 3" descr="分段五次多项式轨迹方程" title="分段五次多项式轨迹方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分段五次多项式轨迹方程" title="分段五次多项式轨迹方程"/>
                    <pic:cNvPicPr>
                      <a:picLocks noChangeAspect="1"/>
                    </pic:cNvPicPr>
                  </pic:nvPicPr>
                  <pic:blipFill>
                    <a:blip r:embed="rId9"/>
                    <a:stretch>
                      <a:fillRect/>
                    </a:stretch>
                  </pic:blipFill>
                  <pic:spPr>
                    <a:xfrm>
                      <a:off x="0" y="0"/>
                      <a:ext cx="5257800" cy="483373"/>
                    </a:xfrm>
                    <a:prstGeom prst="rect">
                      <a:avLst/>
                    </a:prstGeom>
                  </pic:spPr>
                </pic:pic>
              </a:graphicData>
            </a:graphic>
          </wp:inline>
        </w:drawing>
      </w:r>
    </w:p>
    <w:p w14:paraId="3156755C">
      <w:pPr>
        <w:ind w:firstLine="600" w:firstLineChars="200"/>
        <w:rPr>
          <w:rFonts w:hint="eastAsia"/>
          <w:lang w:eastAsia="zh-CN"/>
        </w:rPr>
      </w:pPr>
    </w:p>
    <w:p w14:paraId="328F1522">
      <w:pPr>
        <w:bidi w:val="0"/>
        <w:ind w:firstLine="600" w:firstLineChars="200"/>
      </w:pPr>
      <w:r>
        <w:t>每段多项式的6个系数由段首和段末的位置、一阶导数、二阶导数唯一确定。相邻两段共用同一边界位置、切向导数和二阶导数，因而整条轨迹达到C²连续。位置连续保证轨迹不间断，一阶导数连续避免速度方向突变，二阶导数连续则抑制曲率和法向加速度在分段点发生跳变。边界点按照32 m特征半径布置，并对侧部曲率进行适度调节，使轨迹满足闭合或高位反向退出条件。</w:t>
      </w:r>
    </w:p>
    <w:p w14:paraId="69205B95">
      <w:pPr>
        <w:bidi w:val="0"/>
        <w:ind w:firstLine="600" w:firstLineChars="200"/>
      </w:pPr>
      <w:r>
        <w:drawing>
          <wp:inline distT="0" distB="0" distL="114300" distR="114300">
            <wp:extent cx="5257800" cy="234315"/>
            <wp:effectExtent l="0" t="0" r="0" b="13335"/>
            <wp:docPr id="10" name="Picture 4" descr="五次多项式端点与段间连续条件" title="五次多项式端点与段间连续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五次多项式端点与段间连续条件" title="五次多项式端点与段间连续条件"/>
                    <pic:cNvPicPr>
                      <a:picLocks noChangeAspect="1"/>
                    </pic:cNvPicPr>
                  </pic:nvPicPr>
                  <pic:blipFill>
                    <a:blip r:embed="rId10"/>
                    <a:stretch>
                      <a:fillRect/>
                    </a:stretch>
                  </pic:blipFill>
                  <pic:spPr>
                    <a:xfrm>
                      <a:off x="0" y="0"/>
                      <a:ext cx="5257800" cy="234387"/>
                    </a:xfrm>
                    <a:prstGeom prst="rect">
                      <a:avLst/>
                    </a:prstGeom>
                  </pic:spPr>
                </pic:pic>
              </a:graphicData>
            </a:graphic>
          </wp:inline>
        </w:drawing>
      </w:r>
    </w:p>
    <w:p w14:paraId="4EDD77AF">
      <w:pPr>
        <w:bidi w:val="0"/>
        <w:ind w:firstLine="600" w:firstLineChars="200"/>
        <w:rPr>
          <w:rFonts w:hint="eastAsia"/>
          <w:lang w:eastAsia="zh-CN"/>
        </w:rPr>
      </w:pPr>
      <w:r>
        <w:rPr>
          <w:rFonts w:hint="eastAsia"/>
          <w:lang w:eastAsia="zh-CN"/>
        </w:rPr>
        <w:t>多项式求得后，程序直接由p'(θ)计算切向方向和弧长微元，由p'(θ)、p''(θ)计算曲率κ=(x'z''-z'x'')/||p'||³。当前五次多项式筋斗和殷麦曼的最小曲率半径均为约23.87 m，最大值约40.12 m，均高于20 m几何筛查线。该方法无需迭代优化，重复运行结果确定，适合作为B样条方法和后续扩散模型的稳定传统基线。</w:t>
      </w:r>
    </w:p>
    <w:p w14:paraId="758B3D68">
      <w:pPr>
        <w:bidi w:val="0"/>
        <w:ind w:firstLine="600" w:firstLineChars="200"/>
      </w:pPr>
      <w:r>
        <w:drawing>
          <wp:inline distT="0" distB="0" distL="114300" distR="114300">
            <wp:extent cx="5523865" cy="2222500"/>
            <wp:effectExtent l="0" t="0" r="635" b="6350"/>
            <wp:docPr id="12" name="Picture 5" descr="图6-3 分段五次多项式轨迹原理" title="图6-3 分段五次多项式轨迹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图6-3 分段五次多项式轨迹原理" title="图6-3 分段五次多项式轨迹原理"/>
                    <pic:cNvPicPr>
                      <a:picLocks noChangeAspect="1"/>
                    </pic:cNvPicPr>
                  </pic:nvPicPr>
                  <pic:blipFill>
                    <a:blip r:embed="rId11"/>
                    <a:stretch>
                      <a:fillRect/>
                    </a:stretch>
                  </pic:blipFill>
                  <pic:spPr>
                    <a:xfrm>
                      <a:off x="0" y="0"/>
                      <a:ext cx="5523865" cy="2222500"/>
                    </a:xfrm>
                    <a:prstGeom prst="rect">
                      <a:avLst/>
                    </a:prstGeom>
                  </pic:spPr>
                </pic:pic>
              </a:graphicData>
            </a:graphic>
          </wp:inline>
        </w:drawing>
      </w:r>
    </w:p>
    <w:p w14:paraId="050D2B9F">
      <w:pPr>
        <w:pStyle w:val="5"/>
        <w:bidi w:val="0"/>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t>分段五次多项式轨迹原理</w:t>
      </w:r>
    </w:p>
    <w:p w14:paraId="78E7D0A2">
      <w:pPr>
        <w:pStyle w:val="4"/>
        <w:bidi w:val="0"/>
        <w:rPr>
          <w:rFonts w:hint="eastAsia"/>
          <w:lang w:val="en-US" w:eastAsia="zh-CN"/>
        </w:rPr>
      </w:pPr>
      <w:r>
        <w:t>6.</w:t>
      </w:r>
      <w:r>
        <w:rPr>
          <w:rFonts w:hint="eastAsia"/>
          <w:lang w:val="en-US" w:eastAsia="zh-CN"/>
        </w:rPr>
        <w:t>1.</w:t>
      </w:r>
      <w:r>
        <w:t xml:space="preserve">5 </w:t>
      </w:r>
      <w:r>
        <w:rPr>
          <w:rFonts w:hint="eastAsia"/>
          <w:lang w:val="en-US" w:eastAsia="zh-CN"/>
        </w:rPr>
        <w:t>方法二：B样条曲率参数化</w:t>
      </w:r>
    </w:p>
    <w:p w14:paraId="7B2AEB9A">
      <w:pPr>
        <w:bidi w:val="0"/>
        <w:ind w:firstLine="600" w:firstLineChars="200"/>
      </w:pPr>
      <w:r>
        <w:t>B样条方法仍以累计航迹转角作为轨迹推进变量，但不再预先指定固定谐波形状，而是把曲率半径表示为三次B样条基函数的线性组合。Pi为待优化节点值，Ni,3(θ)为三次B样条基函数。每个节点主要影响附近区段，因此可以在不显著扰动整条轨迹的情况下局部改变曲率分配；三次基函数同时保证半径曲线具有足够的连续导数，可避免逐段圆弧在连接处出现曲率跳变。</w:t>
      </w:r>
    </w:p>
    <w:p w14:paraId="6B5F5AB2">
      <w:pPr>
        <w:bidi w:val="0"/>
        <w:ind w:firstLine="600" w:firstLineChars="200"/>
        <w:rPr>
          <w:rFonts w:hint="eastAsia"/>
          <w:lang w:val="en-US" w:eastAsia="zh-CN"/>
        </w:rPr>
      </w:pPr>
      <w:r>
        <w:drawing>
          <wp:inline distT="0" distB="0" distL="114300" distR="114300">
            <wp:extent cx="5257800" cy="477520"/>
            <wp:effectExtent l="0" t="0" r="0" b="17780"/>
            <wp:docPr id="6" name="Picture 6" descr="B样条曲率半径参数化" title="B样条曲率半径参数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样条曲率半径参数化" title="B样条曲率半径参数化"/>
                    <pic:cNvPicPr>
                      <a:picLocks noChangeAspect="1"/>
                    </pic:cNvPicPr>
                  </pic:nvPicPr>
                  <pic:blipFill>
                    <a:blip r:embed="rId12"/>
                    <a:stretch>
                      <a:fillRect/>
                    </a:stretch>
                  </pic:blipFill>
                  <pic:spPr>
                    <a:xfrm>
                      <a:off x="0" y="0"/>
                      <a:ext cx="5257800" cy="477981"/>
                    </a:xfrm>
                    <a:prstGeom prst="rect">
                      <a:avLst/>
                    </a:prstGeom>
                  </pic:spPr>
                </pic:pic>
              </a:graphicData>
            </a:graphic>
          </wp:inline>
        </w:drawing>
      </w:r>
    </w:p>
    <w:p w14:paraId="44F8558A">
      <w:pPr>
        <w:ind w:firstLine="600" w:firstLineChars="200"/>
        <w:rPr>
          <w:rFonts w:hint="eastAsia"/>
          <w:lang w:val="en-US" w:eastAsia="zh-CN"/>
        </w:rPr>
      </w:pPr>
      <w:r>
        <w:rPr>
          <w:rFonts w:hint="eastAsia"/>
          <w:lang w:val="en-US" w:eastAsia="zh-CN"/>
        </w:rPr>
        <w:t>完整筋斗使用12个周期节点，并在0°与360°处施加周期连续条件，保证闭合点两侧曲率及其变化趋势一致。殷麦曼机动使用9个开式节点，端点的一阶导数设置为零，以降低动作进入和退出时的曲率变化。节点初值来自五次多项式轨迹，经线性投影后先满足路径长度与终端位置条件，再交由非线性优化器调整。</w:t>
      </w:r>
    </w:p>
    <w:p w14:paraId="2A00DBD1">
      <w:pPr>
        <w:ind w:firstLine="600" w:firstLineChars="200"/>
      </w:pPr>
      <w:r>
        <w:drawing>
          <wp:inline distT="0" distB="0" distL="114300" distR="114300">
            <wp:extent cx="5640705" cy="2146300"/>
            <wp:effectExtent l="0" t="0" r="17145" b="6350"/>
            <wp:docPr id="7" name="Picture 7" descr="图6-4 B样条曲率参数化与节点优化结果" title="图6-4 B样条曲率参数化与节点优化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6-4 B样条曲率参数化与节点优化结果" title="图6-4 B样条曲率参数化与节点优化结果"/>
                    <pic:cNvPicPr>
                      <a:picLocks noChangeAspect="1"/>
                    </pic:cNvPicPr>
                  </pic:nvPicPr>
                  <pic:blipFill>
                    <a:blip r:embed="rId13"/>
                    <a:stretch>
                      <a:fillRect/>
                    </a:stretch>
                  </pic:blipFill>
                  <pic:spPr>
                    <a:xfrm>
                      <a:off x="0" y="0"/>
                      <a:ext cx="5640705" cy="2146300"/>
                    </a:xfrm>
                    <a:prstGeom prst="rect">
                      <a:avLst/>
                    </a:prstGeom>
                  </pic:spPr>
                </pic:pic>
              </a:graphicData>
            </a:graphic>
          </wp:inline>
        </w:drawing>
      </w:r>
    </w:p>
    <w:p w14:paraId="50A81528">
      <w:pPr>
        <w:pStyle w:val="5"/>
        <w:bidi w:val="0"/>
        <w:jc w:val="center"/>
        <w:rPr>
          <w:rFonts w:hint="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r>
        <w:rPr>
          <w:rFonts w:ascii="Times New Roman" w:hAnsi="Times New Roman" w:eastAsia="宋体"/>
          <w:sz w:val="18"/>
        </w:rPr>
        <w:t>B样条曲率参数化与节点优化结果</w:t>
      </w:r>
    </w:p>
    <w:p w14:paraId="69C6ED9A">
      <w:pPr>
        <w:bidi w:val="0"/>
        <w:ind w:firstLine="600" w:firstLineChars="200"/>
      </w:pPr>
      <w:r>
        <w:t>优化后，筋斗曲率半径范围收敛到30.34～34.88 m；殷麦曼机动收敛到30.57～33.87 m。与五次多项式方法约23.87～40.12 m的局部变化相比，优化后的半径分布更加集中，说明优化器倾向于用较平缓的曲率变化满足同一动作边界。</w:t>
      </w:r>
    </w:p>
    <w:p w14:paraId="5040C81F">
      <w:pPr>
        <w:pStyle w:val="4"/>
        <w:bidi w:val="0"/>
      </w:pPr>
      <w:r>
        <w:t>6.</w:t>
      </w:r>
      <w:r>
        <w:rPr>
          <w:rFonts w:hint="eastAsia"/>
          <w:lang w:val="en-US" w:eastAsia="zh-CN"/>
        </w:rPr>
        <w:t>1.6</w:t>
      </w:r>
      <w:r>
        <w:t xml:space="preserve"> B样条约束优化模型</w:t>
      </w:r>
    </w:p>
    <w:p w14:paraId="39D11841">
      <w:pPr>
        <w:ind w:firstLine="600" w:firstLineChars="200"/>
      </w:pPr>
      <w:r>
        <w:t>B样条节点不是通过人工观察曲线后逐点调整，而是由明确的目标函数和约束求得。目标函数包含四项：轨迹jerk均方根、所需法向力系数峰值、曲率变化率均方根，以及相对五次多项式初值的形状偏离。前三项分别对应控制输入变化、气动负担和几何平滑性；最后一项用于抑制无必要的形状漂移，使数值方法仍保留清晰的筋斗特征。</w:t>
      </w:r>
    </w:p>
    <w:p w14:paraId="62729B08">
      <w:pPr>
        <w:ind w:firstLine="600" w:firstLineChars="200"/>
      </w:pPr>
      <w:r>
        <w:drawing>
          <wp:inline distT="0" distB="0" distL="114300" distR="114300">
            <wp:extent cx="5257800" cy="292735"/>
            <wp:effectExtent l="0" t="0" r="0" b="12065"/>
            <wp:docPr id="8" name="Picture 8" descr="B样条节点优化目标函数" title="B样条节点优化目标函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样条节点优化目标函数" title="B样条节点优化目标函数"/>
                    <pic:cNvPicPr>
                      <a:picLocks noChangeAspect="1"/>
                    </pic:cNvPicPr>
                  </pic:nvPicPr>
                  <pic:blipFill>
                    <a:blip r:embed="rId14"/>
                    <a:stretch>
                      <a:fillRect/>
                    </a:stretch>
                  </pic:blipFill>
                  <pic:spPr>
                    <a:xfrm>
                      <a:off x="0" y="0"/>
                      <a:ext cx="5257800" cy="293300"/>
                    </a:xfrm>
                    <a:prstGeom prst="rect">
                      <a:avLst/>
                    </a:prstGeom>
                  </pic:spPr>
                </pic:pic>
              </a:graphicData>
            </a:graphic>
          </wp:inline>
        </w:drawing>
      </w:r>
    </w:p>
    <w:p w14:paraId="5FADBE98">
      <w:pPr>
        <w:bidi w:val="0"/>
        <w:ind w:firstLine="600" w:firstLineChars="200"/>
      </w:pPr>
      <w:r>
        <w:t>优化过程中同时施加等式约束与不等式约束。等式约束保证路径长度、终端前向位置和终端高度严格满足动作定义；完整筋斗由此回到起点，殷麦曼机动由此在前向位置回到零的同时升高64 m。不等式约束限制最小曲率半径、法向过载、最大气动力系数以及航迹俯仰角速度。升力裕度下限被直接写入优化约束，而不只是生成后的被动检查。</w:t>
      </w:r>
    </w:p>
    <w:p w14:paraId="5062E593">
      <w:pPr>
        <w:bidi w:val="0"/>
        <w:ind w:firstLine="600" w:firstLineChars="200"/>
      </w:pPr>
      <w:r>
        <w:drawing>
          <wp:inline distT="0" distB="0" distL="114300" distR="114300">
            <wp:extent cx="5257800" cy="214630"/>
            <wp:effectExtent l="0" t="0" r="0" b="13970"/>
            <wp:docPr id="13" name="Picture 9" descr="B样条优化中的主要等式与不等式约束" title="B样条优化中的主要等式与不等式约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descr="B样条优化中的主要等式与不等式约束" title="B样条优化中的主要等式与不等式约束"/>
                    <pic:cNvPicPr>
                      <a:picLocks noChangeAspect="1"/>
                    </pic:cNvPicPr>
                  </pic:nvPicPr>
                  <pic:blipFill>
                    <a:blip r:embed="rId15"/>
                    <a:stretch>
                      <a:fillRect/>
                    </a:stretch>
                  </pic:blipFill>
                  <pic:spPr>
                    <a:xfrm>
                      <a:off x="0" y="0"/>
                      <a:ext cx="5257800" cy="214661"/>
                    </a:xfrm>
                    <a:prstGeom prst="rect">
                      <a:avLst/>
                    </a:prstGeom>
                  </pic:spPr>
                </pic:pic>
              </a:graphicData>
            </a:graphic>
          </wp:inline>
        </w:drawing>
      </w:r>
    </w:p>
    <w:p w14:paraId="48883773">
      <w:pPr>
        <w:bidi w:val="0"/>
        <w:ind w:firstLine="600" w:firstLineChars="200"/>
      </w:pPr>
      <w:r>
        <w:t>数值求解采用SLSQP算法。筋斗在102次迭代、1384次目标函数计算后收敛，求解时间约2.284 s；殷麦曼机动在66次迭代、754次目标函数计算后收敛，求解时间约0.796 s。所有等式约束残差均保持在数值容差范围内，说明优化结果不是先生成曲线后强行移动终点，而是在求解过程中满足动作边界。</w:t>
      </w:r>
    </w:p>
    <w:p w14:paraId="56855E33">
      <w:pPr>
        <w:pStyle w:val="4"/>
        <w:bidi w:val="0"/>
      </w:pPr>
      <w:r>
        <w:rPr>
          <w:rFonts w:hint="eastAsia"/>
          <w:lang w:val="en-US" w:eastAsia="zh-CN"/>
        </w:rPr>
        <w:t>6.1.7</w:t>
      </w:r>
      <w:r>
        <w:t>时间参数化与姿态边界</w:t>
      </w:r>
    </w:p>
    <w:p w14:paraId="7EE19ED4">
      <w:pPr>
        <w:ind w:firstLine="600" w:firstLineChars="200"/>
      </w:pPr>
      <w:r>
        <w:t>为了使两种方法的差异集中在空间轨迹生成机制，本测试使用相同速度规律。无人机在动作底部取20.0 m/s，在顶部取17.5 m/s，速度随累计航迹转角按余弦规律连续变化。五次多项式轨迹按dt/dθ=||p'(θ)||/V积分，B样条曲率轨迹按dt/dθ=R(θ)/V积分。随后两种结果均以0.02 s间隔重采样，形成控制算法可直接读取的时间序列。</w:t>
      </w:r>
    </w:p>
    <w:p w14:paraId="15F1728A">
      <w:pPr>
        <w:ind w:firstLine="600" w:firstLineChars="200"/>
      </w:pPr>
      <w:r>
        <w:drawing>
          <wp:inline distT="0" distB="0" distL="114300" distR="114300">
            <wp:extent cx="5257800" cy="356235"/>
            <wp:effectExtent l="0" t="0" r="0" b="5715"/>
            <wp:docPr id="14" name="Picture 10" descr="统一速度规律与时间参数化" title="统一速度规律与时间参数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统一速度规律与时间参数化" title="统一速度规律与时间参数化"/>
                    <pic:cNvPicPr>
                      <a:picLocks noChangeAspect="1"/>
                    </pic:cNvPicPr>
                  </pic:nvPicPr>
                  <pic:blipFill>
                    <a:blip r:embed="rId16"/>
                    <a:stretch>
                      <a:fillRect/>
                    </a:stretch>
                  </pic:blipFill>
                  <pic:spPr>
                    <a:xfrm>
                      <a:off x="0" y="0"/>
                      <a:ext cx="5257800" cy="356411"/>
                    </a:xfrm>
                    <a:prstGeom prst="rect">
                      <a:avLst/>
                    </a:prstGeom>
                  </pic:spPr>
                </pic:pic>
              </a:graphicData>
            </a:graphic>
          </wp:inline>
        </w:drawing>
      </w:r>
    </w:p>
    <w:p w14:paraId="10CAD451">
      <w:pPr>
        <w:ind w:firstLine="600" w:firstLineChars="200"/>
        <w:rPr/>
      </w:pPr>
      <w:r>
        <w:t>完整筋斗不额外施加滚转指令，机翼方向保持垂直于机动平面。殷麦曼机动在顶部低过载区间执行180°半滚转，滚转角采用五次平滑函数，使滚转开始和结束时的角速度、角加速度连续回到零。两种传统方法使用相同滚转时序，因此殷麦曼机动的差异主要来自纵向曲率分配，不会被不同姿态指令混入比较。</w:t>
      </w:r>
    </w:p>
    <w:p w14:paraId="1DB32F3E">
      <w:pPr>
        <w:pStyle w:val="5"/>
        <w:bidi w:val="0"/>
        <w:jc w:val="center"/>
        <w:rPr>
          <w:rFonts w:ascii="Times New Roman" w:hAnsi="Times New Roman" w:eastAsia="宋体"/>
          <w:sz w:val="18"/>
        </w:rPr>
      </w:pPr>
      <w:r>
        <w:drawing>
          <wp:inline distT="0" distB="0" distL="114300" distR="114300">
            <wp:extent cx="5166360" cy="1885950"/>
            <wp:effectExtent l="0" t="0" r="15240" b="0"/>
            <wp:docPr id="11" name="Picture 11" descr="图6-5 殷麦曼机动航迹转角与顶部半滚转时序" title="图6-5 殷麦曼机动航迹转角与顶部半滚转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6-5 殷麦曼机动航迹转角与顶部半滚转时序" title="图6-5 殷麦曼机动航迹转角与顶部半滚转时序"/>
                    <pic:cNvPicPr>
                      <a:picLocks noChangeAspect="1"/>
                    </pic:cNvPicPr>
                  </pic:nvPicPr>
                  <pic:blipFill>
                    <a:blip r:embed="rId17"/>
                    <a:stretch>
                      <a:fillRect/>
                    </a:stretch>
                  </pic:blipFill>
                  <pic:spPr>
                    <a:xfrm>
                      <a:off x="0" y="0"/>
                      <a:ext cx="5166360" cy="1886131"/>
                    </a:xfrm>
                    <a:prstGeom prst="rect">
                      <a:avLst/>
                    </a:prstGeom>
                  </pic:spPr>
                </pic:pic>
              </a:graphicData>
            </a:graphic>
          </wp:inline>
        </w:drawing>
      </w:r>
      <w:r>
        <w:t xml:space="preserve">图 </w:t>
      </w:r>
      <w:r>
        <w:fldChar w:fldCharType="begin"/>
      </w:r>
      <w:r>
        <w:instrText xml:space="preserve"> SEQ 图 \* ARABIC </w:instrText>
      </w:r>
      <w:r>
        <w:fldChar w:fldCharType="separate"/>
      </w:r>
      <w:r>
        <w:t>5</w:t>
      </w:r>
      <w:r>
        <w:fldChar w:fldCharType="end"/>
      </w:r>
      <w:r>
        <w:rPr>
          <w:rFonts w:ascii="Times New Roman" w:hAnsi="Times New Roman" w:eastAsia="宋体"/>
          <w:sz w:val="18"/>
        </w:rPr>
        <w:t>殷麦曼机动航迹转角与顶部半滚转时序</w:t>
      </w:r>
    </w:p>
    <w:p w14:paraId="767FB884">
      <w:pPr>
        <w:pStyle w:val="4"/>
        <w:bidi w:val="0"/>
      </w:pPr>
      <w:r>
        <w:rPr>
          <w:rFonts w:hint="eastAsia"/>
          <w:lang w:val="en-US" w:eastAsia="zh-CN"/>
        </w:rPr>
        <w:t>6.1.8</w:t>
      </w:r>
      <w:r>
        <w:t>统一输出与评价链</w:t>
      </w:r>
    </w:p>
    <w:p w14:paraId="47B15CC3">
      <w:pPr>
        <w:ind w:firstLine="600" w:firstLineChars="200"/>
        <w:rPr>
          <w:rFonts w:hint="default"/>
          <w:lang w:val="en-US" w:eastAsia="zh-CN"/>
        </w:rPr>
      </w:pPr>
      <w:r>
        <w:rPr>
          <w:rFonts w:hint="default"/>
          <w:lang w:val="en-US" w:eastAsia="zh-CN"/>
        </w:rPr>
        <w:t>每条轨迹按照同一字段保存，包括时间t、位置x/y/z、速度vx/vy/vz、加速度、速度大小、累计航迹转角、滚转指令、机体系角速度、曲率半径、jerk、法向过载、气动力系数需求、估算迎角、升力裕度以及切向力需求。统一格式使几何评价与动力学评价针对同一条时间化轨迹完成，避免出现几何图使用一组数据、动力学计算又使用另一组数据的情况。</w:t>
      </w:r>
    </w:p>
    <w:p w14:paraId="1DB8343E">
      <w:pPr>
        <w:ind w:firstLine="600" w:firstLineChars="200"/>
        <w:rPr>
          <w:rFonts w:hint="default"/>
          <w:lang w:val="en-US" w:eastAsia="zh-CN"/>
        </w:rPr>
      </w:pPr>
      <w:r>
        <w:rPr>
          <w:rFonts w:hint="default"/>
          <w:lang w:val="en-US" w:eastAsia="zh-CN"/>
        </w:rPr>
        <w:t>评价链分为两个层级。第一层只检查动作形状和边界，包括终端位置、终端航迹转角、终端滚转角、动作平面偏差、路径长度和最小曲率半径。第二层将轨迹速度、加速度和姿态方向代入参考轨迹逆动力学，计算维持该运动所需的法向力、切向力、侧向力和角速度，再与当前气动数据和工程阈值比较。</w:t>
      </w:r>
    </w:p>
    <w:p w14:paraId="53E79ED5">
      <w:pPr>
        <w:ind w:firstLine="600" w:firstLineChars="200"/>
        <w:rPr>
          <w:rFonts w:hint="default"/>
          <w:lang w:val="en-US" w:eastAsia="zh-CN"/>
        </w:rPr>
      </w:pPr>
      <w:r>
        <w:rPr>
          <w:rFonts w:hint="default"/>
          <w:lang w:val="en-US" w:eastAsia="zh-CN"/>
        </w:rPr>
        <w:t>从工程定位看，五次多项式方法回答“能否快速构造一个边界正确的动作”，B样条方法回答“在边界和动力学限制不变时，能否重新分配曲率以改善综合指标”。这种分工使两类方法的优缺点可以由测试结果直接呈现，而不是预设B样条必须在所有指标上优于五次多项式方法。</w:t>
      </w:r>
    </w:p>
    <w:p w14:paraId="08FA9788">
      <w:pPr>
        <w:pStyle w:val="4"/>
        <w:bidi w:val="0"/>
      </w:pPr>
      <w:r>
        <w:t>6.1.</w:t>
      </w:r>
      <w:r>
        <w:rPr>
          <w:rFonts w:hint="eastAsia"/>
          <w:lang w:val="en-US" w:eastAsia="zh-CN"/>
        </w:rPr>
        <w:t>9</w:t>
      </w:r>
      <w:r>
        <w:t xml:space="preserve"> 两种传统方法的理论差异与适用场景</w:t>
      </w:r>
    </w:p>
    <w:p w14:paraId="639643AD">
      <w:pPr>
        <w:bidi w:val="0"/>
        <w:ind w:firstLine="600" w:firstLineChars="200"/>
        <w:rPr/>
      </w:pPr>
      <w:r>
        <w:t>五次多项式属于边界插值型构造方法。设计者先确定分段边界位置、切向和二阶导数，再由线性方程直接求得每段系数。其主要误差来源不是数值优化失败，而是边界条件和分段数量能否表达期望动作。只要参数有效，算法每次运行都给出相同结果，因此特别适合用于基准测试、在线快速重规划以及后续算法异常时的确定性回退。</w:t>
      </w:r>
    </w:p>
    <w:p w14:paraId="6A4BCD64">
      <w:pPr>
        <w:bidi w:val="0"/>
        <w:ind w:firstLine="600" w:firstLineChars="200"/>
        <w:rPr/>
      </w:pPr>
      <w:r>
        <w:t>B样条方法属于参数化数值优化方法。动作边界不再完全依赖某个固定闭式函数，而由等式约束保证；平滑性和动力学裕度通过目标函数与不等式约束共同调节。它可以把局部曲率从载荷敏感区转移到裕度较大的区段，但求解结果依赖初值、权重和优化器收敛。为降低这种依赖，本测试使用五次多项式轨迹作为可行初值，并保存迭代次数、函数计算次数和约束残差作为可重复性证据。</w:t>
      </w:r>
    </w:p>
    <w:p w14:paraId="1C101D5A">
      <w:pPr>
        <w:bidi w:val="0"/>
        <w:ind w:firstLine="600" w:firstLineChars="200"/>
        <w:rPr>
          <w:rFonts w:hint="default"/>
          <w:lang w:val="en-US" w:eastAsia="zh-CN"/>
        </w:rPr>
      </w:pPr>
      <w:r>
        <w:t>从后续扩散模型研究角度看，这两种传统方法提供了互补的数据来源。五次多项式方法能够快速生成大量结构一致的动作样本，适合覆盖速度、半径和高度等基本参数；B样条方法能够对这些样本进一步做约束修正和质量筛选，适合作为训练集中的高质量参考。扩散模型后续是否具有优势，应与两类传统基线分别比较，而不能只选择较弱基线。</w:t>
      </w:r>
    </w:p>
    <w:p w14:paraId="434CA555">
      <w:pPr>
        <w:pStyle w:val="3"/>
        <w:bidi w:val="0"/>
      </w:pPr>
      <w:r>
        <w:t>6.2 生成轨迹的几何对比与指标评估</w:t>
      </w:r>
    </w:p>
    <w:p w14:paraId="6E44FE54">
      <w:pPr>
        <w:pStyle w:val="4"/>
        <w:bidi w:val="0"/>
      </w:pPr>
      <w:r>
        <w:t>6.2.1 测试方法与判定指标</w:t>
      </w:r>
    </w:p>
    <w:p w14:paraId="2BE99355">
      <w:pPr>
        <w:bidi w:val="0"/>
        <w:ind w:firstLine="600" w:firstLineChars="200"/>
        <w:rPr>
          <w:rFonts w:hint="eastAsia"/>
          <w:lang w:val="en-US" w:eastAsia="zh-CN"/>
        </w:rPr>
      </w:pPr>
      <w:r>
        <w:rPr>
          <w:rFonts w:hint="eastAsia"/>
          <w:lang w:val="en-US" w:eastAsia="zh-CN"/>
        </w:rPr>
        <w:t xml:space="preserve"> 几何测试以动作定义是否被准确实现为第一目标，以轨迹是否连续、是否具备可接受的弯曲尺度和时间平滑性为第二目标。每种方法分别生成筋斗和殷麦曼机动，共形成四组轨姿时间序列。测试将从CSV文件中重新计算终端误差、路径长度、动作宽度与高度、曲率半径、jerk以及曲率变化率，并与配置阈值逐项比较。</w:t>
      </w:r>
    </w:p>
    <w:tbl>
      <w:tblPr>
        <w:tblStyle w:val="12"/>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2410"/>
        <w:gridCol w:w="2670"/>
        <w:gridCol w:w="2958"/>
      </w:tblGrid>
      <w:tr w14:paraId="14C95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82" w:type="dxa"/>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5A8993C2">
            <w:pPr>
              <w:bidi w:val="0"/>
            </w:pPr>
            <w:r>
              <w:t>类别</w:t>
            </w:r>
          </w:p>
        </w:tc>
        <w:tc>
          <w:tcPr>
            <w:tcW w:w="2410"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39E13B8D">
            <w:pPr>
              <w:bidi w:val="0"/>
            </w:pPr>
            <w:r>
              <w:t>测试项</w:t>
            </w:r>
          </w:p>
        </w:tc>
        <w:tc>
          <w:tcPr>
            <w:tcW w:w="2670"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4E2DAF1C">
            <w:pPr>
              <w:bidi w:val="0"/>
            </w:pPr>
            <w:r>
              <w:t>统一设置</w:t>
            </w:r>
          </w:p>
        </w:tc>
        <w:tc>
          <w:tcPr>
            <w:tcW w:w="2958"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0EA11766">
            <w:pPr>
              <w:bidi w:val="0"/>
            </w:pPr>
            <w:r>
              <w:t>说明</w:t>
            </w:r>
          </w:p>
        </w:tc>
      </w:tr>
      <w:tr w14:paraId="492D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3AEA7090">
            <w:pPr>
              <w:bidi w:val="0"/>
            </w:pPr>
            <w:r>
              <w:t>动作</w:t>
            </w:r>
          </w:p>
        </w:tc>
        <w:tc>
          <w:tcPr>
            <w:tcW w:w="2410"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006EFBB">
            <w:pPr>
              <w:bidi w:val="0"/>
            </w:pPr>
            <w:r>
              <w:t>360度筋斗</w:t>
            </w:r>
          </w:p>
        </w:tc>
        <w:tc>
          <w:tcPr>
            <w:tcW w:w="2670"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0807F15D">
            <w:pPr>
              <w:bidi w:val="0"/>
            </w:pPr>
            <w:r>
              <w:t>360°闭合纵向回路</w:t>
            </w:r>
          </w:p>
        </w:tc>
        <w:tc>
          <w:tcPr>
            <w:tcW w:w="2958"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308CBE36">
            <w:pPr>
              <w:bidi w:val="0"/>
            </w:pPr>
            <w:r>
              <w:t>终点与起点重合</w:t>
            </w:r>
          </w:p>
        </w:tc>
      </w:tr>
      <w:tr w14:paraId="1F0E6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 w:type="dxa"/>
            <w:tcBorders>
              <w:top w:val="nil"/>
              <w:left w:val="nil"/>
              <w:bottom w:val="nil"/>
              <w:right w:val="nil"/>
            </w:tcBorders>
            <w:shd w:val="clear" w:color="auto" w:fill="FFFFFF"/>
            <w:tcMar>
              <w:top w:w="80" w:type="dxa"/>
              <w:left w:w="100" w:type="dxa"/>
              <w:bottom w:w="80" w:type="dxa"/>
              <w:right w:w="100" w:type="dxa"/>
            </w:tcMar>
            <w:vAlign w:val="center"/>
          </w:tcPr>
          <w:p w14:paraId="235B683C">
            <w:pPr>
              <w:bidi w:val="0"/>
            </w:pPr>
            <w:r>
              <w:t>动作</w:t>
            </w:r>
          </w:p>
        </w:tc>
        <w:tc>
          <w:tcPr>
            <w:tcW w:w="2410" w:type="dxa"/>
            <w:tcBorders>
              <w:top w:val="nil"/>
              <w:left w:val="nil"/>
              <w:bottom w:val="nil"/>
              <w:right w:val="nil"/>
            </w:tcBorders>
            <w:shd w:val="clear" w:color="auto" w:fill="FFFFFF"/>
            <w:tcMar>
              <w:top w:w="80" w:type="dxa"/>
              <w:left w:w="100" w:type="dxa"/>
              <w:bottom w:w="80" w:type="dxa"/>
              <w:right w:w="100" w:type="dxa"/>
            </w:tcMar>
            <w:vAlign w:val="center"/>
          </w:tcPr>
          <w:p w14:paraId="49EC9CF2">
            <w:pPr>
              <w:bidi w:val="0"/>
            </w:pPr>
            <w:r>
              <w:t>殷麦曼机动</w:t>
            </w:r>
          </w:p>
        </w:tc>
        <w:tc>
          <w:tcPr>
            <w:tcW w:w="2670" w:type="dxa"/>
            <w:tcBorders>
              <w:top w:val="nil"/>
              <w:left w:val="nil"/>
              <w:bottom w:val="nil"/>
              <w:right w:val="nil"/>
            </w:tcBorders>
            <w:shd w:val="clear" w:color="auto" w:fill="FFFFFF"/>
            <w:tcMar>
              <w:top w:w="80" w:type="dxa"/>
              <w:left w:w="100" w:type="dxa"/>
              <w:bottom w:w="80" w:type="dxa"/>
              <w:right w:w="100" w:type="dxa"/>
            </w:tcMar>
            <w:vAlign w:val="center"/>
          </w:tcPr>
          <w:p w14:paraId="4FF90E11">
            <w:pPr>
              <w:bidi w:val="0"/>
            </w:pPr>
            <w:r>
              <w:t>180°纵向转向并升高64 m</w:t>
            </w:r>
          </w:p>
        </w:tc>
        <w:tc>
          <w:tcPr>
            <w:tcW w:w="2958" w:type="dxa"/>
            <w:tcBorders>
              <w:top w:val="nil"/>
              <w:left w:val="nil"/>
              <w:bottom w:val="nil"/>
              <w:right w:val="nil"/>
            </w:tcBorders>
            <w:shd w:val="clear" w:color="auto" w:fill="FFFFFF"/>
            <w:tcMar>
              <w:top w:w="80" w:type="dxa"/>
              <w:left w:w="100" w:type="dxa"/>
              <w:bottom w:w="80" w:type="dxa"/>
              <w:right w:w="100" w:type="dxa"/>
            </w:tcMar>
            <w:vAlign w:val="center"/>
          </w:tcPr>
          <w:p w14:paraId="6C984007">
            <w:pPr>
              <w:bidi w:val="0"/>
            </w:pPr>
            <w:r>
              <w:t>顶部保留180°半滚转</w:t>
            </w:r>
          </w:p>
        </w:tc>
      </w:tr>
      <w:tr w14:paraId="51A1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 w:type="dxa"/>
            <w:tcBorders>
              <w:top w:val="nil"/>
              <w:left w:val="nil"/>
              <w:bottom w:val="nil"/>
              <w:right w:val="nil"/>
            </w:tcBorders>
            <w:shd w:val="clear" w:color="auto" w:fill="FFFFFF"/>
            <w:tcMar>
              <w:top w:w="80" w:type="dxa"/>
              <w:left w:w="100" w:type="dxa"/>
              <w:bottom w:w="80" w:type="dxa"/>
              <w:right w:w="100" w:type="dxa"/>
            </w:tcMar>
            <w:vAlign w:val="center"/>
          </w:tcPr>
          <w:p w14:paraId="0ABB310B">
            <w:pPr>
              <w:bidi w:val="0"/>
            </w:pPr>
            <w:r>
              <w:t>速度</w:t>
            </w:r>
          </w:p>
        </w:tc>
        <w:tc>
          <w:tcPr>
            <w:tcW w:w="2410" w:type="dxa"/>
            <w:tcBorders>
              <w:top w:val="nil"/>
              <w:left w:val="nil"/>
              <w:bottom w:val="nil"/>
              <w:right w:val="nil"/>
            </w:tcBorders>
            <w:shd w:val="clear" w:color="auto" w:fill="FFFFFF"/>
            <w:tcMar>
              <w:top w:w="80" w:type="dxa"/>
              <w:left w:w="100" w:type="dxa"/>
              <w:bottom w:w="80" w:type="dxa"/>
              <w:right w:w="100" w:type="dxa"/>
            </w:tcMar>
            <w:vAlign w:val="center"/>
          </w:tcPr>
          <w:p w14:paraId="7BA71CBA">
            <w:pPr>
              <w:bidi w:val="0"/>
            </w:pPr>
            <w:r>
              <w:t>统一速度规律</w:t>
            </w:r>
          </w:p>
        </w:tc>
        <w:tc>
          <w:tcPr>
            <w:tcW w:w="2670" w:type="dxa"/>
            <w:tcBorders>
              <w:top w:val="nil"/>
              <w:left w:val="nil"/>
              <w:bottom w:val="nil"/>
              <w:right w:val="nil"/>
            </w:tcBorders>
            <w:shd w:val="clear" w:color="auto" w:fill="FFFFFF"/>
            <w:tcMar>
              <w:top w:w="80" w:type="dxa"/>
              <w:left w:w="100" w:type="dxa"/>
              <w:bottom w:w="80" w:type="dxa"/>
              <w:right w:w="100" w:type="dxa"/>
            </w:tcMar>
            <w:vAlign w:val="center"/>
          </w:tcPr>
          <w:p w14:paraId="2EFF74AB">
            <w:pPr>
              <w:bidi w:val="0"/>
            </w:pPr>
            <w:r>
              <w:t>17.5～20.0 m/s</w:t>
            </w:r>
          </w:p>
        </w:tc>
        <w:tc>
          <w:tcPr>
            <w:tcW w:w="2958" w:type="dxa"/>
            <w:tcBorders>
              <w:top w:val="nil"/>
              <w:left w:val="nil"/>
              <w:bottom w:val="nil"/>
              <w:right w:val="nil"/>
            </w:tcBorders>
            <w:shd w:val="clear" w:color="auto" w:fill="FFFFFF"/>
            <w:tcMar>
              <w:top w:w="80" w:type="dxa"/>
              <w:left w:w="100" w:type="dxa"/>
              <w:bottom w:w="80" w:type="dxa"/>
              <w:right w:w="100" w:type="dxa"/>
            </w:tcMar>
            <w:vAlign w:val="center"/>
          </w:tcPr>
          <w:p w14:paraId="61DF7E40">
            <w:pPr>
              <w:bidi w:val="0"/>
            </w:pPr>
            <w:r>
              <w:t>底部快、顶部慢</w:t>
            </w:r>
          </w:p>
        </w:tc>
      </w:tr>
      <w:tr w14:paraId="7BAD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 w:type="dxa"/>
            <w:tcBorders>
              <w:top w:val="nil"/>
              <w:left w:val="nil"/>
              <w:bottom w:val="nil"/>
              <w:right w:val="nil"/>
            </w:tcBorders>
            <w:shd w:val="clear" w:color="auto" w:fill="FFFFFF"/>
            <w:tcMar>
              <w:top w:w="80" w:type="dxa"/>
              <w:left w:w="100" w:type="dxa"/>
              <w:bottom w:w="80" w:type="dxa"/>
              <w:right w:w="100" w:type="dxa"/>
            </w:tcMar>
            <w:vAlign w:val="center"/>
          </w:tcPr>
          <w:p w14:paraId="26A90D2E">
            <w:pPr>
              <w:bidi w:val="0"/>
            </w:pPr>
            <w:r>
              <w:t>采样</w:t>
            </w:r>
          </w:p>
        </w:tc>
        <w:tc>
          <w:tcPr>
            <w:tcW w:w="2410" w:type="dxa"/>
            <w:tcBorders>
              <w:top w:val="nil"/>
              <w:left w:val="nil"/>
              <w:bottom w:val="nil"/>
              <w:right w:val="nil"/>
            </w:tcBorders>
            <w:shd w:val="clear" w:color="auto" w:fill="FFFFFF"/>
            <w:tcMar>
              <w:top w:w="80" w:type="dxa"/>
              <w:left w:w="100" w:type="dxa"/>
              <w:bottom w:w="80" w:type="dxa"/>
              <w:right w:w="100" w:type="dxa"/>
            </w:tcMar>
            <w:vAlign w:val="center"/>
          </w:tcPr>
          <w:p w14:paraId="62DC18BB">
            <w:pPr>
              <w:bidi w:val="0"/>
            </w:pPr>
            <w:r>
              <w:t>输出时间步长</w:t>
            </w:r>
          </w:p>
        </w:tc>
        <w:tc>
          <w:tcPr>
            <w:tcW w:w="2670" w:type="dxa"/>
            <w:tcBorders>
              <w:top w:val="nil"/>
              <w:left w:val="nil"/>
              <w:bottom w:val="nil"/>
              <w:right w:val="nil"/>
            </w:tcBorders>
            <w:shd w:val="clear" w:color="auto" w:fill="FFFFFF"/>
            <w:tcMar>
              <w:top w:w="80" w:type="dxa"/>
              <w:left w:w="100" w:type="dxa"/>
              <w:bottom w:w="80" w:type="dxa"/>
              <w:right w:w="100" w:type="dxa"/>
            </w:tcMar>
            <w:vAlign w:val="center"/>
          </w:tcPr>
          <w:p w14:paraId="339FC010">
            <w:pPr>
              <w:bidi w:val="0"/>
            </w:pPr>
            <w:r>
              <w:t>0.02 s</w:t>
            </w:r>
          </w:p>
        </w:tc>
        <w:tc>
          <w:tcPr>
            <w:tcW w:w="2958" w:type="dxa"/>
            <w:tcBorders>
              <w:top w:val="nil"/>
              <w:left w:val="nil"/>
              <w:bottom w:val="nil"/>
              <w:right w:val="nil"/>
            </w:tcBorders>
            <w:shd w:val="clear" w:color="auto" w:fill="FFFFFF"/>
            <w:tcMar>
              <w:top w:w="80" w:type="dxa"/>
              <w:left w:w="100" w:type="dxa"/>
              <w:bottom w:w="80" w:type="dxa"/>
              <w:right w:w="100" w:type="dxa"/>
            </w:tcMar>
            <w:vAlign w:val="center"/>
          </w:tcPr>
          <w:p w14:paraId="4FD598E2">
            <w:pPr>
              <w:bidi w:val="0"/>
            </w:pPr>
            <w:r>
              <w:t>统一CSV时间序列</w:t>
            </w:r>
          </w:p>
        </w:tc>
      </w:tr>
      <w:tr w14:paraId="2BD09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 w:type="dxa"/>
            <w:tcBorders>
              <w:top w:val="nil"/>
              <w:left w:val="nil"/>
              <w:bottom w:val="nil"/>
              <w:right w:val="nil"/>
            </w:tcBorders>
            <w:shd w:val="clear" w:color="auto" w:fill="FFFFFF"/>
            <w:tcMar>
              <w:top w:w="80" w:type="dxa"/>
              <w:left w:w="100" w:type="dxa"/>
              <w:bottom w:w="80" w:type="dxa"/>
              <w:right w:w="100" w:type="dxa"/>
            </w:tcMar>
            <w:vAlign w:val="center"/>
          </w:tcPr>
          <w:p w14:paraId="01AE558B">
            <w:pPr>
              <w:bidi w:val="0"/>
            </w:pPr>
            <w:r>
              <w:t>方法</w:t>
            </w:r>
          </w:p>
        </w:tc>
        <w:tc>
          <w:tcPr>
            <w:tcW w:w="2410" w:type="dxa"/>
            <w:tcBorders>
              <w:top w:val="nil"/>
              <w:left w:val="nil"/>
              <w:bottom w:val="nil"/>
              <w:right w:val="nil"/>
            </w:tcBorders>
            <w:shd w:val="clear" w:color="auto" w:fill="FFFFFF"/>
            <w:tcMar>
              <w:top w:w="80" w:type="dxa"/>
              <w:left w:w="100" w:type="dxa"/>
              <w:bottom w:w="80" w:type="dxa"/>
              <w:right w:w="100" w:type="dxa"/>
            </w:tcMar>
            <w:vAlign w:val="center"/>
          </w:tcPr>
          <w:p w14:paraId="416263CA">
            <w:pPr>
              <w:bidi w:val="0"/>
            </w:pPr>
            <w:r>
              <w:t>五次多项式方法</w:t>
            </w:r>
          </w:p>
        </w:tc>
        <w:tc>
          <w:tcPr>
            <w:tcW w:w="2670" w:type="dxa"/>
            <w:tcBorders>
              <w:top w:val="nil"/>
              <w:left w:val="nil"/>
              <w:bottom w:val="nil"/>
              <w:right w:val="nil"/>
            </w:tcBorders>
            <w:shd w:val="clear" w:color="auto" w:fill="FFFFFF"/>
            <w:tcMar>
              <w:top w:w="80" w:type="dxa"/>
              <w:left w:w="100" w:type="dxa"/>
              <w:bottom w:w="80" w:type="dxa"/>
              <w:right w:w="100" w:type="dxa"/>
            </w:tcMar>
            <w:vAlign w:val="center"/>
          </w:tcPr>
          <w:p w14:paraId="6C121D27">
            <w:pPr>
              <w:bidi w:val="0"/>
            </w:pPr>
            <w:r>
              <w:t>分段五次多项式</w:t>
            </w:r>
          </w:p>
        </w:tc>
        <w:tc>
          <w:tcPr>
            <w:tcW w:w="2958" w:type="dxa"/>
            <w:tcBorders>
              <w:top w:val="nil"/>
              <w:left w:val="nil"/>
              <w:bottom w:val="nil"/>
              <w:right w:val="nil"/>
            </w:tcBorders>
            <w:shd w:val="clear" w:color="auto" w:fill="FFFFFF"/>
            <w:tcMar>
              <w:top w:w="80" w:type="dxa"/>
              <w:left w:w="100" w:type="dxa"/>
              <w:bottom w:w="80" w:type="dxa"/>
              <w:right w:w="100" w:type="dxa"/>
            </w:tcMar>
            <w:vAlign w:val="center"/>
          </w:tcPr>
          <w:p w14:paraId="72D362F5">
            <w:pPr>
              <w:bidi w:val="0"/>
            </w:pPr>
            <w:r>
              <w:t>确定性基准</w:t>
            </w:r>
          </w:p>
        </w:tc>
      </w:tr>
      <w:tr w14:paraId="7CC2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64AF0F5D">
            <w:pPr>
              <w:bidi w:val="0"/>
            </w:pPr>
            <w:r>
              <w:t>方法</w:t>
            </w:r>
          </w:p>
        </w:tc>
        <w:tc>
          <w:tcPr>
            <w:tcW w:w="2410"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40449A0D">
            <w:pPr>
              <w:bidi w:val="0"/>
            </w:pPr>
            <w:r>
              <w:t>B样条方法</w:t>
            </w:r>
          </w:p>
        </w:tc>
        <w:tc>
          <w:tcPr>
            <w:tcW w:w="2670"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732CE01E">
            <w:pPr>
              <w:bidi w:val="0"/>
            </w:pPr>
            <w:r>
              <w:t>三次B样条+SLSQP</w:t>
            </w:r>
          </w:p>
        </w:tc>
        <w:tc>
          <w:tcPr>
            <w:tcW w:w="2958"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1AF4D193">
            <w:pPr>
              <w:bidi w:val="0"/>
            </w:pPr>
            <w:r>
              <w:t>约束优化基准</w:t>
            </w:r>
          </w:p>
        </w:tc>
      </w:tr>
    </w:tbl>
    <w:p w14:paraId="562DFBCB">
      <w:pPr>
        <w:bidi w:val="0"/>
        <w:ind w:firstLine="600" w:firstLineChars="200"/>
      </w:pPr>
      <w:r>
        <w:t>其中，终端位置误差和终端角度误差用于检验动作边界；最小曲率半径用于避免局部弯曲过急；jerk用于衡量加速度变化强度；曲率变化率用于衡量几何转弯需求变化的快慢。最大jerk容易受单个采样点影响，因此报告同时采用均方根jerk描述整段动作的总体平滑程度。</w:t>
      </w:r>
    </w:p>
    <w:p w14:paraId="0B4213EF">
      <w:pPr>
        <w:bidi w:val="0"/>
        <w:ind w:firstLine="600" w:firstLineChars="200"/>
      </w:pPr>
      <w:r>
        <w:t>对于完整筋斗，闭合误差必须在位置层面单独检查，不能只凭轨迹图目测。对于殷麦曼机动，终点与起点本就不重合，因此检查目标是前向位置回到零、高度增加64 m、航迹方向反转及顶部滚转完成。两种动作都要求y方向偏差接近零，以确认轨迹保持在指定竖直机动平面内。</w:t>
      </w:r>
    </w:p>
    <w:p w14:paraId="207CAF6A">
      <w:pPr>
        <w:pStyle w:val="4"/>
        <w:bidi w:val="0"/>
      </w:pPr>
      <w:r>
        <w:t>6.2.2 360度筋斗几何对比</w:t>
      </w:r>
    </w:p>
    <w:p w14:paraId="2B5E09DD">
      <w:pPr>
        <w:bidi w:val="0"/>
        <w:ind w:firstLine="600" w:firstLineChars="200"/>
        <w:rPr>
          <w:rFonts w:hint="eastAsia"/>
          <w:lang w:val="en-US" w:eastAsia="zh-CN"/>
        </w:rPr>
      </w:pPr>
      <w:r>
        <w:rPr>
          <w:rFonts w:hint="eastAsia"/>
          <w:lang w:val="en-US" w:eastAsia="zh-CN"/>
        </w:rPr>
        <w:t>两种方法均生成约201.060 m的闭合回路。五次多项式方法持续10.747 s，B样条方法持续10.748 s；由于路径长度和速度规律保持一致，两者持续时间几乎相同。终端位置误差均为0.000 m，累计航迹转角达到360°，说明B样条优化没有以牺牲动作闭合为代价改善平滑性。</w:t>
      </w:r>
    </w:p>
    <w:p w14:paraId="36C36EB7">
      <w:pPr>
        <w:bidi w:val="0"/>
        <w:jc w:val="both"/>
      </w:pPr>
      <w:r>
        <w:drawing>
          <wp:inline distT="0" distB="0" distL="114300" distR="114300">
            <wp:extent cx="6024880" cy="2112010"/>
            <wp:effectExtent l="0" t="0" r="13970" b="2540"/>
            <wp:docPr id="15" name="Picture 13" descr="图6-6 360度筋斗几何与平滑性对比" title="图6-6 360度筋斗几何与平滑性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图6-6 360度筋斗几何与平滑性对比" title="图6-6 360度筋斗几何与平滑性对比"/>
                    <pic:cNvPicPr>
                      <a:picLocks noChangeAspect="1"/>
                    </pic:cNvPicPr>
                  </pic:nvPicPr>
                  <pic:blipFill>
                    <a:blip r:embed="rId18"/>
                    <a:stretch>
                      <a:fillRect/>
                    </a:stretch>
                  </pic:blipFill>
                  <pic:spPr>
                    <a:xfrm>
                      <a:off x="0" y="0"/>
                      <a:ext cx="6024880" cy="2112010"/>
                    </a:xfrm>
                    <a:prstGeom prst="rect">
                      <a:avLst/>
                    </a:prstGeom>
                  </pic:spPr>
                </pic:pic>
              </a:graphicData>
            </a:graphic>
          </wp:inline>
        </w:drawing>
      </w:r>
    </w:p>
    <w:p w14:paraId="0CF1B2D2">
      <w:pPr>
        <w:pStyle w:val="5"/>
        <w:bidi w:val="0"/>
        <w:jc w:val="center"/>
      </w:pPr>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w:t>
      </w:r>
      <w:r>
        <w:t>360度筋斗几何与平滑性对比</w:t>
      </w:r>
    </w:p>
    <w:p w14:paraId="1AB8A61D">
      <w:pPr>
        <w:ind w:firstLine="600" w:firstLineChars="200"/>
        <w:rPr>
          <w:rFonts w:hint="eastAsia"/>
          <w:lang w:val="en-US" w:eastAsia="zh-CN"/>
        </w:rPr>
      </w:pPr>
      <w:r>
        <w:rPr>
          <w:rFonts w:hint="eastAsia"/>
          <w:lang w:val="en-US" w:eastAsia="zh-CN"/>
        </w:rPr>
        <w:t>五次多项式方法的曲率半径在23.87～40.12 m之间变化；B样条方法将其收缩到30.34～34.88 m。两条轨迹的总体宽度和高度接近，但B样条轨迹更接近均匀回路，局部曲率的峰谷明显减少。</w:t>
      </w:r>
    </w:p>
    <w:p w14:paraId="2DA8F24D">
      <w:pPr>
        <w:ind w:firstLine="600" w:firstLineChars="200"/>
        <w:rPr>
          <w:rFonts w:hint="eastAsia"/>
          <w:lang w:val="en-US" w:eastAsia="zh-CN"/>
        </w:rPr>
      </w:pPr>
      <w:r>
        <w:rPr>
          <w:rFonts w:hint="eastAsia"/>
          <w:lang w:val="en-US" w:eastAsia="zh-CN"/>
        </w:rPr>
        <w:t>五次多项式方法的均方根jerk为8.292 m/s³，B样条方法降至6.673 m/s³，下降19.53%；均方根曲率变化率由0.011197降至0.0017341/(m·s)，下降84.51%。因此，B样条方法在保持闭合边界和路径尺度的同时，显著降低了整周动作中的几何</w:t>
      </w:r>
      <w:bookmarkStart w:id="14" w:name="_GoBack"/>
      <w:bookmarkEnd w:id="14"/>
      <w:r>
        <w:rPr>
          <w:rFonts w:hint="eastAsia"/>
          <w:lang w:val="en-US" w:eastAsia="zh-CN"/>
        </w:rPr>
        <w:t>变化强度。</w:t>
      </w:r>
    </w:p>
    <w:p w14:paraId="42913266">
      <w:pPr>
        <w:pStyle w:val="4"/>
        <w:bidi w:val="0"/>
      </w:pPr>
      <w:r>
        <w:t>6.2.3 360度筋斗平滑性与控制意义</w:t>
      </w:r>
    </w:p>
    <w:p w14:paraId="2BB48503">
      <w:pPr>
        <w:ind w:firstLine="600" w:firstLineChars="200"/>
        <w:rPr/>
      </w:pPr>
      <w:r>
        <w:t>仅从闭合轨迹轮廓看，两种筋斗都满足任务要求，但控制器真正需要跟踪的是随时间变化的位置、速度和加速度。五次多项式各段虽然达到C²连续，但分段边界给定的二阶导数会在一周内形成若干曲率峰谷，使法向加速度V²/R及其变化率起伏；这种起伏不会造成位置或切向不连续，却会使升降舵指令和俯仰角速度需求更频繁地调整。B样条优化降低半径变化幅度后，加速度方向和大小的变化更均匀。</w:t>
      </w:r>
    </w:p>
    <w:p w14:paraId="517B912A">
      <w:pPr>
        <w:ind w:firstLine="600" w:firstLineChars="200"/>
        <w:rPr/>
      </w:pPr>
      <w:r>
        <w:t>最大jerk从14.198降至8.309 m/s³，下降41.48%；均方根jerk下降19.53%。峰值指标反映最不利瞬间，均方根指标反映全动作平均强度，两者同步下降说明B样条没有通过牺牲少数区段来换取平均指标改善。</w:t>
      </w:r>
    </w:p>
    <w:p w14:paraId="32F64159">
      <w:pPr>
        <w:ind w:firstLine="600" w:firstLineChars="200"/>
      </w:pPr>
      <w:r>
        <w:t>曲率变化率均方根下降84.51%，其改善幅度大于jerk。这是因为jerk除曲率变化外还受统一速度规律、重力方向投影和时间重采样影响，不能随曲率变化率按同一比例下降。该差异也说明几何指标和动力学指标不能互相替代：曲率更平滑通常有利于控制，但最终仍需用加速度、jerk和气动力需求进行验证。</w:t>
      </w:r>
    </w:p>
    <w:p w14:paraId="5DEA9685">
      <w:pPr>
        <w:pStyle w:val="4"/>
        <w:bidi w:val="0"/>
      </w:pPr>
      <w:r>
        <w:t>6.2.4 殷麦曼机动几何对比</w:t>
      </w:r>
    </w:p>
    <w:p w14:paraId="172A2051">
      <w:pPr>
        <w:ind w:firstLine="600" w:firstLineChars="200"/>
      </w:pPr>
      <w:r>
        <w:t>殷麦曼机动路径长度为100.530 m，持续时间约5.373 s。两种方法均从100 m初始高度进入动作，并在164 m高度反向退出；前向终端位置回到起点投影，累计航迹转角为180°，顶部滚转角为180°。这些结果说明两种方法都完成了殷麦曼机动几何和姿态边界。</w:t>
      </w:r>
    </w:p>
    <w:p w14:paraId="0BF204C9">
      <w:pPr>
        <w:jc w:val="center"/>
      </w:pPr>
      <w:r>
        <w:drawing>
          <wp:inline distT="0" distB="0" distL="114300" distR="114300">
            <wp:extent cx="6156325" cy="2159000"/>
            <wp:effectExtent l="0" t="0" r="15875" b="12700"/>
            <wp:docPr id="16" name="Picture 14" descr="图6-7 殷麦曼机动几何与平滑性对比" title="图6-7 殷麦曼机动几何与平滑性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图6-7 殷麦曼机动几何与平滑性对比" title="图6-7 殷麦曼机动几何与平滑性对比"/>
                    <pic:cNvPicPr>
                      <a:picLocks noChangeAspect="1"/>
                    </pic:cNvPicPr>
                  </pic:nvPicPr>
                  <pic:blipFill>
                    <a:blip r:embed="rId19"/>
                    <a:stretch>
                      <a:fillRect/>
                    </a:stretch>
                  </pic:blipFill>
                  <pic:spPr>
                    <a:xfrm>
                      <a:off x="0" y="0"/>
                      <a:ext cx="6156325" cy="2159000"/>
                    </a:xfrm>
                    <a:prstGeom prst="rect">
                      <a:avLst/>
                    </a:prstGeom>
                  </pic:spPr>
                </pic:pic>
              </a:graphicData>
            </a:graphic>
          </wp:inline>
        </w:drawing>
      </w:r>
    </w:p>
    <w:p w14:paraId="31E8813A">
      <w:pPr>
        <w:pStyle w:val="5"/>
        <w:bidi w:val="0"/>
        <w:jc w:val="center"/>
      </w:pPr>
      <w:r>
        <w:t xml:space="preserve">图 </w:t>
      </w:r>
      <w:r>
        <w:fldChar w:fldCharType="begin"/>
      </w:r>
      <w:r>
        <w:instrText xml:space="preserve"> SEQ 图 \* ARABIC </w:instrText>
      </w:r>
      <w:r>
        <w:fldChar w:fldCharType="separate"/>
      </w:r>
      <w:r>
        <w:t>7</w:t>
      </w:r>
      <w:r>
        <w:fldChar w:fldCharType="end"/>
      </w:r>
      <w:r>
        <w:rPr>
          <w:rFonts w:hint="eastAsia"/>
          <w:lang w:val="en-US" w:eastAsia="zh-CN"/>
        </w:rPr>
        <w:t xml:space="preserve"> </w:t>
      </w:r>
      <w:r>
        <w:t>殷麦曼机动几何与平滑性对比</w:t>
      </w:r>
    </w:p>
    <w:p w14:paraId="462097B1">
      <w:pPr>
        <w:bidi w:val="0"/>
        <w:ind w:firstLine="600" w:firstLineChars="200"/>
      </w:pPr>
      <w:r>
        <w:t>五次多项式殷麦曼机动曲率半径为23.87～40.12 m，B样条结果为30.57～33.87 m。从轨迹图看，两者均保持连续的拱形上升，但五次多项式轨迹在侧部和顶部附近存在更明显的曲率起伏；B样条优化后半径变化平缓，动作几何更接近单调、连续的半回路。</w:t>
      </w:r>
    </w:p>
    <w:p w14:paraId="53345B51">
      <w:pPr>
        <w:bidi w:val="0"/>
        <w:ind w:firstLine="600" w:firstLineChars="200"/>
      </w:pPr>
      <w:r>
        <w:t>殷麦曼机动均方根jerk由8.299降至6.662 m/s³，下降19.72%；均方根曲率变化率下降84.30%。该结果与完整筋斗趋势一致，说明B样条方法的平滑性改善并非只发生在周期闭合轨迹上，对开放式殷麦曼机动同样有效。</w:t>
      </w:r>
    </w:p>
    <w:p w14:paraId="3ACC70FC">
      <w:pPr>
        <w:bidi w:val="0"/>
        <w:ind w:firstLine="600" w:firstLineChars="200"/>
        <w:rPr/>
      </w:pPr>
      <w:r>
        <w:t>殷麦曼机动是开放轨迹，优化器不仅要改善中间区段，还必须同时满足终端位置、高度和反向航迹方向。因此，若节点自由度不足，优化可能出现终端正确但中部曲率突变，或中部平滑但终端误差超限。本测试使用9个节点和端点零一阶导数条件，在保持终端约束的同时，使进入和退出区段的曲率变化保持平缓。</w:t>
      </w:r>
    </w:p>
    <w:p w14:paraId="1D3172C7">
      <w:pPr>
        <w:bidi w:val="0"/>
        <w:ind w:firstLine="600" w:firstLineChars="200"/>
        <w:rPr/>
      </w:pPr>
      <w:r>
        <w:t>五次多项式与B样条殷麦曼机动的路径长度差小于0.001166 m，持续时间差小于0.000096 s。因此，两者在飞行距离和时间预算上等价。B样条方法的jerk下降不能解释为简单延长动作，而是来自曲率节点重新分配。</w:t>
      </w:r>
    </w:p>
    <w:p w14:paraId="68659664">
      <w:pPr>
        <w:bidi w:val="0"/>
        <w:ind w:firstLine="600" w:firstLineChars="200"/>
        <w:rPr/>
      </w:pPr>
      <w:r>
        <w:t>殷麦曼机动最大jerk下降40.99%，均方根jerk下降19.72%，均方根曲率变化率下降84.30%。同时，顶部半滚转时序保持不变，说明这些改善来源于纵向轨迹本身，而非降低滚转要求。</w:t>
      </w:r>
    </w:p>
    <w:p w14:paraId="256445D6">
      <w:pPr>
        <w:pStyle w:val="4"/>
        <w:bidi w:val="0"/>
      </w:pPr>
      <w:r>
        <w:t>6.2.</w:t>
      </w:r>
      <w:r>
        <w:rPr>
          <w:rFonts w:hint="eastAsia"/>
          <w:lang w:val="en-US" w:eastAsia="zh-CN"/>
        </w:rPr>
        <w:t>5</w:t>
      </w:r>
      <w:r>
        <w:t xml:space="preserve"> 优化收敛、计算代价与重复性</w:t>
      </w:r>
    </w:p>
    <w:p w14:paraId="1C98E29C">
      <w:pPr>
        <w:ind w:firstLine="600" w:firstLineChars="200"/>
      </w:pPr>
      <w:r>
        <w:t>数值优化方法除了比较轨迹质量，还必须报告是否稳定收敛以及需要多少计算量。本测试保存每次求解的初始目标值、最终目标值、迭代次数、目标函数计算次数、等式约束残差和不等式约束裕量。两种动作均由五次多项式可行轨迹初始化，优化结束标志为SLSQP满足收敛条件，而不是达到最大迭代次数后强制接受结果。</w:t>
      </w:r>
    </w:p>
    <w:p w14:paraId="122788A2">
      <w:pPr>
        <w:ind w:firstLine="600" w:firstLineChars="200"/>
      </w:pPr>
      <w:r>
        <w:drawing>
          <wp:inline distT="0" distB="0" distL="114300" distR="114300">
            <wp:extent cx="5475605" cy="1897380"/>
            <wp:effectExtent l="0" t="0" r="10795" b="7620"/>
            <wp:docPr id="17" name="Picture 15" descr="图6-8 B样条约束优化的收敛与计算代价" title="图6-8 B样条约束优化的收敛与计算代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图6-8 B样条约束优化的收敛与计算代价" title="图6-8 B样条约束优化的收敛与计算代价"/>
                    <pic:cNvPicPr>
                      <a:picLocks noChangeAspect="1"/>
                    </pic:cNvPicPr>
                  </pic:nvPicPr>
                  <pic:blipFill>
                    <a:blip r:embed="rId20"/>
                    <a:stretch>
                      <a:fillRect/>
                    </a:stretch>
                  </pic:blipFill>
                  <pic:spPr>
                    <a:xfrm>
                      <a:off x="0" y="0"/>
                      <a:ext cx="5475605" cy="1897380"/>
                    </a:xfrm>
                    <a:prstGeom prst="rect">
                      <a:avLst/>
                    </a:prstGeom>
                  </pic:spPr>
                </pic:pic>
              </a:graphicData>
            </a:graphic>
          </wp:inline>
        </w:drawing>
      </w:r>
    </w:p>
    <w:p w14:paraId="0D3D0E4F">
      <w:pPr>
        <w:pStyle w:val="5"/>
        <w:bidi w:val="0"/>
        <w:jc w:val="cente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w:t>
      </w:r>
      <w:r>
        <w:rPr>
          <w:rFonts w:ascii="Times New Roman" w:hAnsi="Times New Roman" w:eastAsia="宋体"/>
          <w:sz w:val="18"/>
        </w:rPr>
        <w:t>B样条约束优化的收敛与计算代价</w:t>
      </w:r>
    </w:p>
    <w:p w14:paraId="07354D58">
      <w:pPr>
        <w:pStyle w:val="5"/>
        <w:ind w:firstLine="400" w:firstLineChars="200"/>
        <w:rPr/>
      </w:pPr>
    </w:p>
    <w:p w14:paraId="13E09F4E">
      <w:pPr>
        <w:ind w:firstLine="600" w:firstLineChars="200"/>
      </w:pPr>
      <w:r>
        <w:t>筋斗求解时间约2.284 s，殷麦曼机动约0.796 s；五次多项式方法对应时间分别约0.0108 s和0.0037 s。B样条方法明显更慢，但在当前离线轨迹生成任务中仍属于秒级，不会成为报告实验或训练数据预处理的主要瓶颈。</w:t>
      </w:r>
    </w:p>
    <w:p w14:paraId="0A010200">
      <w:pPr>
        <w:pStyle w:val="4"/>
        <w:bidi w:val="0"/>
      </w:pPr>
      <w:r>
        <w:t>6.2.</w:t>
      </w:r>
      <w:r>
        <w:rPr>
          <w:rFonts w:hint="eastAsia"/>
          <w:lang w:val="en-US" w:eastAsia="zh-CN"/>
        </w:rPr>
        <w:t>6</w:t>
      </w:r>
      <w:r>
        <w:t xml:space="preserve"> 几何指标综合评估</w:t>
      </w:r>
    </w:p>
    <w:p w14:paraId="6D39B9F2">
      <w:pPr>
        <w:ind w:firstLine="600" w:firstLineChars="200"/>
      </w:pPr>
      <w:r>
        <w:t>四组轨迹均通过终端位置、动作平面、终端航迹转角、终端滚转角和最小曲率半径检查。五次多项式方法的优势是生成时间短，动作边界由五次多项式边界条件直接保证；B样条方法的优势是能够在相同边界下重新分配曲率，减少jerk和曲率变化率。两者的路径长度和动作时间基本一致，因此平滑性改善不是通过显著放大动作空间或延长飞行时间取得的。</w:t>
      </w:r>
    </w:p>
    <w:p w14:paraId="2AA3E124">
      <w:r>
        <w:drawing>
          <wp:inline distT="0" distB="0" distL="114300" distR="114300">
            <wp:extent cx="5808345" cy="3362960"/>
            <wp:effectExtent l="0" t="0" r="1905" b="8890"/>
            <wp:docPr id="18" name="Picture 16" descr="图6-9 双传统方法关键指标对比" title="图6-9 双传统方法关键指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图6-9 双传统方法关键指标对比" title="图6-9 双传统方法关键指标对比"/>
                    <pic:cNvPicPr>
                      <a:picLocks noChangeAspect="1"/>
                    </pic:cNvPicPr>
                  </pic:nvPicPr>
                  <pic:blipFill>
                    <a:blip r:embed="rId21"/>
                    <a:stretch>
                      <a:fillRect/>
                    </a:stretch>
                  </pic:blipFill>
                  <pic:spPr>
                    <a:xfrm>
                      <a:off x="0" y="0"/>
                      <a:ext cx="5808345" cy="3362960"/>
                    </a:xfrm>
                    <a:prstGeom prst="rect">
                      <a:avLst/>
                    </a:prstGeom>
                  </pic:spPr>
                </pic:pic>
              </a:graphicData>
            </a:graphic>
          </wp:inline>
        </w:drawing>
      </w:r>
    </w:p>
    <w:p w14:paraId="43983200">
      <w:pPr>
        <w:pStyle w:val="5"/>
        <w:bidi w:val="0"/>
        <w:jc w:val="center"/>
        <w:rPr/>
      </w:pPr>
      <w:r>
        <w:t xml:space="preserve">图 </w:t>
      </w:r>
      <w:r>
        <w:fldChar w:fldCharType="begin"/>
      </w:r>
      <w:r>
        <w:instrText xml:space="preserve"> SEQ 图 \* ARABIC </w:instrText>
      </w:r>
      <w:r>
        <w:fldChar w:fldCharType="separate"/>
      </w:r>
      <w:r>
        <w:t>9</w:t>
      </w:r>
      <w:r>
        <w:fldChar w:fldCharType="end"/>
      </w:r>
      <w:r>
        <w:rPr>
          <w:rFonts w:ascii="Times New Roman" w:hAnsi="Times New Roman" w:eastAsia="宋体"/>
          <w:sz w:val="18"/>
        </w:rPr>
        <w:t>双传统方法关键指标对比</w:t>
      </w:r>
    </w:p>
    <w:p w14:paraId="6D71B1A6">
      <w:pPr>
        <w:ind w:firstLine="600" w:firstLineChars="200"/>
      </w:pPr>
      <w:r>
        <w:t>完整筋斗中，B样条方法的最大jerk由14.198降至8.309 m/s³；殷麦曼机动中由14.196降至8.377 m/s³。这种峰值与均方根同时下降的结果，说明改善覆盖了局部峰值和整段轨迹，而不只是把变化从一个时间点移动到另一个时间点。</w:t>
      </w:r>
    </w:p>
    <w:p w14:paraId="145850AE">
      <w:pPr>
        <w:pStyle w:val="3"/>
        <w:bidi w:val="0"/>
      </w:pPr>
      <w:r>
        <w:t>6.3 实际飞机动力学的表现与评估</w:t>
      </w:r>
    </w:p>
    <w:p w14:paraId="0EA3EEE7">
      <w:pPr>
        <w:pStyle w:val="4"/>
        <w:spacing w:before="60" w:after="80"/>
      </w:pPr>
      <w:r>
        <w:rPr>
          <w:rFonts w:ascii="Arial" w:hAnsi="Arial" w:eastAsia="黑体"/>
          <w:b/>
          <w:sz w:val="24"/>
        </w:rPr>
        <w:t>6.3.1 飞机参数、气动数据与评价方法</w:t>
      </w:r>
    </w:p>
    <w:p w14:paraId="48EECD29">
      <w:pPr>
        <w:pStyle w:val="14"/>
        <w:ind w:firstLine="420"/>
        <w:jc w:val="both"/>
      </w:pPr>
      <w:r>
        <w:rPr>
          <w:rFonts w:ascii="Times New Roman" w:hAnsi="Times New Roman" w:eastAsia="宋体"/>
          <w:sz w:val="21"/>
        </w:rPr>
        <w:t>动力学结合性评价使用微小型固定翼无人机质量3.0 kg、机翼面积0.24 m²、翼展1.2 m和平均气动弦长0.2 m。转动惯量采用Ix=0.08、Iy=0.10、Iz=0.15 kg·m²。气动系数来自fixuav12222015.mat中的Tornado涡格法数据库，当前主要使用迎角—升力系数关系反查轨迹所需迎角。</w:t>
      </w:r>
    </w:p>
    <w:p w14:paraId="2482EDCA">
      <w:pPr>
        <w:pStyle w:val="14"/>
        <w:ind w:firstLine="420"/>
        <w:jc w:val="both"/>
      </w:pPr>
      <w:r>
        <w:rPr>
          <w:rFonts w:ascii="Times New Roman" w:hAnsi="Times New Roman" w:eastAsia="宋体"/>
          <w:sz w:val="21"/>
        </w:rPr>
        <w:t>评价不把轨迹直接输入未经确认的全六自由度闭环模型，而是先做参考轨迹逆动力学。程序由速度和曲率计算切向与法向加速度，扣除重力后得到维持参考运动所需的合力，再换算为法向过载、气动力系数和升力裕度。殷麦曼机动顶部滚转时，还把所需法向力分解到机翼升力方向和机体侧向，用于检查滚转引入的侧向力需求。</w:t>
      </w:r>
    </w:p>
    <w:p w14:paraId="60C0FBF8">
      <w:pPr>
        <w:pStyle w:val="15"/>
        <w:spacing w:before="40" w:after="80"/>
        <w:jc w:val="center"/>
      </w:pPr>
      <w:r>
        <w:drawing>
          <wp:inline distT="0" distB="0" distL="114300" distR="114300">
            <wp:extent cx="5257800" cy="356870"/>
            <wp:effectExtent l="0" t="0" r="0" b="5080"/>
            <wp:docPr id="19" name="Picture 17" descr="过载、气动力系数与升力裕度指标" title="过载、气动力系数与升力裕度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过载、气动力系数与升力裕度指标" title="过载、气动力系数与升力裕度指标"/>
                    <pic:cNvPicPr>
                      <a:picLocks noChangeAspect="1"/>
                    </pic:cNvPicPr>
                  </pic:nvPicPr>
                  <pic:blipFill>
                    <a:blip r:embed="rId22"/>
                    <a:stretch>
                      <a:fillRect/>
                    </a:stretch>
                  </pic:blipFill>
                  <pic:spPr>
                    <a:xfrm>
                      <a:off x="0" y="0"/>
                      <a:ext cx="5257800" cy="357326"/>
                    </a:xfrm>
                    <a:prstGeom prst="rect">
                      <a:avLst/>
                    </a:prstGeom>
                  </pic:spPr>
                </pic:pic>
              </a:graphicData>
            </a:graphic>
          </wp:inline>
        </w:drawing>
      </w:r>
    </w:p>
    <w:tbl>
      <w:tblPr>
        <w:tblStyle w:val="12"/>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1"/>
        <w:gridCol w:w="2845"/>
        <w:gridCol w:w="1873"/>
        <w:gridCol w:w="3261"/>
      </w:tblGrid>
      <w:tr w14:paraId="32D05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41" w:type="dxa"/>
            <w:shd w:val="clear" w:color="auto" w:fill="D9EAF7"/>
            <w:tcMar>
              <w:top w:w="80" w:type="dxa"/>
              <w:left w:w="100" w:type="dxa"/>
              <w:bottom w:w="80" w:type="dxa"/>
              <w:right w:w="100" w:type="dxa"/>
            </w:tcMar>
            <w:vAlign w:val="center"/>
          </w:tcPr>
          <w:p w14:paraId="5A28A59A">
            <w:pPr>
              <w:jc w:val="center"/>
            </w:pPr>
            <w:r>
              <w:rPr>
                <w:rFonts w:ascii="Arial" w:hAnsi="Arial" w:eastAsia="黑体"/>
                <w:b/>
                <w:sz w:val="16"/>
              </w:rPr>
              <w:t>类别</w:t>
            </w:r>
          </w:p>
        </w:tc>
        <w:tc>
          <w:tcPr>
            <w:tcW w:w="2845" w:type="dxa"/>
            <w:shd w:val="clear" w:color="auto" w:fill="D9EAF7"/>
            <w:tcMar>
              <w:top w:w="80" w:type="dxa"/>
              <w:left w:w="100" w:type="dxa"/>
              <w:bottom w:w="80" w:type="dxa"/>
              <w:right w:w="100" w:type="dxa"/>
            </w:tcMar>
            <w:vAlign w:val="center"/>
          </w:tcPr>
          <w:p w14:paraId="5B140720">
            <w:pPr>
              <w:jc w:val="center"/>
            </w:pPr>
            <w:r>
              <w:rPr>
                <w:rFonts w:ascii="Arial" w:hAnsi="Arial" w:eastAsia="黑体"/>
                <w:b/>
                <w:sz w:val="16"/>
              </w:rPr>
              <w:t>评价指标</w:t>
            </w:r>
          </w:p>
        </w:tc>
        <w:tc>
          <w:tcPr>
            <w:tcW w:w="1873" w:type="dxa"/>
            <w:shd w:val="clear" w:color="auto" w:fill="D9EAF7"/>
            <w:tcMar>
              <w:top w:w="80" w:type="dxa"/>
              <w:left w:w="100" w:type="dxa"/>
              <w:bottom w:w="80" w:type="dxa"/>
              <w:right w:w="100" w:type="dxa"/>
            </w:tcMar>
            <w:vAlign w:val="center"/>
          </w:tcPr>
          <w:p w14:paraId="4DCA9A74">
            <w:pPr>
              <w:jc w:val="center"/>
            </w:pPr>
            <w:r>
              <w:rPr>
                <w:rFonts w:ascii="Arial" w:hAnsi="Arial" w:eastAsia="黑体"/>
                <w:b/>
                <w:sz w:val="16"/>
              </w:rPr>
              <w:t>当前阈值</w:t>
            </w:r>
          </w:p>
        </w:tc>
        <w:tc>
          <w:tcPr>
            <w:tcW w:w="3261" w:type="dxa"/>
            <w:shd w:val="clear" w:color="auto" w:fill="D9EAF7"/>
            <w:tcMar>
              <w:top w:w="80" w:type="dxa"/>
              <w:left w:w="100" w:type="dxa"/>
              <w:bottom w:w="80" w:type="dxa"/>
              <w:right w:w="100" w:type="dxa"/>
            </w:tcMar>
            <w:vAlign w:val="center"/>
          </w:tcPr>
          <w:p w14:paraId="7C24FE03">
            <w:pPr>
              <w:jc w:val="center"/>
            </w:pPr>
            <w:r>
              <w:rPr>
                <w:rFonts w:ascii="Arial" w:hAnsi="Arial" w:eastAsia="黑体"/>
                <w:b/>
                <w:sz w:val="16"/>
              </w:rPr>
              <w:t>判定含义</w:t>
            </w:r>
          </w:p>
        </w:tc>
      </w:tr>
      <w:tr w14:paraId="3C9E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1" w:type="dxa"/>
            <w:tcMar>
              <w:top w:w="80" w:type="dxa"/>
              <w:left w:w="100" w:type="dxa"/>
              <w:bottom w:w="80" w:type="dxa"/>
              <w:right w:w="100" w:type="dxa"/>
            </w:tcMar>
            <w:vAlign w:val="center"/>
          </w:tcPr>
          <w:p w14:paraId="3DFD48D1">
            <w:pPr>
              <w:jc w:val="center"/>
            </w:pPr>
            <w:r>
              <w:rPr>
                <w:rFonts w:ascii="Times New Roman" w:hAnsi="Times New Roman" w:eastAsia="宋体"/>
                <w:sz w:val="16"/>
              </w:rPr>
              <w:t>几何</w:t>
            </w:r>
          </w:p>
        </w:tc>
        <w:tc>
          <w:tcPr>
            <w:tcW w:w="2845" w:type="dxa"/>
            <w:tcMar>
              <w:top w:w="80" w:type="dxa"/>
              <w:left w:w="100" w:type="dxa"/>
              <w:bottom w:w="80" w:type="dxa"/>
              <w:right w:w="100" w:type="dxa"/>
            </w:tcMar>
            <w:vAlign w:val="center"/>
          </w:tcPr>
          <w:p w14:paraId="6AF8021F">
            <w:pPr>
              <w:jc w:val="center"/>
            </w:pPr>
            <w:r>
              <w:rPr>
                <w:rFonts w:ascii="Times New Roman" w:hAnsi="Times New Roman" w:eastAsia="宋体"/>
                <w:sz w:val="16"/>
              </w:rPr>
              <w:t>终端位置误差</w:t>
            </w:r>
          </w:p>
        </w:tc>
        <w:tc>
          <w:tcPr>
            <w:tcW w:w="1873" w:type="dxa"/>
            <w:tcMar>
              <w:top w:w="80" w:type="dxa"/>
              <w:left w:w="100" w:type="dxa"/>
              <w:bottom w:w="80" w:type="dxa"/>
              <w:right w:w="100" w:type="dxa"/>
            </w:tcMar>
            <w:vAlign w:val="center"/>
          </w:tcPr>
          <w:p w14:paraId="5EE61D86">
            <w:pPr>
              <w:jc w:val="center"/>
            </w:pPr>
            <w:r>
              <w:rPr>
                <w:rFonts w:ascii="Times New Roman" w:hAnsi="Times New Roman" w:eastAsia="宋体"/>
                <w:sz w:val="16"/>
              </w:rPr>
              <w:t>≤0.05 m</w:t>
            </w:r>
          </w:p>
        </w:tc>
        <w:tc>
          <w:tcPr>
            <w:tcW w:w="3261" w:type="dxa"/>
            <w:tcMar>
              <w:top w:w="80" w:type="dxa"/>
              <w:left w:w="100" w:type="dxa"/>
              <w:bottom w:w="80" w:type="dxa"/>
              <w:right w:w="100" w:type="dxa"/>
            </w:tcMar>
            <w:vAlign w:val="center"/>
          </w:tcPr>
          <w:p w14:paraId="27FA5367">
            <w:pPr>
              <w:jc w:val="center"/>
            </w:pPr>
            <w:r>
              <w:rPr>
                <w:rFonts w:ascii="Times New Roman" w:hAnsi="Times New Roman" w:eastAsia="宋体"/>
                <w:sz w:val="16"/>
              </w:rPr>
              <w:t>动作边界一致性</w:t>
            </w:r>
          </w:p>
        </w:tc>
      </w:tr>
      <w:tr w14:paraId="71D87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1" w:type="dxa"/>
            <w:tcMar>
              <w:top w:w="80" w:type="dxa"/>
              <w:left w:w="100" w:type="dxa"/>
              <w:bottom w:w="80" w:type="dxa"/>
              <w:right w:w="100" w:type="dxa"/>
            </w:tcMar>
            <w:vAlign w:val="center"/>
          </w:tcPr>
          <w:p w14:paraId="18936F98">
            <w:pPr>
              <w:jc w:val="center"/>
            </w:pPr>
            <w:r>
              <w:rPr>
                <w:rFonts w:ascii="Times New Roman" w:hAnsi="Times New Roman" w:eastAsia="宋体"/>
                <w:sz w:val="16"/>
              </w:rPr>
              <w:t>几何</w:t>
            </w:r>
          </w:p>
        </w:tc>
        <w:tc>
          <w:tcPr>
            <w:tcW w:w="2845" w:type="dxa"/>
            <w:tcMar>
              <w:top w:w="80" w:type="dxa"/>
              <w:left w:w="100" w:type="dxa"/>
              <w:bottom w:w="80" w:type="dxa"/>
              <w:right w:w="100" w:type="dxa"/>
            </w:tcMar>
            <w:vAlign w:val="center"/>
          </w:tcPr>
          <w:p w14:paraId="0BC0572D">
            <w:pPr>
              <w:jc w:val="center"/>
            </w:pPr>
            <w:r>
              <w:rPr>
                <w:rFonts w:ascii="Times New Roman" w:hAnsi="Times New Roman" w:eastAsia="宋体"/>
                <w:sz w:val="16"/>
              </w:rPr>
              <w:t>终端角度误差</w:t>
            </w:r>
          </w:p>
        </w:tc>
        <w:tc>
          <w:tcPr>
            <w:tcW w:w="1873" w:type="dxa"/>
            <w:tcMar>
              <w:top w:w="80" w:type="dxa"/>
              <w:left w:w="100" w:type="dxa"/>
              <w:bottom w:w="80" w:type="dxa"/>
              <w:right w:w="100" w:type="dxa"/>
            </w:tcMar>
            <w:vAlign w:val="center"/>
          </w:tcPr>
          <w:p w14:paraId="04BA7EEB">
            <w:pPr>
              <w:jc w:val="center"/>
            </w:pPr>
            <w:r>
              <w:rPr>
                <w:rFonts w:ascii="Times New Roman" w:hAnsi="Times New Roman" w:eastAsia="宋体"/>
                <w:sz w:val="16"/>
              </w:rPr>
              <w:t>≤0.5°</w:t>
            </w:r>
          </w:p>
        </w:tc>
        <w:tc>
          <w:tcPr>
            <w:tcW w:w="3261" w:type="dxa"/>
            <w:tcMar>
              <w:top w:w="80" w:type="dxa"/>
              <w:left w:w="100" w:type="dxa"/>
              <w:bottom w:w="80" w:type="dxa"/>
              <w:right w:w="100" w:type="dxa"/>
            </w:tcMar>
            <w:vAlign w:val="center"/>
          </w:tcPr>
          <w:p w14:paraId="6F7646A0">
            <w:pPr>
              <w:jc w:val="center"/>
            </w:pPr>
            <w:r>
              <w:rPr>
                <w:rFonts w:ascii="Times New Roman" w:hAnsi="Times New Roman" w:eastAsia="宋体"/>
                <w:sz w:val="16"/>
              </w:rPr>
              <w:t>航迹转角与滚转角</w:t>
            </w:r>
          </w:p>
        </w:tc>
      </w:tr>
      <w:tr w14:paraId="69FD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1" w:type="dxa"/>
            <w:tcMar>
              <w:top w:w="80" w:type="dxa"/>
              <w:left w:w="100" w:type="dxa"/>
              <w:bottom w:w="80" w:type="dxa"/>
              <w:right w:w="100" w:type="dxa"/>
            </w:tcMar>
            <w:vAlign w:val="center"/>
          </w:tcPr>
          <w:p w14:paraId="5E72536C">
            <w:pPr>
              <w:jc w:val="center"/>
            </w:pPr>
            <w:r>
              <w:rPr>
                <w:rFonts w:ascii="Times New Roman" w:hAnsi="Times New Roman" w:eastAsia="宋体"/>
                <w:sz w:val="16"/>
              </w:rPr>
              <w:t>几何</w:t>
            </w:r>
          </w:p>
        </w:tc>
        <w:tc>
          <w:tcPr>
            <w:tcW w:w="2845" w:type="dxa"/>
            <w:tcMar>
              <w:top w:w="80" w:type="dxa"/>
              <w:left w:w="100" w:type="dxa"/>
              <w:bottom w:w="80" w:type="dxa"/>
              <w:right w:w="100" w:type="dxa"/>
            </w:tcMar>
            <w:vAlign w:val="center"/>
          </w:tcPr>
          <w:p w14:paraId="0F9FBFA4">
            <w:pPr>
              <w:jc w:val="center"/>
            </w:pPr>
            <w:r>
              <w:rPr>
                <w:rFonts w:ascii="Times New Roman" w:hAnsi="Times New Roman" w:eastAsia="宋体"/>
                <w:sz w:val="16"/>
              </w:rPr>
              <w:t>最小曲率半径</w:t>
            </w:r>
          </w:p>
        </w:tc>
        <w:tc>
          <w:tcPr>
            <w:tcW w:w="1873" w:type="dxa"/>
            <w:tcMar>
              <w:top w:w="80" w:type="dxa"/>
              <w:left w:w="100" w:type="dxa"/>
              <w:bottom w:w="80" w:type="dxa"/>
              <w:right w:w="100" w:type="dxa"/>
            </w:tcMar>
            <w:vAlign w:val="center"/>
          </w:tcPr>
          <w:p w14:paraId="3711AFA4">
            <w:pPr>
              <w:jc w:val="center"/>
            </w:pPr>
            <w:r>
              <w:rPr>
                <w:rFonts w:ascii="Times New Roman" w:hAnsi="Times New Roman" w:eastAsia="宋体"/>
                <w:sz w:val="16"/>
              </w:rPr>
              <w:t>≥20 m</w:t>
            </w:r>
          </w:p>
        </w:tc>
        <w:tc>
          <w:tcPr>
            <w:tcW w:w="3261" w:type="dxa"/>
            <w:tcMar>
              <w:top w:w="80" w:type="dxa"/>
              <w:left w:w="100" w:type="dxa"/>
              <w:bottom w:w="80" w:type="dxa"/>
              <w:right w:w="100" w:type="dxa"/>
            </w:tcMar>
            <w:vAlign w:val="center"/>
          </w:tcPr>
          <w:p w14:paraId="18CF28EA">
            <w:pPr>
              <w:jc w:val="center"/>
            </w:pPr>
            <w:r>
              <w:rPr>
                <w:rFonts w:ascii="Times New Roman" w:hAnsi="Times New Roman" w:eastAsia="宋体"/>
                <w:sz w:val="16"/>
              </w:rPr>
              <w:t>规划级转弯能力</w:t>
            </w:r>
          </w:p>
        </w:tc>
      </w:tr>
      <w:tr w14:paraId="03E73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1" w:type="dxa"/>
            <w:tcMar>
              <w:top w:w="80" w:type="dxa"/>
              <w:left w:w="100" w:type="dxa"/>
              <w:bottom w:w="80" w:type="dxa"/>
              <w:right w:w="100" w:type="dxa"/>
            </w:tcMar>
            <w:vAlign w:val="center"/>
          </w:tcPr>
          <w:p w14:paraId="27BE0BB8">
            <w:pPr>
              <w:jc w:val="center"/>
            </w:pPr>
            <w:r>
              <w:rPr>
                <w:rFonts w:ascii="Times New Roman" w:hAnsi="Times New Roman" w:eastAsia="宋体"/>
                <w:sz w:val="16"/>
              </w:rPr>
              <w:t>包线</w:t>
            </w:r>
          </w:p>
        </w:tc>
        <w:tc>
          <w:tcPr>
            <w:tcW w:w="2845" w:type="dxa"/>
            <w:tcMar>
              <w:top w:w="80" w:type="dxa"/>
              <w:left w:w="100" w:type="dxa"/>
              <w:bottom w:w="80" w:type="dxa"/>
              <w:right w:w="100" w:type="dxa"/>
            </w:tcMar>
            <w:vAlign w:val="center"/>
          </w:tcPr>
          <w:p w14:paraId="536D55D5">
            <w:pPr>
              <w:jc w:val="center"/>
            </w:pPr>
            <w:r>
              <w:rPr>
                <w:rFonts w:ascii="Times New Roman" w:hAnsi="Times New Roman" w:eastAsia="宋体"/>
                <w:sz w:val="16"/>
              </w:rPr>
              <w:t>速度范围</w:t>
            </w:r>
          </w:p>
        </w:tc>
        <w:tc>
          <w:tcPr>
            <w:tcW w:w="1873" w:type="dxa"/>
            <w:tcMar>
              <w:top w:w="80" w:type="dxa"/>
              <w:left w:w="100" w:type="dxa"/>
              <w:bottom w:w="80" w:type="dxa"/>
              <w:right w:w="100" w:type="dxa"/>
            </w:tcMar>
            <w:vAlign w:val="center"/>
          </w:tcPr>
          <w:p w14:paraId="30BAF4EB">
            <w:pPr>
              <w:jc w:val="center"/>
            </w:pPr>
            <w:r>
              <w:rPr>
                <w:rFonts w:ascii="Times New Roman" w:hAnsi="Times New Roman" w:eastAsia="宋体"/>
                <w:sz w:val="16"/>
              </w:rPr>
              <w:t>16.5～20.5 m/s</w:t>
            </w:r>
          </w:p>
        </w:tc>
        <w:tc>
          <w:tcPr>
            <w:tcW w:w="3261" w:type="dxa"/>
            <w:tcMar>
              <w:top w:w="80" w:type="dxa"/>
              <w:left w:w="100" w:type="dxa"/>
              <w:bottom w:w="80" w:type="dxa"/>
              <w:right w:w="100" w:type="dxa"/>
            </w:tcMar>
            <w:vAlign w:val="center"/>
          </w:tcPr>
          <w:p w14:paraId="2215CF1F">
            <w:pPr>
              <w:jc w:val="center"/>
            </w:pPr>
            <w:r>
              <w:rPr>
                <w:rFonts w:ascii="Times New Roman" w:hAnsi="Times New Roman" w:eastAsia="宋体"/>
                <w:sz w:val="16"/>
              </w:rPr>
              <w:t>当前初步飞行包线</w:t>
            </w:r>
          </w:p>
        </w:tc>
      </w:tr>
      <w:tr w14:paraId="5627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1" w:type="dxa"/>
            <w:tcMar>
              <w:top w:w="80" w:type="dxa"/>
              <w:left w:w="100" w:type="dxa"/>
              <w:bottom w:w="80" w:type="dxa"/>
              <w:right w:w="100" w:type="dxa"/>
            </w:tcMar>
            <w:vAlign w:val="center"/>
          </w:tcPr>
          <w:p w14:paraId="6033468C">
            <w:pPr>
              <w:jc w:val="center"/>
            </w:pPr>
            <w:r>
              <w:rPr>
                <w:rFonts w:ascii="Times New Roman" w:hAnsi="Times New Roman" w:eastAsia="宋体"/>
                <w:sz w:val="16"/>
              </w:rPr>
              <w:t>载荷</w:t>
            </w:r>
          </w:p>
        </w:tc>
        <w:tc>
          <w:tcPr>
            <w:tcW w:w="2845" w:type="dxa"/>
            <w:tcMar>
              <w:top w:w="80" w:type="dxa"/>
              <w:left w:w="100" w:type="dxa"/>
              <w:bottom w:w="80" w:type="dxa"/>
              <w:right w:w="100" w:type="dxa"/>
            </w:tcMar>
            <w:vAlign w:val="center"/>
          </w:tcPr>
          <w:p w14:paraId="7095E91E">
            <w:pPr>
              <w:jc w:val="center"/>
            </w:pPr>
            <w:r>
              <w:rPr>
                <w:rFonts w:ascii="Times New Roman" w:hAnsi="Times New Roman" w:eastAsia="宋体"/>
                <w:sz w:val="16"/>
              </w:rPr>
              <w:t>最大法向过载</w:t>
            </w:r>
          </w:p>
        </w:tc>
        <w:tc>
          <w:tcPr>
            <w:tcW w:w="1873" w:type="dxa"/>
            <w:tcMar>
              <w:top w:w="80" w:type="dxa"/>
              <w:left w:w="100" w:type="dxa"/>
              <w:bottom w:w="80" w:type="dxa"/>
              <w:right w:w="100" w:type="dxa"/>
            </w:tcMar>
            <w:vAlign w:val="center"/>
          </w:tcPr>
          <w:p w14:paraId="69C7D546">
            <w:pPr>
              <w:jc w:val="center"/>
            </w:pPr>
            <w:r>
              <w:rPr>
                <w:rFonts w:ascii="Times New Roman" w:hAnsi="Times New Roman" w:eastAsia="宋体"/>
                <w:sz w:val="16"/>
              </w:rPr>
              <w:t>≤3.0 g</w:t>
            </w:r>
          </w:p>
        </w:tc>
        <w:tc>
          <w:tcPr>
            <w:tcW w:w="3261" w:type="dxa"/>
            <w:tcMar>
              <w:top w:w="80" w:type="dxa"/>
              <w:left w:w="100" w:type="dxa"/>
              <w:bottom w:w="80" w:type="dxa"/>
              <w:right w:w="100" w:type="dxa"/>
            </w:tcMar>
            <w:vAlign w:val="center"/>
          </w:tcPr>
          <w:p w14:paraId="76AF6F96">
            <w:pPr>
              <w:jc w:val="center"/>
            </w:pPr>
            <w:r>
              <w:rPr>
                <w:rFonts w:ascii="Times New Roman" w:hAnsi="Times New Roman" w:eastAsia="宋体"/>
                <w:sz w:val="16"/>
              </w:rPr>
              <w:t>结构限制待实测确认</w:t>
            </w:r>
          </w:p>
        </w:tc>
      </w:tr>
      <w:tr w14:paraId="7A38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1" w:type="dxa"/>
            <w:tcMar>
              <w:top w:w="80" w:type="dxa"/>
              <w:left w:w="100" w:type="dxa"/>
              <w:bottom w:w="80" w:type="dxa"/>
              <w:right w:w="100" w:type="dxa"/>
            </w:tcMar>
            <w:vAlign w:val="center"/>
          </w:tcPr>
          <w:p w14:paraId="6D8BEFD3">
            <w:pPr>
              <w:jc w:val="center"/>
            </w:pPr>
            <w:r>
              <w:rPr>
                <w:rFonts w:ascii="Times New Roman" w:hAnsi="Times New Roman" w:eastAsia="宋体"/>
                <w:sz w:val="16"/>
              </w:rPr>
              <w:t>气动</w:t>
            </w:r>
          </w:p>
        </w:tc>
        <w:tc>
          <w:tcPr>
            <w:tcW w:w="2845" w:type="dxa"/>
            <w:tcMar>
              <w:top w:w="80" w:type="dxa"/>
              <w:left w:w="100" w:type="dxa"/>
              <w:bottom w:w="80" w:type="dxa"/>
              <w:right w:w="100" w:type="dxa"/>
            </w:tcMar>
            <w:vAlign w:val="center"/>
          </w:tcPr>
          <w:p w14:paraId="6B11AD1C">
            <w:pPr>
              <w:jc w:val="center"/>
            </w:pPr>
            <w:r>
              <w:rPr>
                <w:rFonts w:ascii="Times New Roman" w:hAnsi="Times New Roman" w:eastAsia="宋体"/>
                <w:sz w:val="16"/>
              </w:rPr>
              <w:t>估算迎角需求</w:t>
            </w:r>
          </w:p>
        </w:tc>
        <w:tc>
          <w:tcPr>
            <w:tcW w:w="1873" w:type="dxa"/>
            <w:tcMar>
              <w:top w:w="80" w:type="dxa"/>
              <w:left w:w="100" w:type="dxa"/>
              <w:bottom w:w="80" w:type="dxa"/>
              <w:right w:w="100" w:type="dxa"/>
            </w:tcMar>
            <w:vAlign w:val="center"/>
          </w:tcPr>
          <w:p w14:paraId="4BEFBE83">
            <w:pPr>
              <w:jc w:val="center"/>
            </w:pPr>
            <w:r>
              <w:rPr>
                <w:rFonts w:ascii="Times New Roman" w:hAnsi="Times New Roman" w:eastAsia="宋体"/>
                <w:sz w:val="16"/>
              </w:rPr>
              <w:t>≤15°</w:t>
            </w:r>
          </w:p>
        </w:tc>
        <w:tc>
          <w:tcPr>
            <w:tcW w:w="3261" w:type="dxa"/>
            <w:tcMar>
              <w:top w:w="80" w:type="dxa"/>
              <w:left w:w="100" w:type="dxa"/>
              <w:bottom w:w="80" w:type="dxa"/>
              <w:right w:w="100" w:type="dxa"/>
            </w:tcMar>
            <w:vAlign w:val="center"/>
          </w:tcPr>
          <w:p w14:paraId="6A15516C">
            <w:pPr>
              <w:jc w:val="center"/>
            </w:pPr>
            <w:r>
              <w:rPr>
                <w:rFonts w:ascii="Times New Roman" w:hAnsi="Times New Roman" w:eastAsia="宋体"/>
                <w:sz w:val="16"/>
              </w:rPr>
              <w:t>VLM附着流范围筛查</w:t>
            </w:r>
          </w:p>
        </w:tc>
      </w:tr>
      <w:tr w14:paraId="2228C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1" w:type="dxa"/>
            <w:tcMar>
              <w:top w:w="80" w:type="dxa"/>
              <w:left w:w="100" w:type="dxa"/>
              <w:bottom w:w="80" w:type="dxa"/>
              <w:right w:w="100" w:type="dxa"/>
            </w:tcMar>
            <w:vAlign w:val="center"/>
          </w:tcPr>
          <w:p w14:paraId="1FBF0FD3">
            <w:pPr>
              <w:jc w:val="center"/>
            </w:pPr>
            <w:r>
              <w:rPr>
                <w:rFonts w:ascii="Times New Roman" w:hAnsi="Times New Roman" w:eastAsia="宋体"/>
                <w:sz w:val="16"/>
              </w:rPr>
              <w:t>气动</w:t>
            </w:r>
          </w:p>
        </w:tc>
        <w:tc>
          <w:tcPr>
            <w:tcW w:w="2845" w:type="dxa"/>
            <w:tcMar>
              <w:top w:w="80" w:type="dxa"/>
              <w:left w:w="100" w:type="dxa"/>
              <w:bottom w:w="80" w:type="dxa"/>
              <w:right w:w="100" w:type="dxa"/>
            </w:tcMar>
            <w:vAlign w:val="center"/>
          </w:tcPr>
          <w:p w14:paraId="21ABF068">
            <w:pPr>
              <w:jc w:val="center"/>
            </w:pPr>
            <w:r>
              <w:rPr>
                <w:rFonts w:ascii="Times New Roman" w:hAnsi="Times New Roman" w:eastAsia="宋体"/>
                <w:sz w:val="16"/>
              </w:rPr>
              <w:t>计入速度裕度的升力裕度</w:t>
            </w:r>
          </w:p>
        </w:tc>
        <w:tc>
          <w:tcPr>
            <w:tcW w:w="1873" w:type="dxa"/>
            <w:tcMar>
              <w:top w:w="80" w:type="dxa"/>
              <w:left w:w="100" w:type="dxa"/>
              <w:bottom w:w="80" w:type="dxa"/>
              <w:right w:w="100" w:type="dxa"/>
            </w:tcMar>
            <w:vAlign w:val="center"/>
          </w:tcPr>
          <w:p w14:paraId="1CC50BAD">
            <w:pPr>
              <w:jc w:val="center"/>
            </w:pPr>
            <w:r>
              <w:rPr>
                <w:rFonts w:ascii="Times New Roman" w:hAnsi="Times New Roman" w:eastAsia="宋体"/>
                <w:sz w:val="16"/>
              </w:rPr>
              <w:t>≥0.95</w:t>
            </w:r>
          </w:p>
        </w:tc>
        <w:tc>
          <w:tcPr>
            <w:tcW w:w="3261" w:type="dxa"/>
            <w:tcMar>
              <w:top w:w="80" w:type="dxa"/>
              <w:left w:w="100" w:type="dxa"/>
              <w:bottom w:w="80" w:type="dxa"/>
              <w:right w:w="100" w:type="dxa"/>
            </w:tcMar>
            <w:vAlign w:val="center"/>
          </w:tcPr>
          <w:p w14:paraId="5B096D9F">
            <w:pPr>
              <w:jc w:val="center"/>
            </w:pPr>
            <w:r>
              <w:rPr>
                <w:rFonts w:ascii="Times New Roman" w:hAnsi="Times New Roman" w:eastAsia="宋体"/>
                <w:sz w:val="16"/>
              </w:rPr>
              <w:t>1.2倍速度裕度</w:t>
            </w:r>
          </w:p>
        </w:tc>
      </w:tr>
      <w:tr w14:paraId="7619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1" w:type="dxa"/>
            <w:tcMar>
              <w:top w:w="80" w:type="dxa"/>
              <w:left w:w="100" w:type="dxa"/>
              <w:bottom w:w="80" w:type="dxa"/>
              <w:right w:w="100" w:type="dxa"/>
            </w:tcMar>
            <w:vAlign w:val="center"/>
          </w:tcPr>
          <w:p w14:paraId="578A3FCD">
            <w:pPr>
              <w:jc w:val="center"/>
            </w:pPr>
            <w:r>
              <w:rPr>
                <w:rFonts w:ascii="Times New Roman" w:hAnsi="Times New Roman" w:eastAsia="宋体"/>
                <w:sz w:val="16"/>
              </w:rPr>
              <w:t>角速率</w:t>
            </w:r>
          </w:p>
        </w:tc>
        <w:tc>
          <w:tcPr>
            <w:tcW w:w="2845" w:type="dxa"/>
            <w:tcMar>
              <w:top w:w="80" w:type="dxa"/>
              <w:left w:w="100" w:type="dxa"/>
              <w:bottom w:w="80" w:type="dxa"/>
              <w:right w:w="100" w:type="dxa"/>
            </w:tcMar>
            <w:vAlign w:val="center"/>
          </w:tcPr>
          <w:p w14:paraId="4DAFC6F2">
            <w:pPr>
              <w:jc w:val="center"/>
            </w:pPr>
            <w:r>
              <w:rPr>
                <w:rFonts w:ascii="Times New Roman" w:hAnsi="Times New Roman" w:eastAsia="宋体"/>
                <w:sz w:val="16"/>
              </w:rPr>
              <w:t>最大俯仰/滚转角速度</w:t>
            </w:r>
          </w:p>
        </w:tc>
        <w:tc>
          <w:tcPr>
            <w:tcW w:w="1873" w:type="dxa"/>
            <w:tcMar>
              <w:top w:w="80" w:type="dxa"/>
              <w:left w:w="100" w:type="dxa"/>
              <w:bottom w:w="80" w:type="dxa"/>
              <w:right w:w="100" w:type="dxa"/>
            </w:tcMar>
            <w:vAlign w:val="center"/>
          </w:tcPr>
          <w:p w14:paraId="551C1352">
            <w:pPr>
              <w:jc w:val="center"/>
            </w:pPr>
            <w:r>
              <w:rPr>
                <w:rFonts w:ascii="Times New Roman" w:hAnsi="Times New Roman" w:eastAsia="宋体"/>
                <w:sz w:val="16"/>
              </w:rPr>
              <w:t>≤120/240°/s</w:t>
            </w:r>
          </w:p>
        </w:tc>
        <w:tc>
          <w:tcPr>
            <w:tcW w:w="3261" w:type="dxa"/>
            <w:tcMar>
              <w:top w:w="80" w:type="dxa"/>
              <w:left w:w="100" w:type="dxa"/>
              <w:bottom w:w="80" w:type="dxa"/>
              <w:right w:w="100" w:type="dxa"/>
            </w:tcMar>
            <w:vAlign w:val="center"/>
          </w:tcPr>
          <w:p w14:paraId="32868535">
            <w:pPr>
              <w:jc w:val="center"/>
            </w:pPr>
            <w:r>
              <w:rPr>
                <w:rFonts w:ascii="Times New Roman" w:hAnsi="Times New Roman" w:eastAsia="宋体"/>
                <w:sz w:val="16"/>
              </w:rPr>
              <w:t>工程假设阈值</w:t>
            </w:r>
          </w:p>
        </w:tc>
      </w:tr>
      <w:tr w14:paraId="5BA4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1" w:type="dxa"/>
            <w:tcMar>
              <w:top w:w="80" w:type="dxa"/>
              <w:left w:w="100" w:type="dxa"/>
              <w:bottom w:w="80" w:type="dxa"/>
              <w:right w:w="100" w:type="dxa"/>
            </w:tcMar>
            <w:vAlign w:val="center"/>
          </w:tcPr>
          <w:p w14:paraId="04F31C05">
            <w:pPr>
              <w:jc w:val="center"/>
            </w:pPr>
            <w:r>
              <w:rPr>
                <w:rFonts w:ascii="Times New Roman" w:hAnsi="Times New Roman" w:eastAsia="宋体"/>
                <w:sz w:val="16"/>
              </w:rPr>
              <w:t>耦合</w:t>
            </w:r>
          </w:p>
        </w:tc>
        <w:tc>
          <w:tcPr>
            <w:tcW w:w="2845" w:type="dxa"/>
            <w:tcMar>
              <w:top w:w="80" w:type="dxa"/>
              <w:left w:w="100" w:type="dxa"/>
              <w:bottom w:w="80" w:type="dxa"/>
              <w:right w:w="100" w:type="dxa"/>
            </w:tcMar>
            <w:vAlign w:val="center"/>
          </w:tcPr>
          <w:p w14:paraId="5B68341F">
            <w:pPr>
              <w:jc w:val="center"/>
            </w:pPr>
            <w:r>
              <w:rPr>
                <w:rFonts w:ascii="Times New Roman" w:hAnsi="Times New Roman" w:eastAsia="宋体"/>
                <w:sz w:val="16"/>
              </w:rPr>
              <w:t>最大侧向力系数</w:t>
            </w:r>
          </w:p>
        </w:tc>
        <w:tc>
          <w:tcPr>
            <w:tcW w:w="1873" w:type="dxa"/>
            <w:tcMar>
              <w:top w:w="80" w:type="dxa"/>
              <w:left w:w="100" w:type="dxa"/>
              <w:bottom w:w="80" w:type="dxa"/>
              <w:right w:w="100" w:type="dxa"/>
            </w:tcMar>
            <w:vAlign w:val="center"/>
          </w:tcPr>
          <w:p w14:paraId="40437D44">
            <w:pPr>
              <w:jc w:val="center"/>
            </w:pPr>
            <w:r>
              <w:rPr>
                <w:rFonts w:ascii="Times New Roman" w:hAnsi="Times New Roman" w:eastAsia="宋体"/>
                <w:sz w:val="16"/>
              </w:rPr>
              <w:t>≤0.25</w:t>
            </w:r>
          </w:p>
        </w:tc>
        <w:tc>
          <w:tcPr>
            <w:tcW w:w="3261" w:type="dxa"/>
            <w:tcMar>
              <w:top w:w="80" w:type="dxa"/>
              <w:left w:w="100" w:type="dxa"/>
              <w:bottom w:w="80" w:type="dxa"/>
              <w:right w:w="100" w:type="dxa"/>
            </w:tcMar>
            <w:vAlign w:val="center"/>
          </w:tcPr>
          <w:p w14:paraId="38FA4E7E">
            <w:pPr>
              <w:jc w:val="center"/>
            </w:pPr>
            <w:r>
              <w:rPr>
                <w:rFonts w:ascii="Times New Roman" w:hAnsi="Times New Roman" w:eastAsia="宋体"/>
                <w:sz w:val="16"/>
              </w:rPr>
              <w:t>顶部滚转耦合筛查</w:t>
            </w:r>
          </w:p>
        </w:tc>
      </w:tr>
    </w:tbl>
    <w:p w14:paraId="676CFC25">
      <w:pPr>
        <w:spacing w:after="40"/>
      </w:pPr>
    </w:p>
    <w:p w14:paraId="02D4406A">
      <w:r>
        <w:br w:type="page"/>
      </w:r>
    </w:p>
    <w:p w14:paraId="5E26169B">
      <w:pPr>
        <w:pStyle w:val="4"/>
        <w:spacing w:before="60" w:after="80"/>
      </w:pPr>
      <w:r>
        <w:rPr>
          <w:rFonts w:ascii="Arial" w:hAnsi="Arial" w:eastAsia="黑体"/>
          <w:b/>
          <w:sz w:val="24"/>
        </w:rPr>
        <w:t>6.3.2 参考轨迹逆动力学与受力分解</w:t>
      </w:r>
    </w:p>
    <w:p w14:paraId="28F4FD0D">
      <w:pPr>
        <w:pStyle w:val="14"/>
        <w:ind w:firstLine="420"/>
        <w:jc w:val="both"/>
      </w:pPr>
      <w:r>
        <w:rPr>
          <w:rFonts w:ascii="Times New Roman" w:hAnsi="Times New Roman" w:eastAsia="宋体"/>
          <w:sz w:val="21"/>
        </w:rPr>
        <w:t>对固定翼飞机而言，轨迹的几何可行并不等于气动力可实现。沿轨迹切向的加速度主要决定速度增减和净推进需求，沿轨迹法向的加速度决定速度方向改变和升力需求。重力在切向和法向上的投影随航迹转角变化，因此即使速度和曲率半径相同，筋斗底部、侧部和顶部的所需气动力也不同。</w:t>
      </w:r>
    </w:p>
    <w:p w14:paraId="625D89C7">
      <w:pPr>
        <w:keepNext/>
        <w:jc w:val="center"/>
      </w:pPr>
      <w:r>
        <w:drawing>
          <wp:inline distT="0" distB="0" distL="114300" distR="114300">
            <wp:extent cx="4983480" cy="4137660"/>
            <wp:effectExtent l="0" t="0" r="7620" b="15240"/>
            <wp:docPr id="20" name="Picture 18" descr="图6-10 参考轨迹逆动力学的受力分解" title="图6-10 参考轨迹逆动力学的受力分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图6-10 参考轨迹逆动力学的受力分解" title="图6-10 参考轨迹逆动力学的受力分解"/>
                    <pic:cNvPicPr>
                      <a:picLocks noChangeAspect="1"/>
                    </pic:cNvPicPr>
                  </pic:nvPicPr>
                  <pic:blipFill>
                    <a:blip r:embed="rId23"/>
                    <a:stretch>
                      <a:fillRect/>
                    </a:stretch>
                  </pic:blipFill>
                  <pic:spPr>
                    <a:xfrm>
                      <a:off x="0" y="0"/>
                      <a:ext cx="4983480" cy="4137720"/>
                    </a:xfrm>
                    <a:prstGeom prst="rect">
                      <a:avLst/>
                    </a:prstGeom>
                  </pic:spPr>
                </pic:pic>
              </a:graphicData>
            </a:graphic>
          </wp:inline>
        </w:drawing>
      </w:r>
    </w:p>
    <w:p w14:paraId="5EA03637">
      <w:pPr>
        <w:pStyle w:val="5"/>
        <w:jc w:val="center"/>
      </w:pPr>
      <w:r>
        <w:rPr>
          <w:rFonts w:ascii="Times New Roman" w:hAnsi="Times New Roman" w:eastAsia="宋体"/>
          <w:sz w:val="18"/>
        </w:rPr>
        <w:t>图6-10 参考轨迹逆动力学的受力分解</w:t>
      </w:r>
    </w:p>
    <w:p w14:paraId="178F54A1">
      <w:pPr>
        <w:pStyle w:val="14"/>
        <w:ind w:firstLine="420"/>
        <w:jc w:val="both"/>
      </w:pPr>
      <w:r>
        <w:rPr>
          <w:rFonts w:ascii="Times New Roman" w:hAnsi="Times New Roman" w:eastAsia="宋体"/>
          <w:sz w:val="21"/>
        </w:rPr>
        <w:t>程序首先根据轨迹计算a=Vdot·t+(V²/R)n，再用m(a-g)得到除重力外的所需合力。该合力在速度方向的分量记为净切向力需求，在垂直速度方向的分量用于计算法向过载和总法向力系数。殷麦曼机动滚转阶段还根据机翼法向把总法向力分成机翼升力分量和侧向分量，由此得到所需升力系数与侧向力系数。</w:t>
      </w:r>
    </w:p>
    <w:p w14:paraId="042AF0CA">
      <w:pPr>
        <w:pStyle w:val="14"/>
        <w:ind w:firstLine="420"/>
        <w:jc w:val="both"/>
      </w:pPr>
      <w:r>
        <w:rPr>
          <w:rFonts w:ascii="Times New Roman" w:hAnsi="Times New Roman" w:eastAsia="宋体"/>
          <w:sz w:val="21"/>
        </w:rPr>
        <w:t>迎角需求通过VLM数据库中的CZ(α,β=0)关系反查。该步骤只在气动表覆盖的迎角范围内有效，不能外推到深失速或失速后状态。升力裕度以15°迎角处的正升力系数为当前极限代理，并额外除以1.2²形成速度裕度修正。这种处理适合早期规划筛查，但仍需由实测失速速度或可靠CLmax替换。</w:t>
      </w:r>
    </w:p>
    <w:p w14:paraId="00852589">
      <w:pPr>
        <w:pStyle w:val="16"/>
        <w:pBdr>
          <w:bottom w:val="single" w:color="1F4E78" w:sz="8" w:space="1"/>
        </w:pBdr>
        <w:shd w:val="clear" w:fill="D9EAF7"/>
        <w:spacing w:before="40" w:after="100"/>
        <w:ind w:left="142" w:right="142"/>
      </w:pPr>
      <w:r>
        <w:rPr>
          <w:rFonts w:ascii="Times New Roman" w:hAnsi="Times New Roman" w:eastAsia="宋体"/>
          <w:b/>
          <w:color w:val="1F4E78"/>
          <w:sz w:val="19"/>
        </w:rPr>
        <w:t>评价等级｜本节判断的是“参考运动所需力和角速度是否落在当前假设包线内”，没有求出真实舵面偏角与油门，也没有证明闭环控制一定能跟踪。</w:t>
      </w:r>
    </w:p>
    <w:p w14:paraId="635A1274">
      <w:r>
        <w:br w:type="page"/>
      </w:r>
    </w:p>
    <w:p w14:paraId="5DF13B29">
      <w:pPr>
        <w:pStyle w:val="4"/>
        <w:spacing w:before="60" w:after="80"/>
      </w:pPr>
      <w:r>
        <w:rPr>
          <w:rFonts w:ascii="Arial" w:hAnsi="Arial" w:eastAsia="黑体"/>
          <w:b/>
          <w:sz w:val="24"/>
        </w:rPr>
        <w:t>6.3.3 360度筋斗动力学表现</w:t>
      </w:r>
    </w:p>
    <w:p w14:paraId="484A3049">
      <w:pPr>
        <w:pStyle w:val="14"/>
        <w:ind w:firstLine="420"/>
        <w:jc w:val="both"/>
      </w:pPr>
      <w:r>
        <w:rPr>
          <w:rFonts w:ascii="Times New Roman" w:hAnsi="Times New Roman" w:eastAsia="宋体"/>
          <w:sz w:val="21"/>
        </w:rPr>
        <w:t>五次多项式筋斗的最大法向过载为2.200 g，B样条筋斗为2.169 g，均低于3.0 g筛查线。B样条方法将曲率分配得更均匀后，最大过载略有下降，但更重要的变化出现在气动力系数和迎角需求：最大估算迎角由10.420°降至9.705°。</w:t>
      </w:r>
    </w:p>
    <w:p w14:paraId="3615708F">
      <w:pPr>
        <w:keepNext/>
        <w:jc w:val="center"/>
      </w:pPr>
      <w:r>
        <w:drawing>
          <wp:inline distT="0" distB="0" distL="114300" distR="114300">
            <wp:extent cx="5166360" cy="3046095"/>
            <wp:effectExtent l="0" t="0" r="15240" b="1905"/>
            <wp:docPr id="21" name="Picture 19" descr="图6-11 360度筋斗动力学需求对比" title="图6-11 360度筋斗动力学需求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descr="图6-11 360度筋斗动力学需求对比" title="图6-11 360度筋斗动力学需求对比"/>
                    <pic:cNvPicPr>
                      <a:picLocks noChangeAspect="1"/>
                    </pic:cNvPicPr>
                  </pic:nvPicPr>
                  <pic:blipFill>
                    <a:blip r:embed="rId24"/>
                    <a:stretch>
                      <a:fillRect/>
                    </a:stretch>
                  </pic:blipFill>
                  <pic:spPr>
                    <a:xfrm>
                      <a:off x="0" y="0"/>
                      <a:ext cx="5166360" cy="3046212"/>
                    </a:xfrm>
                    <a:prstGeom prst="rect">
                      <a:avLst/>
                    </a:prstGeom>
                  </pic:spPr>
                </pic:pic>
              </a:graphicData>
            </a:graphic>
          </wp:inline>
        </w:drawing>
      </w:r>
    </w:p>
    <w:p w14:paraId="7C35DA02">
      <w:pPr>
        <w:pStyle w:val="5"/>
        <w:jc w:val="center"/>
      </w:pPr>
      <w:r>
        <w:rPr>
          <w:rFonts w:ascii="Times New Roman" w:hAnsi="Times New Roman" w:eastAsia="宋体"/>
          <w:sz w:val="18"/>
        </w:rPr>
        <w:t>图6-11 360度筋斗动力学需求对比</w:t>
      </w:r>
    </w:p>
    <w:p w14:paraId="2E8D859B">
      <w:pPr>
        <w:pStyle w:val="14"/>
        <w:ind w:firstLine="420"/>
        <w:jc w:val="both"/>
      </w:pPr>
      <w:r>
        <w:rPr>
          <w:rFonts w:ascii="Times New Roman" w:hAnsi="Times New Roman" w:eastAsia="宋体"/>
          <w:sz w:val="21"/>
        </w:rPr>
        <w:t>五次多项式方法计入1.2倍速度裕度后的最小升力裕度为0.951，仅略高于0.95判定线；B样条方法提高到1.010，相对增加6.25%。这意味着在当前VLM气动表和速度假设下，B样条轨迹对局部升力能力误差留出了更大余量。</w:t>
      </w:r>
    </w:p>
    <w:p w14:paraId="159CFFDA">
      <w:pPr>
        <w:pStyle w:val="14"/>
        <w:ind w:firstLine="420"/>
        <w:jc w:val="both"/>
      </w:pPr>
      <w:r>
        <w:rPr>
          <w:rFonts w:ascii="Times New Roman" w:hAnsi="Times New Roman" w:eastAsia="宋体"/>
          <w:sz w:val="21"/>
        </w:rPr>
        <w:t>航迹俯仰角速度峰值由46.62°/s降至36.59°/s，均显著低于120°/s筛查值。筋斗不施加滚转指令，侧向力系数需求接近零。因此，就现有数据可验证的项目而言，两种方法都具备进入纵向闭环跟踪仿真的条件，B样条方法在升力裕度和俯仰变化平缓性上更有利。</w:t>
      </w:r>
    </w:p>
    <w:p w14:paraId="63D8332A">
      <w:r>
        <w:br w:type="page"/>
      </w:r>
    </w:p>
    <w:p w14:paraId="16256443">
      <w:pPr>
        <w:pStyle w:val="4"/>
        <w:spacing w:before="60" w:after="80"/>
      </w:pPr>
      <w:r>
        <w:rPr>
          <w:rFonts w:ascii="Arial" w:hAnsi="Arial" w:eastAsia="黑体"/>
          <w:b/>
          <w:sz w:val="24"/>
        </w:rPr>
        <w:t>6.3.4 360度筋斗关键阶段分析</w:t>
      </w:r>
    </w:p>
    <w:p w14:paraId="3CC8BEA4">
      <w:pPr>
        <w:pStyle w:val="14"/>
        <w:ind w:firstLine="420"/>
        <w:jc w:val="both"/>
      </w:pPr>
      <w:r>
        <w:rPr>
          <w:rFonts w:ascii="Times New Roman" w:hAnsi="Times New Roman" w:eastAsia="宋体"/>
          <w:sz w:val="21"/>
        </w:rPr>
        <w:t>为了说明峰值从何而来，将完整筋斗按累计航迹转角分为底部进入、上升侧、顶部、下降侧和底部退出五个阶段。底部阶段曲率法向与重力反向，飞机需要额外升力同时克服重力并改变速度方向，通常形成较高正过载；顶部阶段曲率法向与重力同向，重力本身承担部分向心加速度，所需升力明显降低。</w:t>
      </w:r>
    </w:p>
    <w:p w14:paraId="441EC45A">
      <w:pPr>
        <w:keepNext/>
        <w:jc w:val="center"/>
      </w:pPr>
      <w:r>
        <w:drawing>
          <wp:inline distT="0" distB="0" distL="114300" distR="114300">
            <wp:extent cx="5166360" cy="1965960"/>
            <wp:effectExtent l="0" t="0" r="15240" b="15240"/>
            <wp:docPr id="22" name="Picture 20" descr="图6-12 360度筋斗关键阶段动力学需求" title="图6-12 360度筋斗关键阶段动力学需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descr="图6-12 360度筋斗关键阶段动力学需求" title="图6-12 360度筋斗关键阶段动力学需求"/>
                    <pic:cNvPicPr>
                      <a:picLocks noChangeAspect="1"/>
                    </pic:cNvPicPr>
                  </pic:nvPicPr>
                  <pic:blipFill>
                    <a:blip r:embed="rId25"/>
                    <a:stretch>
                      <a:fillRect/>
                    </a:stretch>
                  </pic:blipFill>
                  <pic:spPr>
                    <a:xfrm>
                      <a:off x="0" y="0"/>
                      <a:ext cx="5166360" cy="1966137"/>
                    </a:xfrm>
                    <a:prstGeom prst="rect">
                      <a:avLst/>
                    </a:prstGeom>
                  </pic:spPr>
                </pic:pic>
              </a:graphicData>
            </a:graphic>
          </wp:inline>
        </w:drawing>
      </w:r>
    </w:p>
    <w:p w14:paraId="4232814F">
      <w:pPr>
        <w:pStyle w:val="5"/>
        <w:jc w:val="center"/>
      </w:pPr>
      <w:r>
        <w:rPr>
          <w:rFonts w:ascii="Times New Roman" w:hAnsi="Times New Roman" w:eastAsia="宋体"/>
          <w:sz w:val="18"/>
        </w:rPr>
        <w:t>图6-12 360度筋斗关键阶段动力学需求</w:t>
      </w:r>
    </w:p>
    <w:p w14:paraId="1415F5D8">
      <w:pPr>
        <w:pStyle w:val="14"/>
        <w:ind w:firstLine="420"/>
        <w:jc w:val="both"/>
      </w:pPr>
      <w:r>
        <w:rPr>
          <w:rFonts w:ascii="Times New Roman" w:hAnsi="Times New Roman" w:eastAsia="宋体"/>
          <w:sz w:val="21"/>
        </w:rPr>
        <w:t>五次多项式方法在上升侧和下降侧附近出现局部载荷与迎角峰值，与24 m曲率半径谷值位置相对应。B样条方法把半径限制在约30.34～34.88 m，使侧部峰值被削弱，载荷变化更接近单峰或缓变分布。这解释了为什么B样条筋斗的最大迎角和俯仰角速度同时下降。</w:t>
      </w:r>
    </w:p>
    <w:p w14:paraId="50E782B6">
      <w:pPr>
        <w:pStyle w:val="14"/>
        <w:ind w:firstLine="420"/>
        <w:jc w:val="both"/>
      </w:pPr>
      <w:r>
        <w:rPr>
          <w:rFonts w:ascii="Times New Roman" w:hAnsi="Times New Roman" w:eastAsia="宋体"/>
          <w:sz w:val="21"/>
        </w:rPr>
        <w:t>顶部附近估算迎角可能接近零或出现小幅负值，这不表示轨迹计算异常。当重力已经能够提供大部分向心加速度时，机翼只需产生较小升力，甚至可能需要轻微负升力保持规定曲率。实际飞行中，该区段对速度误差和姿态误差较敏感，应在闭环仿真中重点检查顶部速度保持和俯仰角超调。</w:t>
      </w:r>
    </w:p>
    <w:p w14:paraId="63D73B0F">
      <w:pPr>
        <w:pStyle w:val="16"/>
        <w:pBdr>
          <w:bottom w:val="single" w:color="1F4E78" w:sz="8" w:space="1"/>
        </w:pBdr>
        <w:shd w:val="clear" w:fill="D9EAF7"/>
        <w:spacing w:before="40" w:after="100"/>
        <w:ind w:left="142" w:right="142"/>
      </w:pPr>
      <w:r>
        <w:rPr>
          <w:rFonts w:ascii="Times New Roman" w:hAnsi="Times New Roman" w:eastAsia="宋体"/>
          <w:b/>
          <w:color w:val="1F4E78"/>
          <w:sz w:val="19"/>
        </w:rPr>
        <w:t>重点工况｜底部关注过载、迎角和推进需求；侧部关注曲率变化与俯仰角速度；顶部关注低升力状态下的速度保持和姿态误差。实飞试验不能只检查单一峰值。</w:t>
      </w:r>
    </w:p>
    <w:p w14:paraId="5E9DCDF5">
      <w:r>
        <w:br w:type="page"/>
      </w:r>
    </w:p>
    <w:p w14:paraId="2CD4DCE3">
      <w:pPr>
        <w:pStyle w:val="4"/>
        <w:spacing w:before="60" w:after="80"/>
      </w:pPr>
      <w:r>
        <w:rPr>
          <w:rFonts w:ascii="Arial" w:hAnsi="Arial" w:eastAsia="黑体"/>
          <w:b/>
          <w:sz w:val="24"/>
        </w:rPr>
        <w:t>6.3.5 殷麦曼机动动力学表现</w:t>
      </w:r>
    </w:p>
    <w:p w14:paraId="77806613">
      <w:pPr>
        <w:pStyle w:val="14"/>
        <w:ind w:firstLine="420"/>
        <w:jc w:val="both"/>
      </w:pPr>
      <w:r>
        <w:rPr>
          <w:rFonts w:ascii="Times New Roman" w:hAnsi="Times New Roman" w:eastAsia="宋体"/>
          <w:sz w:val="21"/>
        </w:rPr>
        <w:t>五次多项式殷麦曼机动最大法向过载为2.200 g，B样条殷麦曼机动为2.204 g。B样条结果的峰值略高，但差值很小，且两者均低于3.0 g。这一现象说明多目标优化并不保证每个单项指标都下降；B样条节点在同时降低jerk、曲率变化率和法向力系数峰值的过程中，对过载峰值作出了轻微折中。</w:t>
      </w:r>
    </w:p>
    <w:p w14:paraId="0C85B30D">
      <w:pPr>
        <w:keepNext/>
        <w:jc w:val="center"/>
      </w:pPr>
      <w:r>
        <w:drawing>
          <wp:inline distT="0" distB="0" distL="114300" distR="114300">
            <wp:extent cx="5166360" cy="3046095"/>
            <wp:effectExtent l="0" t="0" r="15240" b="1905"/>
            <wp:docPr id="23" name="Picture 21" descr="图6-13 殷麦曼机动动力学需求对比" title="图6-13 殷麦曼机动动力学需求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图6-13 殷麦曼机动动力学需求对比" title="图6-13 殷麦曼机动动力学需求对比"/>
                    <pic:cNvPicPr>
                      <a:picLocks noChangeAspect="1"/>
                    </pic:cNvPicPr>
                  </pic:nvPicPr>
                  <pic:blipFill>
                    <a:blip r:embed="rId26"/>
                    <a:stretch>
                      <a:fillRect/>
                    </a:stretch>
                  </pic:blipFill>
                  <pic:spPr>
                    <a:xfrm>
                      <a:off x="0" y="0"/>
                      <a:ext cx="5166360" cy="3046212"/>
                    </a:xfrm>
                    <a:prstGeom prst="rect">
                      <a:avLst/>
                    </a:prstGeom>
                  </pic:spPr>
                </pic:pic>
              </a:graphicData>
            </a:graphic>
          </wp:inline>
        </w:drawing>
      </w:r>
    </w:p>
    <w:p w14:paraId="5D9E645C">
      <w:pPr>
        <w:pStyle w:val="5"/>
        <w:jc w:val="center"/>
      </w:pPr>
      <w:r>
        <w:rPr>
          <w:rFonts w:ascii="Times New Roman" w:hAnsi="Times New Roman" w:eastAsia="宋体"/>
          <w:sz w:val="18"/>
        </w:rPr>
        <w:t>图6-13 殷麦曼机动动力学需求对比</w:t>
      </w:r>
    </w:p>
    <w:p w14:paraId="0F3E7510">
      <w:pPr>
        <w:pStyle w:val="14"/>
        <w:ind w:firstLine="420"/>
        <w:jc w:val="both"/>
      </w:pPr>
      <w:r>
        <w:rPr>
          <w:rFonts w:ascii="Times New Roman" w:hAnsi="Times New Roman" w:eastAsia="宋体"/>
          <w:sz w:val="21"/>
        </w:rPr>
        <w:t>殷麦曼机动最大估算迎角由10.420°降至9.883°，最小含速度裕度由0.951提高至0.994，相对增加4.61%。虽然提升幅度小于完整筋斗，但B样条结果仍扩大了与0.95筛查线之间的距离。</w:t>
      </w:r>
    </w:p>
    <w:p w14:paraId="7496E883">
      <w:pPr>
        <w:pStyle w:val="14"/>
        <w:ind w:firstLine="420"/>
        <w:jc w:val="both"/>
      </w:pPr>
      <w:r>
        <w:rPr>
          <w:rFonts w:ascii="Times New Roman" w:hAnsi="Times New Roman" w:eastAsia="宋体"/>
          <w:sz w:val="21"/>
        </w:rPr>
        <w:t>顶部半滚转的最大机体系滚转角速度由180.40°/s变为177.82°/s，均低于240°/s。最大侧向力系数需求从0.083增加到0.096，但仍低于0.25。侧向力略增是纵向曲率分配改变后，滚转区间法向力水平发生变化所致，表明后续控制设计应联合检查滚转时序，而不能只优化纵向平面轨迹。</w:t>
      </w:r>
    </w:p>
    <w:p w14:paraId="106457C4">
      <w:r>
        <w:br w:type="page"/>
      </w:r>
    </w:p>
    <w:p w14:paraId="404280C8">
      <w:pPr>
        <w:pStyle w:val="4"/>
        <w:spacing w:before="60" w:after="80"/>
      </w:pPr>
      <w:r>
        <w:rPr>
          <w:rFonts w:ascii="Arial" w:hAnsi="Arial" w:eastAsia="黑体"/>
          <w:b/>
          <w:sz w:val="24"/>
        </w:rPr>
        <w:t>6.3.6 殷麦曼机动顶部滚转耦合分析</w:t>
      </w:r>
    </w:p>
    <w:p w14:paraId="0A76333D">
      <w:pPr>
        <w:pStyle w:val="14"/>
        <w:ind w:firstLine="420"/>
        <w:jc w:val="both"/>
      </w:pPr>
      <w:r>
        <w:rPr>
          <w:rFonts w:ascii="Times New Roman" w:hAnsi="Times New Roman" w:eastAsia="宋体"/>
          <w:sz w:val="21"/>
        </w:rPr>
        <w:t>殷麦曼机动在120°航迹转角后开始滚转，此时飞机已越过竖直上升阶段，法向过载总体下降。选择该区段滚转的目的，是避免在底部高载荷区同时要求大滚转角速度。滚转角通过五次函数从0°变化到180°，边界角速度和角加速度回到零，可减少进入反向水平飞行时的姿态突变。</w:t>
      </w:r>
    </w:p>
    <w:p w14:paraId="4E1F843B">
      <w:pPr>
        <w:keepNext/>
        <w:jc w:val="center"/>
      </w:pPr>
      <w:r>
        <w:drawing>
          <wp:inline distT="0" distB="0" distL="114300" distR="114300">
            <wp:extent cx="5212080" cy="1791335"/>
            <wp:effectExtent l="0" t="0" r="7620" b="18415"/>
            <wp:docPr id="24" name="Picture 22" descr="图6-14 殷麦曼机动顶部半滚转与侧向力耦合" title="图6-14 殷麦曼机动顶部半滚转与侧向力耦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descr="图6-14 殷麦曼机动顶部半滚转与侧向力耦合" title="图6-14 殷麦曼机动顶部半滚转与侧向力耦合"/>
                    <pic:cNvPicPr>
                      <a:picLocks noChangeAspect="1"/>
                    </pic:cNvPicPr>
                  </pic:nvPicPr>
                  <pic:blipFill>
                    <a:blip r:embed="rId27"/>
                    <a:stretch>
                      <a:fillRect/>
                    </a:stretch>
                  </pic:blipFill>
                  <pic:spPr>
                    <a:xfrm>
                      <a:off x="0" y="0"/>
                      <a:ext cx="5212080" cy="1791831"/>
                    </a:xfrm>
                    <a:prstGeom prst="rect">
                      <a:avLst/>
                    </a:prstGeom>
                  </pic:spPr>
                </pic:pic>
              </a:graphicData>
            </a:graphic>
          </wp:inline>
        </w:drawing>
      </w:r>
    </w:p>
    <w:p w14:paraId="07515384">
      <w:pPr>
        <w:pStyle w:val="5"/>
        <w:jc w:val="center"/>
      </w:pPr>
      <w:r>
        <w:rPr>
          <w:rFonts w:ascii="Times New Roman" w:hAnsi="Times New Roman" w:eastAsia="宋体"/>
          <w:sz w:val="18"/>
        </w:rPr>
        <w:t>图6-14 殷麦曼机动顶部半滚转与侧向力耦合</w:t>
      </w:r>
    </w:p>
    <w:p w14:paraId="0CB6ED49">
      <w:pPr>
        <w:pStyle w:val="14"/>
        <w:ind w:firstLine="420"/>
        <w:jc w:val="both"/>
      </w:pPr>
      <w:r>
        <w:rPr>
          <w:rFonts w:ascii="Times New Roman" w:hAnsi="Times New Roman" w:eastAsia="宋体"/>
          <w:sz w:val="21"/>
        </w:rPr>
        <w:t>滚转过程中，轨迹所需法向力方向仍由殷麦曼机动几何决定，但机翼升力方向随滚转不断旋转。若只保持原有总法向力，部分需求会投影到机体侧向，形成非零侧向力系数。五次多项式方法最大侧向力系数约0.087，B样条方法约0.096；后者略高，原因是其滚转区间内纵向法向力分布与五次多项式轨迹不同。</w:t>
      </w:r>
    </w:p>
    <w:p w14:paraId="60A39933">
      <w:pPr>
        <w:pStyle w:val="14"/>
        <w:ind w:firstLine="420"/>
        <w:jc w:val="both"/>
      </w:pPr>
      <w:r>
        <w:rPr>
          <w:rFonts w:ascii="Times New Roman" w:hAnsi="Times New Roman" w:eastAsia="宋体"/>
          <w:sz w:val="21"/>
        </w:rPr>
        <w:t>当前程序把侧向力作为需求量筛查，并未进一步计算副翼、方向舵和升降舵的协调偏角。真实飞机完成殷麦曼动作时，滚转和俯仰通道会通过惯性耦合、气动交叉导数和舵面响应相互影响。后续控制器应采用姿态角速度反馈，并检查滚转过程中侧滑角、偏航角速度和高度误差，不能只跟踪滚转角。</w:t>
      </w:r>
    </w:p>
    <w:p w14:paraId="42804DBA">
      <w:pPr>
        <w:pStyle w:val="16"/>
        <w:pBdr>
          <w:bottom w:val="single" w:color="1F4E78" w:sz="8" w:space="1"/>
        </w:pBdr>
        <w:shd w:val="clear" w:fill="D9EAF7"/>
        <w:spacing w:before="40" w:after="100"/>
        <w:ind w:left="142" w:right="142"/>
      </w:pPr>
      <w:r>
        <w:rPr>
          <w:rFonts w:ascii="Times New Roman" w:hAnsi="Times New Roman" w:eastAsia="宋体"/>
          <w:b/>
          <w:color w:val="1F4E78"/>
          <w:sz w:val="19"/>
        </w:rPr>
        <w:t>耦合结论｜两种殷麦曼机动轨姿的滚转率和侧向力需求均未超过当前筛查线，但B样条方法并未改善侧向力系数。滚转时序应在获得舵面数据后单独优化。</w:t>
      </w:r>
    </w:p>
    <w:p w14:paraId="11FD2C42">
      <w:r>
        <w:br w:type="page"/>
      </w:r>
    </w:p>
    <w:p w14:paraId="60EFC80E">
      <w:pPr>
        <w:pStyle w:val="4"/>
        <w:spacing w:before="60" w:after="80"/>
      </w:pPr>
      <w:r>
        <w:rPr>
          <w:rFonts w:ascii="Arial" w:hAnsi="Arial" w:eastAsia="黑体"/>
          <w:b/>
          <w:sz w:val="24"/>
        </w:rPr>
        <w:t>6.3.7 与后续轨姿跟踪控制的接口</w:t>
      </w:r>
    </w:p>
    <w:p w14:paraId="5EFAA251">
      <w:pPr>
        <w:pStyle w:val="14"/>
        <w:ind w:firstLine="420"/>
        <w:jc w:val="both"/>
      </w:pPr>
      <w:r>
        <w:rPr>
          <w:rFonts w:ascii="Times New Roman" w:hAnsi="Times New Roman" w:eastAsia="宋体"/>
          <w:sz w:val="21"/>
        </w:rPr>
        <w:t>当前输出已经包含后续控制设计所需的基本参考量。位置和速度可进入外环轨迹跟踪器，累计航迹转角和滚转角可转换为姿态参考，机体系角速度可作为内环前馈量，加速度和法向过载可用于计算升力或俯仰控制前馈。因此，从数据接口角度看，两种方法都能够继续用于高机动轨姿跟踪控制研究。</w:t>
      </w:r>
    </w:p>
    <w:p w14:paraId="244F9106">
      <w:pPr>
        <w:keepNext/>
        <w:jc w:val="center"/>
      </w:pPr>
      <w:r>
        <w:drawing>
          <wp:inline distT="0" distB="0" distL="114300" distR="114300">
            <wp:extent cx="5212080" cy="1945005"/>
            <wp:effectExtent l="0" t="0" r="7620" b="17145"/>
            <wp:docPr id="25" name="Picture 23" descr="图6-15 生成轨姿与后续闭环跟踪验证接口" title="图6-15 生成轨姿与后续闭环跟踪验证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descr="图6-15 生成轨姿与后续闭环跟踪验证接口" title="图6-15 生成轨姿与后续闭环跟踪验证接口"/>
                    <pic:cNvPicPr>
                      <a:picLocks noChangeAspect="1"/>
                    </pic:cNvPicPr>
                  </pic:nvPicPr>
                  <pic:blipFill>
                    <a:blip r:embed="rId28"/>
                    <a:stretch>
                      <a:fillRect/>
                    </a:stretch>
                  </pic:blipFill>
                  <pic:spPr>
                    <a:xfrm>
                      <a:off x="0" y="0"/>
                      <a:ext cx="5212080" cy="1945191"/>
                    </a:xfrm>
                    <a:prstGeom prst="rect">
                      <a:avLst/>
                    </a:prstGeom>
                  </pic:spPr>
                </pic:pic>
              </a:graphicData>
            </a:graphic>
          </wp:inline>
        </w:drawing>
      </w:r>
    </w:p>
    <w:p w14:paraId="6A7BDECD">
      <w:pPr>
        <w:pStyle w:val="5"/>
        <w:jc w:val="center"/>
      </w:pPr>
      <w:r>
        <w:rPr>
          <w:rFonts w:ascii="Times New Roman" w:hAnsi="Times New Roman" w:eastAsia="宋体"/>
          <w:sz w:val="18"/>
        </w:rPr>
        <w:t>图6-15 生成轨姿与后续闭环跟踪验证接口</w:t>
      </w:r>
    </w:p>
    <w:p w14:paraId="1D8E5786">
      <w:pPr>
        <w:pStyle w:val="14"/>
        <w:ind w:firstLine="420"/>
        <w:jc w:val="both"/>
      </w:pPr>
      <w:r>
        <w:rPr>
          <w:rFonts w:ascii="Times New Roman" w:hAnsi="Times New Roman" w:eastAsia="宋体"/>
          <w:sz w:val="21"/>
        </w:rPr>
        <w:t>后续验证应至少建立位置/速度外环、姿态/角速度内环、执行机构模型和六自由度飞机模型。跟踪精度不能只用终端误差评价，还应统计全程位置均方根误差、最大位置误差、航迹角误差、滚转角误差、速度误差和约束违反持续时间。对筋斗应重点检查顶部和底部，对殷麦曼机动应重点检查滚转开始、滚转结束和反向退出。</w:t>
      </w:r>
    </w:p>
    <w:p w14:paraId="1DEF7E26">
      <w:pPr>
        <w:pStyle w:val="14"/>
        <w:ind w:firstLine="420"/>
        <w:jc w:val="both"/>
      </w:pPr>
      <w:r>
        <w:rPr>
          <w:rFonts w:ascii="Times New Roman" w:hAnsi="Times New Roman" w:eastAsia="宋体"/>
          <w:sz w:val="21"/>
        </w:rPr>
        <w:t>五次多项式轨迹可作为控制器初次联调的低复杂度参考，因为结果固定、问题容易复现；B样条轨迹可用于验证控制器对更平滑但数值生成轨迹的跟踪表现。若B样条轨迹的闭环误差反而更大，应检查姿态映射、控制前馈和滚转耦合，不能仅依据开环jerk较小就预判闭环一定更优。</w:t>
      </w:r>
    </w:p>
    <w:p w14:paraId="5FC8D3BA">
      <w:pPr>
        <w:pStyle w:val="16"/>
        <w:pBdr>
          <w:bottom w:val="single" w:color="1F4E78" w:sz="8" w:space="1"/>
        </w:pBdr>
        <w:shd w:val="clear" w:fill="D9EAF7"/>
        <w:spacing w:before="40" w:after="100"/>
        <w:ind w:left="142" w:right="142"/>
      </w:pPr>
      <w:r>
        <w:rPr>
          <w:rFonts w:ascii="Times New Roman" w:hAnsi="Times New Roman" w:eastAsia="宋体"/>
          <w:b/>
          <w:color w:val="1F4E78"/>
          <w:sz w:val="19"/>
        </w:rPr>
        <w:t>进入控制阶段前的缺口｜仍需补充推力曲线、舵面最大偏角、舵机速率、执行延迟、真实重心、结构过载和实测失速数据。缺少这些数据时，只能开展受限的模型级验证。</w:t>
      </w:r>
    </w:p>
    <w:p w14:paraId="7B0077D4">
      <w:r>
        <w:br w:type="page"/>
      </w:r>
    </w:p>
    <w:p w14:paraId="0E9E2CD5">
      <w:pPr>
        <w:pStyle w:val="4"/>
        <w:spacing w:before="60" w:after="80"/>
      </w:pPr>
      <w:r>
        <w:rPr>
          <w:rFonts w:ascii="Arial" w:hAnsi="Arial" w:eastAsia="黑体"/>
          <w:b/>
          <w:sz w:val="24"/>
        </w:rPr>
        <w:t>6.3.8 综合结果、结论与适用边界</w:t>
      </w:r>
    </w:p>
    <w:tbl>
      <w:tblPr>
        <w:tblStyle w:val="12"/>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7"/>
        <w:gridCol w:w="999"/>
        <w:gridCol w:w="2428"/>
        <w:gridCol w:w="3469"/>
        <w:gridCol w:w="667"/>
      </w:tblGrid>
      <w:tr w14:paraId="3289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7" w:type="dxa"/>
            <w:shd w:val="clear" w:color="auto" w:fill="D9EAF7"/>
            <w:tcMar>
              <w:top w:w="80" w:type="dxa"/>
              <w:left w:w="100" w:type="dxa"/>
              <w:bottom w:w="80" w:type="dxa"/>
              <w:right w:w="100" w:type="dxa"/>
            </w:tcMar>
            <w:vAlign w:val="center"/>
          </w:tcPr>
          <w:p w14:paraId="69459053">
            <w:pPr>
              <w:jc w:val="center"/>
            </w:pPr>
            <w:r>
              <w:rPr>
                <w:rFonts w:ascii="Arial" w:hAnsi="Arial" w:eastAsia="黑体"/>
                <w:b/>
                <w:sz w:val="15"/>
              </w:rPr>
              <w:t>动作</w:t>
            </w:r>
          </w:p>
        </w:tc>
        <w:tc>
          <w:tcPr>
            <w:tcW w:w="999" w:type="dxa"/>
            <w:shd w:val="clear" w:color="auto" w:fill="D9EAF7"/>
            <w:tcMar>
              <w:top w:w="80" w:type="dxa"/>
              <w:left w:w="100" w:type="dxa"/>
              <w:bottom w:w="80" w:type="dxa"/>
              <w:right w:w="100" w:type="dxa"/>
            </w:tcMar>
            <w:vAlign w:val="center"/>
          </w:tcPr>
          <w:p w14:paraId="021B3B5B">
            <w:pPr>
              <w:jc w:val="center"/>
            </w:pPr>
            <w:r>
              <w:rPr>
                <w:rFonts w:ascii="Arial" w:hAnsi="Arial" w:eastAsia="黑体"/>
                <w:b/>
                <w:sz w:val="15"/>
              </w:rPr>
              <w:t>方法</w:t>
            </w:r>
          </w:p>
        </w:tc>
        <w:tc>
          <w:tcPr>
            <w:tcW w:w="2428" w:type="dxa"/>
            <w:shd w:val="clear" w:color="auto" w:fill="D9EAF7"/>
            <w:tcMar>
              <w:top w:w="80" w:type="dxa"/>
              <w:left w:w="100" w:type="dxa"/>
              <w:bottom w:w="80" w:type="dxa"/>
              <w:right w:w="100" w:type="dxa"/>
            </w:tcMar>
            <w:vAlign w:val="center"/>
          </w:tcPr>
          <w:p w14:paraId="18548F72">
            <w:pPr>
              <w:jc w:val="center"/>
            </w:pPr>
            <w:r>
              <w:rPr>
                <w:rFonts w:ascii="Arial" w:hAnsi="Arial" w:eastAsia="黑体"/>
                <w:b/>
                <w:sz w:val="15"/>
              </w:rPr>
              <w:t>几何结果</w:t>
            </w:r>
          </w:p>
        </w:tc>
        <w:tc>
          <w:tcPr>
            <w:tcW w:w="3469" w:type="dxa"/>
            <w:shd w:val="clear" w:color="auto" w:fill="D9EAF7"/>
            <w:tcMar>
              <w:top w:w="80" w:type="dxa"/>
              <w:left w:w="100" w:type="dxa"/>
              <w:bottom w:w="80" w:type="dxa"/>
              <w:right w:w="100" w:type="dxa"/>
            </w:tcMar>
            <w:vAlign w:val="center"/>
          </w:tcPr>
          <w:p w14:paraId="3FB5C5EA">
            <w:pPr>
              <w:jc w:val="center"/>
            </w:pPr>
            <w:r>
              <w:rPr>
                <w:rFonts w:ascii="Arial" w:hAnsi="Arial" w:eastAsia="黑体"/>
                <w:b/>
                <w:sz w:val="15"/>
              </w:rPr>
              <w:t>主要动力学结果</w:t>
            </w:r>
          </w:p>
        </w:tc>
        <w:tc>
          <w:tcPr>
            <w:tcW w:w="667" w:type="dxa"/>
            <w:shd w:val="clear" w:color="auto" w:fill="D9EAF7"/>
            <w:tcMar>
              <w:top w:w="80" w:type="dxa"/>
              <w:left w:w="100" w:type="dxa"/>
              <w:bottom w:w="80" w:type="dxa"/>
              <w:right w:w="100" w:type="dxa"/>
            </w:tcMar>
            <w:vAlign w:val="center"/>
          </w:tcPr>
          <w:p w14:paraId="2D02C696">
            <w:pPr>
              <w:jc w:val="center"/>
            </w:pPr>
            <w:r>
              <w:rPr>
                <w:rFonts w:ascii="Arial" w:hAnsi="Arial" w:eastAsia="黑体"/>
                <w:b/>
                <w:sz w:val="15"/>
              </w:rPr>
              <w:t>判定</w:t>
            </w:r>
          </w:p>
        </w:tc>
      </w:tr>
      <w:tr w14:paraId="3AAD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7" w:type="dxa"/>
            <w:tcMar>
              <w:top w:w="80" w:type="dxa"/>
              <w:left w:w="100" w:type="dxa"/>
              <w:bottom w:w="80" w:type="dxa"/>
              <w:right w:w="100" w:type="dxa"/>
            </w:tcMar>
            <w:vAlign w:val="center"/>
          </w:tcPr>
          <w:p w14:paraId="28CC615B">
            <w:pPr>
              <w:jc w:val="center"/>
            </w:pPr>
            <w:r>
              <w:rPr>
                <w:rFonts w:ascii="Times New Roman" w:hAnsi="Times New Roman" w:eastAsia="宋体"/>
                <w:sz w:val="15"/>
              </w:rPr>
              <w:t>360度筋斗</w:t>
            </w:r>
          </w:p>
        </w:tc>
        <w:tc>
          <w:tcPr>
            <w:tcW w:w="999" w:type="dxa"/>
            <w:tcMar>
              <w:top w:w="80" w:type="dxa"/>
              <w:left w:w="100" w:type="dxa"/>
              <w:bottom w:w="80" w:type="dxa"/>
              <w:right w:w="100" w:type="dxa"/>
            </w:tcMar>
            <w:vAlign w:val="center"/>
          </w:tcPr>
          <w:p w14:paraId="72A484AA">
            <w:pPr>
              <w:jc w:val="center"/>
            </w:pPr>
            <w:r>
              <w:rPr>
                <w:rFonts w:ascii="Times New Roman" w:hAnsi="Times New Roman" w:eastAsia="宋体"/>
                <w:sz w:val="15"/>
              </w:rPr>
              <w:t>五次多项式</w:t>
            </w:r>
          </w:p>
        </w:tc>
        <w:tc>
          <w:tcPr>
            <w:tcW w:w="2428" w:type="dxa"/>
            <w:tcMar>
              <w:top w:w="80" w:type="dxa"/>
              <w:left w:w="100" w:type="dxa"/>
              <w:bottom w:w="80" w:type="dxa"/>
              <w:right w:w="100" w:type="dxa"/>
            </w:tcMar>
            <w:vAlign w:val="center"/>
          </w:tcPr>
          <w:p w14:paraId="20FBC8A7">
            <w:pPr>
              <w:jc w:val="left"/>
            </w:pPr>
            <w:r>
              <w:rPr>
                <w:rFonts w:ascii="Times New Roman" w:hAnsi="Times New Roman" w:eastAsia="宋体"/>
                <w:sz w:val="15"/>
              </w:rPr>
              <w:t>闭合误差0.000 m；最小半径23.87 m</w:t>
            </w:r>
          </w:p>
        </w:tc>
        <w:tc>
          <w:tcPr>
            <w:tcW w:w="3469" w:type="dxa"/>
            <w:tcMar>
              <w:top w:w="80" w:type="dxa"/>
              <w:left w:w="100" w:type="dxa"/>
              <w:bottom w:w="80" w:type="dxa"/>
              <w:right w:w="100" w:type="dxa"/>
            </w:tcMar>
            <w:vAlign w:val="center"/>
          </w:tcPr>
          <w:p w14:paraId="56E9D1B2">
            <w:pPr>
              <w:jc w:val="left"/>
            </w:pPr>
            <w:r>
              <w:rPr>
                <w:rFonts w:ascii="Times New Roman" w:hAnsi="Times New Roman" w:eastAsia="宋体"/>
                <w:sz w:val="15"/>
              </w:rPr>
              <w:t>2.200 g；迎角10.42°；裕度0.951</w:t>
            </w:r>
          </w:p>
        </w:tc>
        <w:tc>
          <w:tcPr>
            <w:tcW w:w="667" w:type="dxa"/>
            <w:tcMar>
              <w:top w:w="80" w:type="dxa"/>
              <w:left w:w="100" w:type="dxa"/>
              <w:bottom w:w="80" w:type="dxa"/>
              <w:right w:w="100" w:type="dxa"/>
            </w:tcMar>
            <w:vAlign w:val="center"/>
          </w:tcPr>
          <w:p w14:paraId="6D7DCBC9">
            <w:pPr>
              <w:jc w:val="center"/>
            </w:pPr>
            <w:r>
              <w:rPr>
                <w:rFonts w:ascii="Times New Roman" w:hAnsi="Times New Roman" w:eastAsia="宋体"/>
                <w:sz w:val="15"/>
              </w:rPr>
              <w:t>通过</w:t>
            </w:r>
          </w:p>
        </w:tc>
      </w:tr>
      <w:tr w14:paraId="2260A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7" w:type="dxa"/>
            <w:tcMar>
              <w:top w:w="80" w:type="dxa"/>
              <w:left w:w="100" w:type="dxa"/>
              <w:bottom w:w="80" w:type="dxa"/>
              <w:right w:w="100" w:type="dxa"/>
            </w:tcMar>
            <w:vAlign w:val="center"/>
          </w:tcPr>
          <w:p w14:paraId="7F687EFA">
            <w:pPr>
              <w:jc w:val="center"/>
            </w:pPr>
            <w:r>
              <w:rPr>
                <w:rFonts w:ascii="Times New Roman" w:hAnsi="Times New Roman" w:eastAsia="宋体"/>
                <w:sz w:val="15"/>
              </w:rPr>
              <w:t>360度筋斗</w:t>
            </w:r>
          </w:p>
        </w:tc>
        <w:tc>
          <w:tcPr>
            <w:tcW w:w="999" w:type="dxa"/>
            <w:tcMar>
              <w:top w:w="80" w:type="dxa"/>
              <w:left w:w="100" w:type="dxa"/>
              <w:bottom w:w="80" w:type="dxa"/>
              <w:right w:w="100" w:type="dxa"/>
            </w:tcMar>
            <w:vAlign w:val="center"/>
          </w:tcPr>
          <w:p w14:paraId="236227A0">
            <w:pPr>
              <w:jc w:val="center"/>
            </w:pPr>
            <w:r>
              <w:rPr>
                <w:rFonts w:ascii="Times New Roman" w:hAnsi="Times New Roman" w:eastAsia="宋体"/>
                <w:sz w:val="15"/>
              </w:rPr>
              <w:t>B样条</w:t>
            </w:r>
          </w:p>
        </w:tc>
        <w:tc>
          <w:tcPr>
            <w:tcW w:w="2428" w:type="dxa"/>
            <w:tcMar>
              <w:top w:w="80" w:type="dxa"/>
              <w:left w:w="100" w:type="dxa"/>
              <w:bottom w:w="80" w:type="dxa"/>
              <w:right w:w="100" w:type="dxa"/>
            </w:tcMar>
            <w:vAlign w:val="center"/>
          </w:tcPr>
          <w:p w14:paraId="0D8927A6">
            <w:pPr>
              <w:jc w:val="left"/>
            </w:pPr>
            <w:r>
              <w:rPr>
                <w:rFonts w:ascii="Times New Roman" w:hAnsi="Times New Roman" w:eastAsia="宋体"/>
                <w:sz w:val="15"/>
              </w:rPr>
              <w:t>闭合误差0.000 m；最小半径30.34 m</w:t>
            </w:r>
          </w:p>
        </w:tc>
        <w:tc>
          <w:tcPr>
            <w:tcW w:w="3469" w:type="dxa"/>
            <w:tcMar>
              <w:top w:w="80" w:type="dxa"/>
              <w:left w:w="100" w:type="dxa"/>
              <w:bottom w:w="80" w:type="dxa"/>
              <w:right w:w="100" w:type="dxa"/>
            </w:tcMar>
            <w:vAlign w:val="center"/>
          </w:tcPr>
          <w:p w14:paraId="18F3BD65">
            <w:pPr>
              <w:jc w:val="left"/>
            </w:pPr>
            <w:r>
              <w:rPr>
                <w:rFonts w:ascii="Times New Roman" w:hAnsi="Times New Roman" w:eastAsia="宋体"/>
                <w:sz w:val="15"/>
              </w:rPr>
              <w:t>2.169 g；迎角9.71°；裕度1.010</w:t>
            </w:r>
          </w:p>
        </w:tc>
        <w:tc>
          <w:tcPr>
            <w:tcW w:w="667" w:type="dxa"/>
            <w:tcMar>
              <w:top w:w="80" w:type="dxa"/>
              <w:left w:w="100" w:type="dxa"/>
              <w:bottom w:w="80" w:type="dxa"/>
              <w:right w:w="100" w:type="dxa"/>
            </w:tcMar>
            <w:vAlign w:val="center"/>
          </w:tcPr>
          <w:p w14:paraId="4AFB1CBA">
            <w:pPr>
              <w:jc w:val="center"/>
            </w:pPr>
            <w:r>
              <w:rPr>
                <w:rFonts w:ascii="Times New Roman" w:hAnsi="Times New Roman" w:eastAsia="宋体"/>
                <w:sz w:val="15"/>
              </w:rPr>
              <w:t>通过</w:t>
            </w:r>
          </w:p>
        </w:tc>
      </w:tr>
      <w:tr w14:paraId="4BBC8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7" w:type="dxa"/>
            <w:tcMar>
              <w:top w:w="80" w:type="dxa"/>
              <w:left w:w="100" w:type="dxa"/>
              <w:bottom w:w="80" w:type="dxa"/>
              <w:right w:w="100" w:type="dxa"/>
            </w:tcMar>
            <w:vAlign w:val="center"/>
          </w:tcPr>
          <w:p w14:paraId="4BA0A498">
            <w:pPr>
              <w:jc w:val="center"/>
            </w:pPr>
            <w:r>
              <w:rPr>
                <w:rFonts w:ascii="Times New Roman" w:hAnsi="Times New Roman" w:eastAsia="宋体"/>
                <w:sz w:val="15"/>
              </w:rPr>
              <w:t>殷麦曼机动</w:t>
            </w:r>
          </w:p>
        </w:tc>
        <w:tc>
          <w:tcPr>
            <w:tcW w:w="999" w:type="dxa"/>
            <w:tcMar>
              <w:top w:w="80" w:type="dxa"/>
              <w:left w:w="100" w:type="dxa"/>
              <w:bottom w:w="80" w:type="dxa"/>
              <w:right w:w="100" w:type="dxa"/>
            </w:tcMar>
            <w:vAlign w:val="center"/>
          </w:tcPr>
          <w:p w14:paraId="746CAFF6">
            <w:pPr>
              <w:jc w:val="center"/>
            </w:pPr>
            <w:r>
              <w:rPr>
                <w:rFonts w:ascii="Times New Roman" w:hAnsi="Times New Roman" w:eastAsia="宋体"/>
                <w:sz w:val="15"/>
              </w:rPr>
              <w:t>五次多项式</w:t>
            </w:r>
          </w:p>
        </w:tc>
        <w:tc>
          <w:tcPr>
            <w:tcW w:w="2428" w:type="dxa"/>
            <w:tcMar>
              <w:top w:w="80" w:type="dxa"/>
              <w:left w:w="100" w:type="dxa"/>
              <w:bottom w:w="80" w:type="dxa"/>
              <w:right w:w="100" w:type="dxa"/>
            </w:tcMar>
            <w:vAlign w:val="center"/>
          </w:tcPr>
          <w:p w14:paraId="734167FD">
            <w:pPr>
              <w:jc w:val="left"/>
            </w:pPr>
            <w:r>
              <w:rPr>
                <w:rFonts w:ascii="Times New Roman" w:hAnsi="Times New Roman" w:eastAsia="宋体"/>
                <w:sz w:val="15"/>
              </w:rPr>
              <w:t>终端误差0.000 m；最小半径23.87 m</w:t>
            </w:r>
          </w:p>
        </w:tc>
        <w:tc>
          <w:tcPr>
            <w:tcW w:w="3469" w:type="dxa"/>
            <w:tcMar>
              <w:top w:w="80" w:type="dxa"/>
              <w:left w:w="100" w:type="dxa"/>
              <w:bottom w:w="80" w:type="dxa"/>
              <w:right w:w="100" w:type="dxa"/>
            </w:tcMar>
            <w:vAlign w:val="center"/>
          </w:tcPr>
          <w:p w14:paraId="5E09B3A5">
            <w:pPr>
              <w:jc w:val="left"/>
            </w:pPr>
            <w:r>
              <w:rPr>
                <w:rFonts w:ascii="Times New Roman" w:hAnsi="Times New Roman" w:eastAsia="宋体"/>
                <w:sz w:val="15"/>
              </w:rPr>
              <w:t>2.200 g；滚转率180.4°/s；裕度0.951</w:t>
            </w:r>
          </w:p>
        </w:tc>
        <w:tc>
          <w:tcPr>
            <w:tcW w:w="667" w:type="dxa"/>
            <w:tcMar>
              <w:top w:w="80" w:type="dxa"/>
              <w:left w:w="100" w:type="dxa"/>
              <w:bottom w:w="80" w:type="dxa"/>
              <w:right w:w="100" w:type="dxa"/>
            </w:tcMar>
            <w:vAlign w:val="center"/>
          </w:tcPr>
          <w:p w14:paraId="76FB7FCF">
            <w:pPr>
              <w:jc w:val="center"/>
            </w:pPr>
            <w:r>
              <w:rPr>
                <w:rFonts w:ascii="Times New Roman" w:hAnsi="Times New Roman" w:eastAsia="宋体"/>
                <w:sz w:val="15"/>
              </w:rPr>
              <w:t>通过</w:t>
            </w:r>
          </w:p>
        </w:tc>
      </w:tr>
      <w:tr w14:paraId="1D666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7" w:type="dxa"/>
            <w:tcMar>
              <w:top w:w="80" w:type="dxa"/>
              <w:left w:w="100" w:type="dxa"/>
              <w:bottom w:w="80" w:type="dxa"/>
              <w:right w:w="100" w:type="dxa"/>
            </w:tcMar>
            <w:vAlign w:val="center"/>
          </w:tcPr>
          <w:p w14:paraId="59DF6C84">
            <w:pPr>
              <w:jc w:val="center"/>
            </w:pPr>
            <w:r>
              <w:rPr>
                <w:rFonts w:ascii="Times New Roman" w:hAnsi="Times New Roman" w:eastAsia="宋体"/>
                <w:sz w:val="15"/>
              </w:rPr>
              <w:t>殷麦曼机动</w:t>
            </w:r>
          </w:p>
        </w:tc>
        <w:tc>
          <w:tcPr>
            <w:tcW w:w="999" w:type="dxa"/>
            <w:tcMar>
              <w:top w:w="80" w:type="dxa"/>
              <w:left w:w="100" w:type="dxa"/>
              <w:bottom w:w="80" w:type="dxa"/>
              <w:right w:w="100" w:type="dxa"/>
            </w:tcMar>
            <w:vAlign w:val="center"/>
          </w:tcPr>
          <w:p w14:paraId="222E169C">
            <w:pPr>
              <w:jc w:val="center"/>
            </w:pPr>
            <w:r>
              <w:rPr>
                <w:rFonts w:ascii="Times New Roman" w:hAnsi="Times New Roman" w:eastAsia="宋体"/>
                <w:sz w:val="15"/>
              </w:rPr>
              <w:t>B样条</w:t>
            </w:r>
          </w:p>
        </w:tc>
        <w:tc>
          <w:tcPr>
            <w:tcW w:w="2428" w:type="dxa"/>
            <w:tcMar>
              <w:top w:w="80" w:type="dxa"/>
              <w:left w:w="100" w:type="dxa"/>
              <w:bottom w:w="80" w:type="dxa"/>
              <w:right w:w="100" w:type="dxa"/>
            </w:tcMar>
            <w:vAlign w:val="center"/>
          </w:tcPr>
          <w:p w14:paraId="7ED0BF91">
            <w:pPr>
              <w:jc w:val="left"/>
            </w:pPr>
            <w:r>
              <w:rPr>
                <w:rFonts w:ascii="Times New Roman" w:hAnsi="Times New Roman" w:eastAsia="宋体"/>
                <w:sz w:val="15"/>
              </w:rPr>
              <w:t>终端误差0.000 m；最小半径30.57 m</w:t>
            </w:r>
          </w:p>
        </w:tc>
        <w:tc>
          <w:tcPr>
            <w:tcW w:w="3469" w:type="dxa"/>
            <w:tcMar>
              <w:top w:w="80" w:type="dxa"/>
              <w:left w:w="100" w:type="dxa"/>
              <w:bottom w:w="80" w:type="dxa"/>
              <w:right w:w="100" w:type="dxa"/>
            </w:tcMar>
            <w:vAlign w:val="center"/>
          </w:tcPr>
          <w:p w14:paraId="571F2937">
            <w:pPr>
              <w:jc w:val="left"/>
            </w:pPr>
            <w:r>
              <w:rPr>
                <w:rFonts w:ascii="Times New Roman" w:hAnsi="Times New Roman" w:eastAsia="宋体"/>
                <w:sz w:val="15"/>
              </w:rPr>
              <w:t>2.204 g；滚转率177.8°/s；裕度0.994</w:t>
            </w:r>
          </w:p>
        </w:tc>
        <w:tc>
          <w:tcPr>
            <w:tcW w:w="667" w:type="dxa"/>
            <w:tcMar>
              <w:top w:w="80" w:type="dxa"/>
              <w:left w:w="100" w:type="dxa"/>
              <w:bottom w:w="80" w:type="dxa"/>
              <w:right w:w="100" w:type="dxa"/>
            </w:tcMar>
            <w:vAlign w:val="center"/>
          </w:tcPr>
          <w:p w14:paraId="0F2D8337">
            <w:pPr>
              <w:jc w:val="center"/>
            </w:pPr>
            <w:r>
              <w:rPr>
                <w:rFonts w:ascii="Times New Roman" w:hAnsi="Times New Roman" w:eastAsia="宋体"/>
                <w:sz w:val="15"/>
              </w:rPr>
              <w:t>通过</w:t>
            </w:r>
          </w:p>
        </w:tc>
      </w:tr>
    </w:tbl>
    <w:p w14:paraId="0925A1A0">
      <w:pPr>
        <w:spacing w:after="40"/>
      </w:pPr>
    </w:p>
    <w:p w14:paraId="024ABDFC">
      <w:pPr>
        <w:pStyle w:val="14"/>
        <w:ind w:firstLine="420"/>
        <w:jc w:val="both"/>
      </w:pPr>
      <w:r>
        <w:rPr>
          <w:rFonts w:ascii="Times New Roman" w:hAnsi="Times New Roman" w:eastAsia="宋体"/>
          <w:sz w:val="21"/>
        </w:rPr>
        <w:t>综合结果表明，两种传统方法均能在当前统一边界下生成可用的筋斗与殷麦曼参考轨姿，并通过规划级几何和动力学筛查。五次多项式方法计算速度快、结果确定、参数与动作形状之间的关系直观，适合作为在线快速生成或故障回退基准。B样条约束优化方法计算时间较长，但能够在生成阶段直接处理路径长度、终端位置、曲率、过载和升力裕度，并显著降低jerk和曲率变化率。</w:t>
      </w:r>
    </w:p>
    <w:p w14:paraId="47767046">
      <w:pPr>
        <w:pStyle w:val="14"/>
        <w:ind w:firstLine="420"/>
        <w:jc w:val="both"/>
      </w:pPr>
      <w:r>
        <w:rPr>
          <w:rFonts w:ascii="Times New Roman" w:hAnsi="Times New Roman" w:eastAsia="宋体"/>
          <w:sz w:val="21"/>
        </w:rPr>
        <w:t>对完整筋斗，B样条方法同时降低最大过载、最大迎角和俯仰角速度，并把最小含速度裕度提高到1.010左右，综合改善较为明显。对殷麦曼机动，B样条方法降低jerk、曲率变化率、迎角和滚转角速度，但最大过载和侧向力系数略有增加，反映了多目标约束优化的真实折中。因此，报告不把B样条表述为对五次多项式方法的全面替代，而将其定位为更适合离线高质量轨迹生成的传统优化方法。</w:t>
      </w:r>
    </w:p>
    <w:p w14:paraId="51F57C3B">
      <w:pPr>
        <w:pStyle w:val="16"/>
        <w:pBdr>
          <w:bottom w:val="single" w:color="1F4E78" w:sz="8" w:space="1"/>
        </w:pBdr>
        <w:shd w:val="clear" w:fill="D9EAF7"/>
        <w:spacing w:before="40" w:after="100"/>
        <w:ind w:left="142" w:right="142"/>
      </w:pPr>
      <w:r>
        <w:rPr>
          <w:rFonts w:ascii="Times New Roman" w:hAnsi="Times New Roman" w:eastAsia="宋体"/>
          <w:b/>
          <w:color w:val="1F4E78"/>
          <w:sz w:val="19"/>
        </w:rPr>
        <w:t>本阶段结论｜两种方法生成的四条轨姿均可作为后续跟踪控制算法的参考输入。其中B样条结果更适合用于高质量训练样本和控制平滑性研究，五次多项式结果适合作为稳定基准。进入实物试验前仍必须完成推力、舵面、舵机、失速、结构载荷及六自由度闭环跟踪验证。</w:t>
      </w:r>
    </w:p>
    <w:p w14:paraId="42BCE610">
      <w:pPr>
        <w:ind w:firstLine="420" w:firstLineChars="200"/>
      </w:pPr>
      <w:r>
        <w:rPr>
          <w:rFonts w:ascii="Times New Roman" w:hAnsi="Times New Roman" w:eastAsia="宋体"/>
          <w:sz w:val="21"/>
        </w:rPr>
        <w:t>本次动力学结果不能证明实机一定能够完成动作。VLM数据主要适用于附着流，15°迎角上限不是实测失速迎角；净切向力与机械功率尚未叠加可靠阻力模型，也没有与电机—螺旋桨实测能力比较；滚转率和侧向力阈值仍属于工程假设。后续获得真实推进与操纵参数后，应保持本次轨迹数据不变，依次完成控制量反算、六自由度开环验证、闭环跟踪误差统计和安全包线复核。</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方正小标宋简体">
    <w:altName w:val="黑体"/>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BC718">
    <w:pPr>
      <w:pStyle w:val="8"/>
      <w:jc w:val="center"/>
      <w:rPr>
        <w:u w:val="single"/>
      </w:rPr>
    </w:pPr>
    <w:r>
      <w:rPr>
        <w:rFonts w:hint="eastAsia"/>
        <w:u w:val="single"/>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161290</wp:posOffset>
              </wp:positionV>
              <wp:extent cx="5241925" cy="635"/>
              <wp:effectExtent l="0" t="0" r="0" b="0"/>
              <wp:wrapNone/>
              <wp:docPr id="9" name="自选图形 2"/>
              <wp:cNvGraphicFramePr/>
              <a:graphic xmlns:a="http://schemas.openxmlformats.org/drawingml/2006/main">
                <a:graphicData uri="http://schemas.microsoft.com/office/word/2010/wordprocessingShape">
                  <wps:wsp>
                    <wps:cNvCnPr/>
                    <wps:spPr>
                      <a:xfrm>
                        <a:off x="0" y="0"/>
                        <a:ext cx="5241925" cy="635"/>
                      </a:xfrm>
                      <a:prstGeom prst="straightConnector1">
                        <a:avLst/>
                      </a:prstGeom>
                      <a:ln w="9525" cap="flat" cmpd="sng">
                        <a:solidFill>
                          <a:srgbClr val="FFFFFF"/>
                        </a:solidFill>
                        <a:prstDash val="solid"/>
                        <a:headEnd type="none" w="med" len="med"/>
                        <a:tailEnd type="none" w="med" len="med"/>
                      </a:ln>
                    </wps:spPr>
                    <wps:bodyPr wrap="square" upright="1"/>
                  </wps:wsp>
                </a:graphicData>
              </a:graphic>
            </wp:anchor>
          </w:drawing>
        </mc:Choice>
        <mc:Fallback>
          <w:pict>
            <v:shape id="自选图形 2" o:spid="_x0000_s1026" o:spt="32" type="#_x0000_t32" style="position:absolute;left:0pt;margin-left:2.25pt;margin-top:12.7pt;height:0.05pt;width:412.75pt;z-index:251659264;mso-width-relative:page;mso-height-relative:page;" filled="f" stroked="t" coordsize="21600,21600" o:gfxdata="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wmEPfUAAAABwEAAA8AAAAAAAAAAQAgAAAAIgAAAGRycy9k&#10;b3ducmV2LnhtbFBLAQIUABQAAAAIAIdO4kAnQGjVBgIAAP8DAAAOAAAAAAAAAAEAIAAAACMBAABk&#10;cnMvZTJvRG9jLnhtbFBLBQYAAAAABgAGAFkBAACbBQAAAAA=&#10;">
              <v:fill on="f" focussize="0,0"/>
              <v:stroke color="#FFFFFF" joinstyle="round"/>
              <v:imagedata o:title=""/>
              <o:lock v:ext="edit" aspectratio="f"/>
            </v:shape>
          </w:pict>
        </mc:Fallback>
      </mc:AlternateContent>
    </w:r>
    <w:r>
      <w:rPr>
        <w:rFonts w:hint="eastAsia"/>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2BEDCF"/>
    <w:multiLevelType w:val="singleLevel"/>
    <w:tmpl w:val="392BEDC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pos w:val="beneathText"/>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74279B"/>
    <w:rsid w:val="00621C19"/>
    <w:rsid w:val="02366D2D"/>
    <w:rsid w:val="04D1736D"/>
    <w:rsid w:val="18B27E87"/>
    <w:rsid w:val="21C6392F"/>
    <w:rsid w:val="2347667F"/>
    <w:rsid w:val="24003A9F"/>
    <w:rsid w:val="2774279B"/>
    <w:rsid w:val="2BD870AF"/>
    <w:rsid w:val="2C300C99"/>
    <w:rsid w:val="2D605DE4"/>
    <w:rsid w:val="30A6152A"/>
    <w:rsid w:val="312406A1"/>
    <w:rsid w:val="32F80037"/>
    <w:rsid w:val="396226AE"/>
    <w:rsid w:val="46B207D1"/>
    <w:rsid w:val="481167C3"/>
    <w:rsid w:val="4AA56185"/>
    <w:rsid w:val="51F021AD"/>
    <w:rsid w:val="5AD36B10"/>
    <w:rsid w:val="5F6E5059"/>
    <w:rsid w:val="621839B4"/>
    <w:rsid w:val="649C7F73"/>
    <w:rsid w:val="64AC28AC"/>
    <w:rsid w:val="658904F7"/>
    <w:rsid w:val="6CED5810"/>
    <w:rsid w:val="711E68DF"/>
    <w:rsid w:val="712023D4"/>
    <w:rsid w:val="72541E8D"/>
    <w:rsid w:val="744E1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ordWrap w:val="0"/>
      <w:spacing w:after="200" w:line="276" w:lineRule="auto"/>
      <w:jc w:val="both"/>
    </w:pPr>
    <w:rPr>
      <w:rFonts w:ascii="Times New Roman" w:hAnsi="Times New Roman" w:eastAsia="仿宋" w:cs="Times New Roman"/>
      <w:sz w:val="30"/>
      <w:szCs w:val="22"/>
      <w:lang w:val="en-US" w:eastAsia="zh-CN" w:bidi="ar-SA"/>
    </w:rPr>
  </w:style>
  <w:style w:type="paragraph" w:styleId="2">
    <w:name w:val="heading 1"/>
    <w:basedOn w:val="1"/>
    <w:next w:val="1"/>
    <w:qFormat/>
    <w:uiPriority w:val="0"/>
    <w:pPr>
      <w:keepNext/>
      <w:keepLines/>
      <w:widowControl w:val="0"/>
      <w:suppressAutoHyphens/>
      <w:spacing w:before="340" w:after="330" w:line="578" w:lineRule="auto"/>
      <w:jc w:val="both"/>
      <w:outlineLvl w:val="0"/>
    </w:pPr>
    <w:rPr>
      <w:rFonts w:eastAsia="黑体"/>
      <w:bCs/>
      <w:kern w:val="44"/>
      <w:sz w:val="32"/>
      <w:szCs w:val="44"/>
    </w:rPr>
  </w:style>
  <w:style w:type="paragraph" w:styleId="3">
    <w:name w:val="heading 2"/>
    <w:basedOn w:val="1"/>
    <w:next w:val="1"/>
    <w:qFormat/>
    <w:uiPriority w:val="9"/>
    <w:pPr>
      <w:keepNext/>
      <w:keepLines/>
      <w:spacing w:line="360" w:lineRule="auto"/>
      <w:outlineLvl w:val="1"/>
    </w:pPr>
    <w:rPr>
      <w:rFonts w:ascii="Cambria" w:hAnsi="Cambria" w:eastAsia="黑体"/>
      <w:b/>
      <w:bCs/>
      <w:sz w:val="30"/>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28"/>
    </w:rPr>
  </w:style>
  <w:style w:type="character" w:default="1" w:styleId="13">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annotation text"/>
    <w:basedOn w:val="1"/>
    <w:uiPriority w:val="0"/>
    <w:pPr>
      <w:jc w:val="left"/>
    </w:pPr>
  </w:style>
  <w:style w:type="paragraph" w:styleId="7">
    <w:name w:val="toc 3"/>
    <w:basedOn w:val="1"/>
    <w:next w:val="1"/>
    <w:unhideWhenUsed/>
    <w:qFormat/>
    <w:uiPriority w:val="39"/>
    <w:pPr>
      <w:spacing w:after="100"/>
      <w:ind w:left="440"/>
    </w:pPr>
  </w:style>
  <w:style w:type="paragraph" w:styleId="8">
    <w:name w:val="header"/>
    <w:basedOn w:val="1"/>
    <w:unhideWhenUsed/>
    <w:qFormat/>
    <w:uiPriority w:val="99"/>
    <w:pPr>
      <w:tabs>
        <w:tab w:val="center" w:pos="4320"/>
        <w:tab w:val="right" w:pos="8640"/>
      </w:tabs>
      <w:spacing w:after="0" w:line="240" w:lineRule="auto"/>
    </w:pPr>
  </w:style>
  <w:style w:type="paragraph" w:styleId="9">
    <w:name w:val="toc 1"/>
    <w:basedOn w:val="1"/>
    <w:next w:val="1"/>
    <w:unhideWhenUsed/>
    <w:qFormat/>
    <w:uiPriority w:val="39"/>
    <w:pPr>
      <w:spacing w:after="100"/>
    </w:pPr>
  </w:style>
  <w:style w:type="paragraph" w:styleId="10">
    <w:name w:val="toc 2"/>
    <w:basedOn w:val="1"/>
    <w:next w:val="1"/>
    <w:unhideWhenUsed/>
    <w:qFormat/>
    <w:uiPriority w:val="39"/>
    <w:pPr>
      <w:spacing w:after="100"/>
      <w:ind w:left="220"/>
    </w:p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Report Body"/>
    <w:qFormat/>
    <w:uiPriority w:val="0"/>
    <w:pPr>
      <w:spacing w:after="60" w:line="288" w:lineRule="auto"/>
    </w:pPr>
    <w:rPr>
      <w:rFonts w:ascii="Times New Roman" w:hAnsi="Times New Roman" w:eastAsia="宋体" w:cs="Times New Roman"/>
      <w:sz w:val="21"/>
    </w:rPr>
  </w:style>
  <w:style w:type="paragraph" w:customStyle="1" w:styleId="15">
    <w:name w:val="Report Equation"/>
    <w:qFormat/>
    <w:uiPriority w:val="0"/>
    <w:pPr>
      <w:spacing w:after="60" w:line="288" w:lineRule="auto"/>
    </w:pPr>
    <w:rPr>
      <w:rFonts w:ascii="Cambria Math" w:hAnsi="Cambria Math" w:eastAsia="Cambria Math" w:cs="Times New Roman"/>
      <w:sz w:val="21"/>
    </w:rPr>
  </w:style>
  <w:style w:type="paragraph" w:customStyle="1" w:styleId="16">
    <w:name w:val="Report Note"/>
    <w:qFormat/>
    <w:uiPriority w:val="0"/>
    <w:pPr>
      <w:spacing w:after="60" w:line="288" w:lineRule="auto"/>
    </w:pPr>
    <w:rPr>
      <w:rFonts w:ascii="Times New Roman" w:hAnsi="Times New Roman" w:eastAsia="宋体" w:cs="Times New Roman"/>
      <w:sz w:val="19"/>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3331</Words>
  <Characters>3729</Characters>
  <Lines>0</Lines>
  <Paragraphs>0</Paragraphs>
  <TotalTime>4017</TotalTime>
  <ScaleCrop>false</ScaleCrop>
  <LinksUpToDate>false</LinksUpToDate>
  <CharactersWithSpaces>3838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2026-07-28T03:30:00Z</dcterms:created>
  <dc:creator>古美門  研介</dc:creator>
  <cp:lastModifiedBy>陈伯桓0219</cp:lastModifiedBy>
  <dcterms:modified xsi:type="dcterms:W3CDTF">2026-08-04T08:15:02Z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D062E4C7CF744409A7BA3CAD1A14A7C4_11</vt:lpwstr>
  </property>
  <property fmtid="{D5CDD505-2E9C-101B-9397-08002B2CF9AE}" pid="4" name="KSOTemplateDocerSaveRecord">
    <vt:lpwstr>eyJoZGlkIjoiMDU3YTkyZTU2Mjk1M2IyZjI5NGFlMTljY2Q2MDdjMDUiLCJ1c2VySWQiOiIxODIzMTgwNDA1In0=</vt:lpwstr>
  </property>
</Properties>
</file>