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41CF" w14:textId="5BFE8B70" w:rsidR="007213B8" w:rsidRDefault="007213B8" w:rsidP="007213B8">
      <w:pPr>
        <w:pStyle w:val="Heading1"/>
        <w:numPr>
          <w:ilvl w:val="0"/>
          <w:numId w:val="0"/>
        </w:numPr>
      </w:pPr>
      <w:bookmarkStart w:id="0" w:name="_Toc101875606"/>
      <w:r>
        <w:t xml:space="preserve">  Challenge based learning (CBL) </w:t>
      </w:r>
    </w:p>
    <w:p w14:paraId="57DD91F1" w14:textId="4B86D636" w:rsidR="007213B8" w:rsidRPr="007213B8" w:rsidRDefault="007213B8" w:rsidP="007213B8">
      <w:pPr>
        <w:pStyle w:val="Heading1"/>
        <w:numPr>
          <w:ilvl w:val="0"/>
          <w:numId w:val="0"/>
        </w:numPr>
        <w:rPr>
          <w:sz w:val="20"/>
          <w:szCs w:val="20"/>
        </w:rPr>
      </w:pPr>
      <w:r>
        <w:rPr>
          <w:rFonts w:cs="Arial"/>
          <w:sz w:val="20"/>
          <w:szCs w:val="20"/>
        </w:rPr>
        <w:t xml:space="preserve">   </w:t>
      </w:r>
      <w:r w:rsidRPr="007213B8">
        <w:rPr>
          <w:rFonts w:cs="Arial"/>
          <w:sz w:val="20"/>
          <w:szCs w:val="20"/>
        </w:rPr>
        <w:t>Perfusion of a tissue engineered islet of Langerhans</w:t>
      </w:r>
      <w:bookmarkEnd w:id="0"/>
    </w:p>
    <w:p w14:paraId="6A34B506" w14:textId="77777777" w:rsidR="007213B8" w:rsidRDefault="007213B8" w:rsidP="007213B8">
      <w:pPr>
        <w:spacing w:after="0" w:line="240" w:lineRule="auto"/>
        <w:jc w:val="both"/>
        <w:rPr>
          <w:rFonts w:ascii="Corbel" w:eastAsia="Times New Roman" w:hAnsi="Corbel" w:cs="Arial"/>
          <w:b/>
          <w:bCs/>
          <w:lang w:eastAsia="en-GB"/>
        </w:rPr>
      </w:pPr>
    </w:p>
    <w:p w14:paraId="0311854B" w14:textId="77777777" w:rsidR="007213B8" w:rsidRPr="00C401F4" w:rsidRDefault="007213B8" w:rsidP="007213B8">
      <w:pPr>
        <w:spacing w:after="0" w:line="240" w:lineRule="auto"/>
        <w:ind w:left="113" w:right="113"/>
        <w:jc w:val="both"/>
        <w:rPr>
          <w:rFonts w:ascii="Corbel" w:eastAsia="Times New Roman" w:hAnsi="Corbel" w:cs="Arial"/>
          <w:b/>
          <w:bCs/>
          <w:lang w:eastAsia="en-GB"/>
        </w:rPr>
      </w:pPr>
      <w:r w:rsidRPr="00C401F4">
        <w:rPr>
          <w:rFonts w:ascii="Corbel" w:eastAsia="Times New Roman" w:hAnsi="Corbel" w:cs="Arial"/>
          <w:b/>
          <w:bCs/>
          <w:lang w:eastAsia="en-GB"/>
        </w:rPr>
        <w:t xml:space="preserve">Note for teachers: A CBL user guide can be found at </w:t>
      </w:r>
      <w:hyperlink r:id="rId5" w:history="1">
        <w:r w:rsidRPr="00C401F4">
          <w:rPr>
            <w:rStyle w:val="Hyperlink"/>
            <w:rFonts w:ascii="Corbel" w:hAnsi="Corbel" w:cstheme="minorHAnsi"/>
          </w:rPr>
          <w:t>www.jandeboerlab.com/TissueEngineering</w:t>
        </w:r>
      </w:hyperlink>
      <w:r w:rsidRPr="00C401F4">
        <w:rPr>
          <w:rFonts w:ascii="Corbel" w:hAnsi="Corbel" w:cstheme="minorHAnsi"/>
        </w:rPr>
        <w:t xml:space="preserve"> with instructions and tips to run an effective CBL teaching session. </w:t>
      </w:r>
      <w:r w:rsidRPr="00C401F4">
        <w:rPr>
          <w:rFonts w:ascii="Corbel" w:eastAsia="Times New Roman" w:hAnsi="Corbel" w:cs="Arial"/>
          <w:b/>
          <w:bCs/>
          <w:lang w:eastAsia="en-GB"/>
        </w:rPr>
        <w:t xml:space="preserve">  </w:t>
      </w:r>
    </w:p>
    <w:p w14:paraId="5233471E"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143C1E93"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1" w:name="_Toc101875607"/>
      <w:r w:rsidRPr="00C401F4">
        <w:rPr>
          <w:rFonts w:ascii="Corbel" w:eastAsia="Times New Roman" w:hAnsi="Corbel" w:cs="Arial"/>
          <w:b/>
          <w:bCs/>
          <w:color w:val="000000" w:themeColor="text1"/>
        </w:rPr>
        <w:t>Background and vision</w:t>
      </w:r>
      <w:bookmarkEnd w:id="1"/>
    </w:p>
    <w:p w14:paraId="616D9B42"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bookmarkStart w:id="2" w:name="_Toc101875608"/>
      <w:r w:rsidRPr="00C401F4">
        <w:rPr>
          <w:rFonts w:ascii="Corbel" w:eastAsia="Times New Roman" w:hAnsi="Corbel" w:cs="Arial"/>
          <w:color w:val="000000" w:themeColor="text1"/>
        </w:rPr>
        <w:t>The survival and function of organs and tissues relies on constant irrigation and functional vascularization to provide oxygen and nutrients through arteries, and removal of toxins and metabolic by-products through veins. Neo-vascularization in embryological tissues is always on par with tissue growth: the bigger the tissue, the more vascularized it is. This biological design requirement successfully bypasses the limitation of simple diffusion of nutrients and oxygen through tissues. It is well known and documented that tissue diffusion is limited to 200 μm. The long-term vision is to obtain a fast and cost effective strategy to vascularize tissue-engineered tissues to ensure their survival and function after implantation.</w:t>
      </w:r>
      <w:bookmarkEnd w:id="2"/>
      <w:r w:rsidRPr="00C401F4">
        <w:rPr>
          <w:rFonts w:ascii="Corbel" w:eastAsia="Times New Roman" w:hAnsi="Corbel" w:cs="Arial"/>
          <w:color w:val="000000" w:themeColor="text1"/>
        </w:rPr>
        <w:t xml:space="preserve">  </w:t>
      </w:r>
    </w:p>
    <w:p w14:paraId="44EA131C"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62EBF4BC"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3" w:name="_Toc101875609"/>
      <w:r w:rsidRPr="00C401F4">
        <w:rPr>
          <w:rFonts w:ascii="Corbel" w:eastAsia="Times New Roman" w:hAnsi="Corbel" w:cs="Arial"/>
          <w:b/>
          <w:bCs/>
          <w:color w:val="000000" w:themeColor="text1"/>
        </w:rPr>
        <w:t>Motivation and stakeholders</w:t>
      </w:r>
      <w:bookmarkEnd w:id="3"/>
    </w:p>
    <w:p w14:paraId="1118A8CA"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bookmarkStart w:id="4" w:name="_Toc101875610"/>
      <w:r w:rsidRPr="00C401F4">
        <w:rPr>
          <w:rFonts w:ascii="Corbel" w:eastAsia="Times New Roman" w:hAnsi="Corbel" w:cs="Arial"/>
          <w:color w:val="000000" w:themeColor="text1"/>
        </w:rPr>
        <w:t xml:space="preserve">Patients suffering from type-I diabetes require daily insulin injections to control hyperglycemia after a meal. Constant glucose monitoring and insulin injections represent a burden for both patients and caretakers. Tissue engineering strategies are underway to generate functional islet of Langerhans-like organoids that can release insulin upon implantation. The islet-like organoids can be fabricated with induced pluripotent stem cells (iPSC), which are a relevant cell-source in modern tissue engineering, and should house functional vascularization for the systemic release of insulin. These organoids should sense blood glucose levels, anastomose with the host vasculature, and release insulin on demand. </w:t>
      </w:r>
      <w:r w:rsidRPr="00C401F4">
        <w:rPr>
          <w:rFonts w:ascii="Corbel" w:hAnsi="Corbel" w:cstheme="minorHAnsi"/>
        </w:rPr>
        <w:t xml:space="preserve">Solutions to include vasculature into tissue engineered islet of Langerhans should consider the needs, requirements and regulatory, financial and technical boundary conditions defined by stakeholders such as diabetes patients, </w:t>
      </w:r>
      <w:r w:rsidRPr="00C401F4">
        <w:rPr>
          <w:rFonts w:ascii="Corbel" w:eastAsia="Times New Roman" w:hAnsi="Corbel" w:cs="Arial"/>
          <w:color w:val="000000" w:themeColor="text1"/>
        </w:rPr>
        <w:t>internal medicine doctors, pediatricians, nutrition experts, biofabrication engineers, iPSC biologists, and biomedical engineers.</w:t>
      </w:r>
      <w:bookmarkEnd w:id="4"/>
    </w:p>
    <w:p w14:paraId="7A1014B6"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55F78752"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5" w:name="_Toc101875611"/>
      <w:r w:rsidRPr="00C401F4">
        <w:rPr>
          <w:rFonts w:ascii="Corbel" w:eastAsia="Times New Roman" w:hAnsi="Corbel" w:cs="Arial"/>
          <w:b/>
          <w:bCs/>
          <w:color w:val="000000" w:themeColor="text1"/>
        </w:rPr>
        <w:t>Problem definition</w:t>
      </w:r>
      <w:bookmarkEnd w:id="5"/>
    </w:p>
    <w:p w14:paraId="140F42B6"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bookmarkStart w:id="6" w:name="_Toc101875612"/>
      <w:r w:rsidRPr="00C401F4">
        <w:rPr>
          <w:rFonts w:ascii="Corbel" w:eastAsia="Times New Roman" w:hAnsi="Corbel" w:cs="Arial"/>
          <w:color w:val="000000" w:themeColor="text1"/>
        </w:rPr>
        <w:t xml:space="preserve">Currently, the functional cell types of a pre-vascularized islet of Langerhans organoid can be obtained by differentiation of IPSCs. However, maturation of the blood vessels and sufficient nutrient supply of the tissue requires that they are perfused during the </w:t>
      </w:r>
      <w:r w:rsidRPr="00C401F4">
        <w:rPr>
          <w:rFonts w:ascii="Corbel" w:eastAsia="Times New Roman" w:hAnsi="Corbel" w:cs="Arial"/>
          <w:i/>
          <w:iCs/>
          <w:color w:val="000000" w:themeColor="text1"/>
        </w:rPr>
        <w:t>in vitro</w:t>
      </w:r>
      <w:r w:rsidRPr="00C401F4">
        <w:rPr>
          <w:rFonts w:ascii="Corbel" w:eastAsia="Times New Roman" w:hAnsi="Corbel" w:cs="Arial"/>
          <w:color w:val="000000" w:themeColor="text1"/>
        </w:rPr>
        <w:t xml:space="preserve"> culture stage. Therefore, a fully vascularized islet of Langerhans needs to be engineered to be used in patients suffering from type-I diabetes.</w:t>
      </w:r>
      <w:bookmarkEnd w:id="6"/>
      <w:r w:rsidRPr="00C401F4">
        <w:rPr>
          <w:rFonts w:ascii="Corbel" w:eastAsia="Times New Roman" w:hAnsi="Corbel" w:cs="Arial"/>
          <w:color w:val="000000" w:themeColor="text1"/>
        </w:rPr>
        <w:t xml:space="preserve">   </w:t>
      </w:r>
    </w:p>
    <w:p w14:paraId="287F0581"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2C02E0FC"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7" w:name="_Toc101875613"/>
      <w:r w:rsidRPr="00C401F4">
        <w:rPr>
          <w:rFonts w:ascii="Corbel" w:eastAsia="Times New Roman" w:hAnsi="Corbel" w:cs="Arial"/>
          <w:b/>
          <w:bCs/>
          <w:color w:val="000000" w:themeColor="text1"/>
        </w:rPr>
        <w:t>Challenge</w:t>
      </w:r>
      <w:bookmarkEnd w:id="7"/>
    </w:p>
    <w:p w14:paraId="057DE317"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bookmarkStart w:id="8" w:name="_Toc101875614"/>
      <w:r w:rsidRPr="00C401F4">
        <w:rPr>
          <w:rFonts w:ascii="Corbel" w:eastAsia="Times New Roman" w:hAnsi="Corbel" w:cs="Arial"/>
          <w:color w:val="000000" w:themeColor="text1"/>
        </w:rPr>
        <w:t>To design a strategy to fabricate islet-of-Langerhans organoids with functional vasculature to replace continuous insulin injections in type-I diabetes patients.</w:t>
      </w:r>
      <w:bookmarkEnd w:id="8"/>
      <w:r w:rsidRPr="00C401F4">
        <w:rPr>
          <w:rFonts w:ascii="Corbel" w:eastAsia="Times New Roman" w:hAnsi="Corbel" w:cs="Arial"/>
          <w:color w:val="000000" w:themeColor="text1"/>
        </w:rPr>
        <w:t xml:space="preserve"> </w:t>
      </w:r>
    </w:p>
    <w:p w14:paraId="497D9E08"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732466FB"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9" w:name="_Toc101875615"/>
      <w:r w:rsidRPr="00C401F4">
        <w:rPr>
          <w:rFonts w:ascii="Corbel" w:eastAsia="Times New Roman" w:hAnsi="Corbel" w:cs="Arial"/>
          <w:b/>
          <w:bCs/>
          <w:color w:val="000000" w:themeColor="text1"/>
        </w:rPr>
        <w:t>Learning framework</w:t>
      </w:r>
      <w:bookmarkEnd w:id="9"/>
    </w:p>
    <w:p w14:paraId="568F8F5D" w14:textId="77777777" w:rsidR="007213B8" w:rsidRPr="00C401F4" w:rsidRDefault="007213B8" w:rsidP="007213B8">
      <w:pPr>
        <w:spacing w:after="0" w:line="240" w:lineRule="auto"/>
        <w:ind w:left="113" w:right="113"/>
        <w:rPr>
          <w:rFonts w:ascii="Corbel" w:hAnsi="Corbel" w:cstheme="minorHAnsi"/>
        </w:rPr>
      </w:pPr>
      <w:bookmarkStart w:id="10" w:name="_Hlk98939224"/>
      <w:r w:rsidRPr="00C401F4">
        <w:rPr>
          <w:rFonts w:ascii="Corbel" w:hAnsi="Corbel" w:cstheme="minorHAnsi"/>
        </w:rPr>
        <w:t>Reading the Vascularization chapter and related literature will help you to understand:</w:t>
      </w:r>
    </w:p>
    <w:p w14:paraId="5C7BB714"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1" w:name="_Toc101875616"/>
      <w:bookmarkEnd w:id="10"/>
      <w:r w:rsidRPr="00C401F4">
        <w:rPr>
          <w:rFonts w:ascii="Corbel" w:eastAsia="Times New Roman" w:hAnsi="Corbel" w:cs="Arial"/>
          <w:color w:val="000000" w:themeColor="text1"/>
          <w:sz w:val="20"/>
          <w:szCs w:val="20"/>
        </w:rPr>
        <w:t>The anatomy and physiology of islets of Langerhans.</w:t>
      </w:r>
      <w:bookmarkEnd w:id="11"/>
    </w:p>
    <w:p w14:paraId="112B615F"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2" w:name="_Toc101875617"/>
      <w:r w:rsidRPr="00C401F4">
        <w:rPr>
          <w:rFonts w:ascii="Corbel" w:eastAsia="Times New Roman" w:hAnsi="Corbel" w:cs="Arial"/>
          <w:color w:val="000000" w:themeColor="text1"/>
          <w:sz w:val="20"/>
          <w:szCs w:val="20"/>
        </w:rPr>
        <w:t>The anatomy and physiology of blood vessels.</w:t>
      </w:r>
      <w:bookmarkEnd w:id="12"/>
    </w:p>
    <w:p w14:paraId="48432A97"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3" w:name="_Toc101875618"/>
      <w:r w:rsidRPr="00C401F4">
        <w:rPr>
          <w:rFonts w:ascii="Corbel" w:eastAsia="Times New Roman" w:hAnsi="Corbel" w:cs="Arial"/>
          <w:color w:val="000000" w:themeColor="text1"/>
          <w:sz w:val="20"/>
          <w:szCs w:val="20"/>
        </w:rPr>
        <w:t>Physiological requirements of anastomosis.</w:t>
      </w:r>
      <w:bookmarkEnd w:id="13"/>
    </w:p>
    <w:p w14:paraId="53C5BBB8"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4" w:name="_Toc101875619"/>
      <w:r w:rsidRPr="00C401F4">
        <w:rPr>
          <w:rFonts w:ascii="Corbel" w:eastAsia="Times New Roman" w:hAnsi="Corbel" w:cs="Arial"/>
          <w:color w:val="000000" w:themeColor="text1"/>
          <w:sz w:val="20"/>
          <w:szCs w:val="20"/>
        </w:rPr>
        <w:t>Different strategies available to pre-vascularize tissues in vitro.</w:t>
      </w:r>
      <w:bookmarkEnd w:id="14"/>
    </w:p>
    <w:p w14:paraId="63BF6C04"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p>
    <w:p w14:paraId="419FBE0E" w14:textId="77777777" w:rsidR="007213B8" w:rsidRPr="00C401F4" w:rsidRDefault="007213B8" w:rsidP="007213B8">
      <w:pPr>
        <w:spacing w:after="0" w:line="240" w:lineRule="auto"/>
        <w:ind w:left="113" w:right="113"/>
        <w:jc w:val="both"/>
        <w:rPr>
          <w:rFonts w:ascii="Corbel" w:hAnsi="Corbel" w:cstheme="minorHAnsi"/>
        </w:rPr>
      </w:pPr>
      <w:bookmarkStart w:id="15" w:name="_Hlk98939361"/>
      <w:r w:rsidRPr="00C401F4">
        <w:rPr>
          <w:rFonts w:ascii="Corbel" w:hAnsi="Corbel" w:cstheme="minorHAnsi"/>
        </w:rPr>
        <w:t>For a more focused examination of the challenge, read scientific literature and create a mind map to include information about the following:</w:t>
      </w:r>
    </w:p>
    <w:p w14:paraId="284AE871"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6" w:name="_Toc101875620"/>
      <w:bookmarkEnd w:id="15"/>
      <w:r w:rsidRPr="00C401F4">
        <w:rPr>
          <w:rFonts w:ascii="Corbel" w:eastAsia="Times New Roman" w:hAnsi="Corbel" w:cs="Arial"/>
          <w:color w:val="000000" w:themeColor="text1"/>
          <w:sz w:val="20"/>
          <w:szCs w:val="20"/>
        </w:rPr>
        <w:t>Current protocols to differentiate IPSCs into the functional cells of a pre-vascularized islet of Langerhans.</w:t>
      </w:r>
      <w:bookmarkEnd w:id="16"/>
      <w:r w:rsidRPr="00C401F4">
        <w:rPr>
          <w:rFonts w:ascii="Corbel" w:eastAsia="Times New Roman" w:hAnsi="Corbel" w:cs="Arial"/>
          <w:color w:val="000000" w:themeColor="text1"/>
          <w:sz w:val="20"/>
          <w:szCs w:val="20"/>
        </w:rPr>
        <w:t xml:space="preserve"> </w:t>
      </w:r>
    </w:p>
    <w:p w14:paraId="5CC40A38"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7" w:name="_Toc101875621"/>
      <w:r w:rsidRPr="00C401F4">
        <w:rPr>
          <w:rFonts w:ascii="Corbel" w:eastAsia="Times New Roman" w:hAnsi="Corbel" w:cs="Arial"/>
          <w:color w:val="000000" w:themeColor="text1"/>
          <w:sz w:val="20"/>
          <w:szCs w:val="20"/>
        </w:rPr>
        <w:t>Biomaterials used to engineer pre-vascularized islets.</w:t>
      </w:r>
      <w:bookmarkEnd w:id="17"/>
    </w:p>
    <w:p w14:paraId="67C8F802" w14:textId="77777777" w:rsidR="007213B8" w:rsidRPr="00C401F4" w:rsidRDefault="007213B8" w:rsidP="007213B8">
      <w:pPr>
        <w:pStyle w:val="ListParagraph"/>
        <w:keepNext/>
        <w:keepLines/>
        <w:numPr>
          <w:ilvl w:val="0"/>
          <w:numId w:val="4"/>
        </w:numPr>
        <w:bidi w:val="0"/>
        <w:spacing w:after="0" w:line="240" w:lineRule="auto"/>
        <w:ind w:left="723" w:right="113"/>
        <w:jc w:val="both"/>
        <w:outlineLvl w:val="1"/>
        <w:rPr>
          <w:rFonts w:ascii="Corbel" w:eastAsia="Times New Roman" w:hAnsi="Corbel" w:cs="Arial"/>
          <w:color w:val="000000" w:themeColor="text1"/>
          <w:sz w:val="20"/>
          <w:szCs w:val="20"/>
        </w:rPr>
      </w:pPr>
      <w:bookmarkStart w:id="18" w:name="_Toc101875622"/>
      <w:r w:rsidRPr="00C401F4">
        <w:rPr>
          <w:rFonts w:ascii="Corbel" w:eastAsia="Times New Roman" w:hAnsi="Corbel" w:cs="Arial"/>
          <w:color w:val="000000" w:themeColor="text1"/>
          <w:sz w:val="20"/>
          <w:szCs w:val="20"/>
        </w:rPr>
        <w:t>Assays used to demonstrate islet and blood vessel functionality.</w:t>
      </w:r>
      <w:bookmarkEnd w:id="18"/>
    </w:p>
    <w:p w14:paraId="23DF539F"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color w:val="000000" w:themeColor="text1"/>
        </w:rPr>
      </w:pPr>
      <w:r w:rsidRPr="00C401F4">
        <w:rPr>
          <w:rFonts w:ascii="Corbel" w:eastAsia="Times New Roman" w:hAnsi="Corbel" w:cs="Arial"/>
          <w:color w:val="000000" w:themeColor="text1"/>
        </w:rPr>
        <w:t xml:space="preserve"> </w:t>
      </w:r>
    </w:p>
    <w:p w14:paraId="4997CE02" w14:textId="77777777" w:rsidR="007213B8" w:rsidRPr="00C401F4" w:rsidRDefault="007213B8" w:rsidP="007213B8">
      <w:pPr>
        <w:keepNext/>
        <w:keepLines/>
        <w:spacing w:after="0" w:line="240" w:lineRule="auto"/>
        <w:ind w:left="113" w:right="113"/>
        <w:jc w:val="both"/>
        <w:outlineLvl w:val="1"/>
        <w:rPr>
          <w:rFonts w:ascii="Corbel" w:eastAsia="Times New Roman" w:hAnsi="Corbel" w:cs="Arial"/>
          <w:b/>
          <w:bCs/>
          <w:color w:val="000000" w:themeColor="text1"/>
        </w:rPr>
      </w:pPr>
      <w:bookmarkStart w:id="19" w:name="_Toc101875623"/>
      <w:r w:rsidRPr="00C401F4">
        <w:rPr>
          <w:rFonts w:ascii="Corbel" w:eastAsia="Times New Roman" w:hAnsi="Corbel" w:cs="Arial"/>
          <w:b/>
          <w:bCs/>
          <w:color w:val="000000" w:themeColor="text1"/>
        </w:rPr>
        <w:t>End product</w:t>
      </w:r>
      <w:bookmarkEnd w:id="19"/>
    </w:p>
    <w:p w14:paraId="5FC6F4FF" w14:textId="77777777" w:rsidR="007213B8" w:rsidRPr="00E511CB" w:rsidRDefault="007213B8" w:rsidP="007213B8">
      <w:pPr>
        <w:spacing w:after="0" w:line="240" w:lineRule="auto"/>
        <w:ind w:left="113" w:right="113"/>
        <w:rPr>
          <w:rFonts w:ascii="Corbel" w:hAnsi="Corbel"/>
          <w:bCs/>
        </w:rPr>
      </w:pPr>
      <w:r w:rsidRPr="00E511CB">
        <w:rPr>
          <w:rFonts w:ascii="Corbel" w:hAnsi="Corbel"/>
          <w:bCs/>
        </w:rPr>
        <w:t>A three-minute video explaining the solution of your challenge. Please include your motivation and the steps to execute your solution.</w:t>
      </w:r>
    </w:p>
    <w:p w14:paraId="6EB1C568" w14:textId="77777777" w:rsidR="007213B8" w:rsidRPr="00E511CB" w:rsidRDefault="007213B8" w:rsidP="007213B8">
      <w:pPr>
        <w:spacing w:after="0" w:line="240" w:lineRule="auto"/>
        <w:ind w:left="113" w:right="113"/>
        <w:rPr>
          <w:rFonts w:ascii="Corbel" w:hAnsi="Corbel"/>
          <w:bCs/>
        </w:rPr>
      </w:pPr>
    </w:p>
    <w:p w14:paraId="34EF20C4" w14:textId="77777777" w:rsidR="007213B8" w:rsidRPr="00B22E8E" w:rsidRDefault="007213B8" w:rsidP="007213B8">
      <w:pPr>
        <w:spacing w:after="0" w:line="240" w:lineRule="auto"/>
        <w:ind w:left="113" w:right="113"/>
        <w:rPr>
          <w:rFonts w:ascii="Corbel" w:hAnsi="Corbel"/>
          <w:bCs/>
        </w:rPr>
      </w:pPr>
      <w:r w:rsidRPr="00E511CB">
        <w:rPr>
          <w:rFonts w:ascii="Corbel" w:hAnsi="Corbel"/>
          <w:bCs/>
        </w:rPr>
        <w:t>© Jan de Boer. CBL available for classroom use and CBL videos and can be found at www.jandeboerlab.com/TissueEngineering.</w:t>
      </w:r>
    </w:p>
    <w:sectPr w:rsidR="007213B8" w:rsidRPr="00B22E8E"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CC6"/>
    <w:multiLevelType w:val="hybridMultilevel"/>
    <w:tmpl w:val="4CB07930"/>
    <w:lvl w:ilvl="0" w:tplc="2A1E23AE">
      <w:start w:val="1"/>
      <w:numFmt w:val="decimal"/>
      <w:lvlText w:val="%1."/>
      <w:lvlJc w:val="lef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8B2793A"/>
    <w:multiLevelType w:val="hybridMultilevel"/>
    <w:tmpl w:val="FE861080"/>
    <w:lvl w:ilvl="0" w:tplc="1000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B8"/>
    <w:rsid w:val="003B204A"/>
    <w:rsid w:val="004A5600"/>
    <w:rsid w:val="006D0D1C"/>
    <w:rsid w:val="007213B8"/>
    <w:rsid w:val="007467A0"/>
    <w:rsid w:val="008D1A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4961"/>
  <w15:chartTrackingRefBased/>
  <w15:docId w15:val="{D30CB312-3305-4CDE-9581-2F0B95BD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B8"/>
    <w:pPr>
      <w:spacing w:after="120" w:line="276" w:lineRule="auto"/>
    </w:pPr>
    <w:rPr>
      <w:sz w:val="20"/>
      <w:szCs w:val="20"/>
      <w:lang w:val="en-US"/>
    </w:rPr>
  </w:style>
  <w:style w:type="paragraph" w:styleId="Heading1">
    <w:name w:val="heading 1"/>
    <w:basedOn w:val="Normal"/>
    <w:link w:val="Heading1Char"/>
    <w:uiPriority w:val="4"/>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7213B8"/>
    <w:pPr>
      <w:bidi/>
      <w:spacing w:after="200"/>
      <w:ind w:left="720"/>
      <w:contextualSpacing/>
    </w:pPr>
    <w:rPr>
      <w:sz w:val="22"/>
      <w:szCs w:val="22"/>
      <w:lang w:bidi="he-IL"/>
    </w:rPr>
  </w:style>
  <w:style w:type="character" w:styleId="Hyperlink">
    <w:name w:val="Hyperlink"/>
    <w:basedOn w:val="DefaultParagraphFont"/>
    <w:uiPriority w:val="99"/>
    <w:unhideWhenUsed/>
    <w:rsid w:val="00721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2022-05-17T13:05:00Z</dcterms:created>
  <dcterms:modified xsi:type="dcterms:W3CDTF">2022-11-03T13:11:00Z</dcterms:modified>
</cp:coreProperties>
</file>