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9C7E" w14:textId="17D71935" w:rsidR="00C8575F" w:rsidRDefault="00C8575F" w:rsidP="00C8575F">
      <w:pPr>
        <w:pStyle w:val="Heading1"/>
        <w:numPr>
          <w:ilvl w:val="0"/>
          <w:numId w:val="0"/>
        </w:numPr>
        <w:ind w:left="113" w:right="113"/>
      </w:pPr>
      <w:bookmarkStart w:id="0" w:name="_Toc101894438"/>
      <w:r>
        <w:t xml:space="preserve">Challenge based learning (CBL) </w:t>
      </w:r>
    </w:p>
    <w:p w14:paraId="4CEA6810" w14:textId="77777777" w:rsidR="00C8575F" w:rsidRPr="004A3ED7" w:rsidRDefault="00C8575F" w:rsidP="00C8575F">
      <w:pPr>
        <w:pStyle w:val="Heading1"/>
        <w:numPr>
          <w:ilvl w:val="0"/>
          <w:numId w:val="0"/>
        </w:numPr>
        <w:ind w:left="113" w:right="113"/>
      </w:pPr>
      <w:r w:rsidRPr="003E1193">
        <w:rPr>
          <w:sz w:val="20"/>
          <w:szCs w:val="20"/>
        </w:rPr>
        <w:t>Design of a smart scaffold with a bioelectronic sensor to sense BMP-2 release and bone formation in  bone grafts</w:t>
      </w:r>
      <w:bookmarkEnd w:id="0"/>
    </w:p>
    <w:p w14:paraId="57A702EE" w14:textId="77777777" w:rsidR="00C8575F" w:rsidRPr="004A3ED7" w:rsidRDefault="00C8575F" w:rsidP="00C8575F">
      <w:pPr>
        <w:pStyle w:val="Heading1"/>
        <w:numPr>
          <w:ilvl w:val="0"/>
          <w:numId w:val="0"/>
        </w:numPr>
        <w:ind w:left="113" w:right="113"/>
        <w:rPr>
          <w:sz w:val="20"/>
          <w:szCs w:val="20"/>
        </w:rPr>
      </w:pPr>
    </w:p>
    <w:p w14:paraId="3D284B7D" w14:textId="77777777" w:rsidR="00C8575F" w:rsidRPr="004A3ED7" w:rsidRDefault="00C8575F" w:rsidP="00C8575F">
      <w:pPr>
        <w:pStyle w:val="Heading1"/>
        <w:numPr>
          <w:ilvl w:val="0"/>
          <w:numId w:val="0"/>
        </w:numPr>
        <w:ind w:left="113" w:right="113"/>
        <w:rPr>
          <w:sz w:val="20"/>
          <w:szCs w:val="20"/>
        </w:rPr>
      </w:pPr>
      <w:bookmarkStart w:id="1" w:name="_Toc101894439"/>
      <w:r w:rsidRPr="004A3ED7">
        <w:rPr>
          <w:sz w:val="20"/>
          <w:szCs w:val="20"/>
        </w:rPr>
        <w:t xml:space="preserve">Note for teachers: A CBL user guide can be found at </w:t>
      </w:r>
      <w:r w:rsidRPr="004A3ED7">
        <w:rPr>
          <w:b w:val="0"/>
          <w:bCs w:val="0"/>
          <w:sz w:val="20"/>
          <w:szCs w:val="20"/>
        </w:rPr>
        <w:t>www.jandeboerlab.com/TissueEngineering with instructions and tips to run an effective CBL teaching session.</w:t>
      </w:r>
      <w:bookmarkEnd w:id="1"/>
      <w:r w:rsidRPr="004A3ED7">
        <w:rPr>
          <w:sz w:val="20"/>
          <w:szCs w:val="20"/>
        </w:rPr>
        <w:t xml:space="preserve">   </w:t>
      </w:r>
    </w:p>
    <w:p w14:paraId="4DE4CAE2" w14:textId="77777777" w:rsidR="00C8575F" w:rsidRPr="004A3ED7" w:rsidRDefault="00C8575F" w:rsidP="00C8575F">
      <w:pPr>
        <w:pStyle w:val="Heading1"/>
        <w:numPr>
          <w:ilvl w:val="0"/>
          <w:numId w:val="0"/>
        </w:numPr>
        <w:ind w:left="113" w:right="113"/>
        <w:rPr>
          <w:sz w:val="20"/>
          <w:szCs w:val="20"/>
        </w:rPr>
      </w:pPr>
    </w:p>
    <w:p w14:paraId="5D481D16" w14:textId="77777777" w:rsidR="00C8575F" w:rsidRPr="004A3ED7" w:rsidRDefault="00C8575F" w:rsidP="00C8575F">
      <w:pPr>
        <w:pStyle w:val="Heading1"/>
        <w:numPr>
          <w:ilvl w:val="0"/>
          <w:numId w:val="0"/>
        </w:numPr>
        <w:ind w:left="113" w:right="113"/>
        <w:rPr>
          <w:sz w:val="20"/>
          <w:szCs w:val="20"/>
        </w:rPr>
      </w:pPr>
      <w:bookmarkStart w:id="2" w:name="_Toc101894440"/>
      <w:r w:rsidRPr="004A3ED7">
        <w:rPr>
          <w:sz w:val="20"/>
          <w:szCs w:val="20"/>
        </w:rPr>
        <w:t xml:space="preserve">Background and </w:t>
      </w:r>
      <w:r>
        <w:rPr>
          <w:sz w:val="20"/>
          <w:szCs w:val="20"/>
        </w:rPr>
        <w:t>v</w:t>
      </w:r>
      <w:r w:rsidRPr="004A3ED7">
        <w:rPr>
          <w:sz w:val="20"/>
          <w:szCs w:val="20"/>
        </w:rPr>
        <w:t>ision</w:t>
      </w:r>
      <w:bookmarkEnd w:id="2"/>
    </w:p>
    <w:p w14:paraId="3290BECB" w14:textId="77777777" w:rsidR="00C8575F" w:rsidRPr="004A3ED7" w:rsidRDefault="00C8575F" w:rsidP="00C8575F">
      <w:pPr>
        <w:pStyle w:val="Heading1"/>
        <w:numPr>
          <w:ilvl w:val="0"/>
          <w:numId w:val="0"/>
        </w:numPr>
        <w:ind w:left="113" w:right="113"/>
        <w:rPr>
          <w:b w:val="0"/>
          <w:bCs w:val="0"/>
          <w:sz w:val="20"/>
          <w:szCs w:val="20"/>
        </w:rPr>
      </w:pPr>
      <w:bookmarkStart w:id="3" w:name="_Toc101894441"/>
      <w:r w:rsidRPr="004A3ED7">
        <w:rPr>
          <w:b w:val="0"/>
          <w:bCs w:val="0"/>
          <w:sz w:val="20"/>
          <w:szCs w:val="20"/>
        </w:rPr>
        <w:t>Small bone defects can be treated with bone graft materials and recombinant growth factors but the golden standard for the treatment of large bone defects is the autograft, in which bone is moved from one part to another within the body. Many engineers attempt, and succeed, to improve the osteogenic potential of graft materials but assays to predict in vivo bone formation using in vitro assay are unreliable. Animal experiments and imaging are the only way to conclusively demonstrate the efficacy of a novel graft. In these models, bone formation is an endpoint measurement, in which the tissue is surgically removed from the euthanized animal after weeks to months of implantation to evaluate bone quality. This totally ignores the dynamics of tissue formation and leaves the researcher with little information about the in situ bio-activity of the grafts. The long-term vision is to design experimental grafts which are able to monitor the bone formation process in living animals.</w:t>
      </w:r>
      <w:bookmarkEnd w:id="3"/>
    </w:p>
    <w:p w14:paraId="75F43780" w14:textId="77777777" w:rsidR="00C8575F" w:rsidRPr="004A3ED7" w:rsidRDefault="00C8575F" w:rsidP="00C8575F">
      <w:pPr>
        <w:pStyle w:val="Heading1"/>
        <w:numPr>
          <w:ilvl w:val="0"/>
          <w:numId w:val="0"/>
        </w:numPr>
        <w:ind w:left="113" w:right="113"/>
        <w:rPr>
          <w:sz w:val="20"/>
          <w:szCs w:val="20"/>
        </w:rPr>
      </w:pPr>
    </w:p>
    <w:p w14:paraId="35022DD3" w14:textId="77777777" w:rsidR="00C8575F" w:rsidRPr="004A3ED7" w:rsidRDefault="00C8575F" w:rsidP="00C8575F">
      <w:pPr>
        <w:pStyle w:val="Heading1"/>
        <w:numPr>
          <w:ilvl w:val="0"/>
          <w:numId w:val="0"/>
        </w:numPr>
        <w:ind w:left="113" w:right="113"/>
        <w:rPr>
          <w:sz w:val="20"/>
          <w:szCs w:val="20"/>
        </w:rPr>
      </w:pPr>
      <w:bookmarkStart w:id="4" w:name="_Toc101894442"/>
      <w:r w:rsidRPr="004A3ED7">
        <w:rPr>
          <w:sz w:val="20"/>
          <w:szCs w:val="20"/>
        </w:rPr>
        <w:t xml:space="preserve">Motivation and </w:t>
      </w:r>
      <w:r>
        <w:rPr>
          <w:sz w:val="20"/>
          <w:szCs w:val="20"/>
        </w:rPr>
        <w:t>s</w:t>
      </w:r>
      <w:r w:rsidRPr="004A3ED7">
        <w:rPr>
          <w:sz w:val="20"/>
          <w:szCs w:val="20"/>
        </w:rPr>
        <w:t>takeholders</w:t>
      </w:r>
      <w:bookmarkEnd w:id="4"/>
    </w:p>
    <w:p w14:paraId="2FA4C91A" w14:textId="77777777" w:rsidR="00C8575F" w:rsidRPr="004A3ED7" w:rsidRDefault="00C8575F" w:rsidP="00C8575F">
      <w:pPr>
        <w:pStyle w:val="Heading1"/>
        <w:numPr>
          <w:ilvl w:val="0"/>
          <w:numId w:val="0"/>
        </w:numPr>
        <w:ind w:left="113" w:right="113"/>
        <w:rPr>
          <w:b w:val="0"/>
          <w:bCs w:val="0"/>
          <w:sz w:val="20"/>
          <w:szCs w:val="20"/>
        </w:rPr>
      </w:pPr>
      <w:bookmarkStart w:id="5" w:name="_Toc101894443"/>
      <w:r w:rsidRPr="004A3ED7">
        <w:rPr>
          <w:b w:val="0"/>
          <w:bCs w:val="0"/>
          <w:sz w:val="20"/>
          <w:szCs w:val="20"/>
        </w:rPr>
        <w:t>The field of bio-electronics has many opportunities, with ever smaller size of the electronics and incorporation of molecular analysis. There is an opportunity to design biosensors that rely on electrical signals generated once the bone is loaded and unloaded to unveil bone formation and quality. Newly designed grafts to monitor in situ bone formation should consider the needs, requirements  and regulatory, financial and technical boundary conditions defined by stakeholders such as Orthopaedic surgeons, biomaterial engineers and micro-electronic experts.</w:t>
      </w:r>
      <w:bookmarkEnd w:id="5"/>
    </w:p>
    <w:p w14:paraId="5FC3AEEE" w14:textId="77777777" w:rsidR="00C8575F" w:rsidRPr="004A3ED7" w:rsidRDefault="00C8575F" w:rsidP="00C8575F">
      <w:pPr>
        <w:pStyle w:val="Heading1"/>
        <w:numPr>
          <w:ilvl w:val="0"/>
          <w:numId w:val="0"/>
        </w:numPr>
        <w:ind w:left="113" w:right="113"/>
        <w:rPr>
          <w:sz w:val="20"/>
          <w:szCs w:val="20"/>
        </w:rPr>
      </w:pPr>
    </w:p>
    <w:p w14:paraId="711ABB0C" w14:textId="77777777" w:rsidR="00C8575F" w:rsidRPr="004A3ED7" w:rsidRDefault="00C8575F" w:rsidP="00C8575F">
      <w:pPr>
        <w:pStyle w:val="Heading1"/>
        <w:numPr>
          <w:ilvl w:val="0"/>
          <w:numId w:val="0"/>
        </w:numPr>
        <w:ind w:left="113" w:right="113"/>
        <w:rPr>
          <w:sz w:val="20"/>
          <w:szCs w:val="20"/>
        </w:rPr>
      </w:pPr>
      <w:bookmarkStart w:id="6" w:name="_Toc101894444"/>
      <w:r w:rsidRPr="004A3ED7">
        <w:rPr>
          <w:sz w:val="20"/>
          <w:szCs w:val="20"/>
        </w:rPr>
        <w:t xml:space="preserve">Problem </w:t>
      </w:r>
      <w:r>
        <w:rPr>
          <w:sz w:val="20"/>
          <w:szCs w:val="20"/>
        </w:rPr>
        <w:t>d</w:t>
      </w:r>
      <w:r w:rsidRPr="004A3ED7">
        <w:rPr>
          <w:sz w:val="20"/>
          <w:szCs w:val="20"/>
        </w:rPr>
        <w:t>efinition</w:t>
      </w:r>
      <w:bookmarkEnd w:id="6"/>
    </w:p>
    <w:p w14:paraId="2986AC5A" w14:textId="77777777" w:rsidR="00C8575F" w:rsidRPr="004A3ED7" w:rsidRDefault="00C8575F" w:rsidP="00C8575F">
      <w:pPr>
        <w:pStyle w:val="Heading1"/>
        <w:numPr>
          <w:ilvl w:val="0"/>
          <w:numId w:val="0"/>
        </w:numPr>
        <w:ind w:left="113" w:right="113"/>
        <w:rPr>
          <w:b w:val="0"/>
          <w:bCs w:val="0"/>
          <w:sz w:val="20"/>
          <w:szCs w:val="20"/>
        </w:rPr>
      </w:pPr>
      <w:bookmarkStart w:id="7" w:name="_Toc101894445"/>
      <w:r w:rsidRPr="004A3ED7">
        <w:rPr>
          <w:b w:val="0"/>
          <w:bCs w:val="0"/>
          <w:sz w:val="20"/>
          <w:szCs w:val="20"/>
        </w:rPr>
        <w:t>Bone morphogenetic protein-2 (BMP-2) is a growth factor involved in bone formation, and it has been applied for spinal fusion therapy for years now. However, the amount of BMP-2 needed to achieve fusion far exceeds physiological levels. Still, the use of BMP-2 and other growth factors may eventually also substitute autologous grafting but for this, its in vivo bio-activity should be closely monitored.</w:t>
      </w:r>
      <w:bookmarkEnd w:id="7"/>
    </w:p>
    <w:p w14:paraId="2E8ECF3D" w14:textId="77777777" w:rsidR="00C8575F" w:rsidRPr="004A3ED7" w:rsidRDefault="00C8575F" w:rsidP="00C8575F">
      <w:pPr>
        <w:pStyle w:val="Heading1"/>
        <w:numPr>
          <w:ilvl w:val="0"/>
          <w:numId w:val="0"/>
        </w:numPr>
        <w:ind w:left="113" w:right="113"/>
        <w:rPr>
          <w:sz w:val="20"/>
          <w:szCs w:val="20"/>
        </w:rPr>
      </w:pPr>
    </w:p>
    <w:p w14:paraId="37B12922" w14:textId="77777777" w:rsidR="00C8575F" w:rsidRPr="004A3ED7" w:rsidRDefault="00C8575F" w:rsidP="00C8575F">
      <w:pPr>
        <w:pStyle w:val="Heading1"/>
        <w:numPr>
          <w:ilvl w:val="0"/>
          <w:numId w:val="0"/>
        </w:numPr>
        <w:ind w:left="113" w:right="113"/>
        <w:rPr>
          <w:sz w:val="20"/>
          <w:szCs w:val="20"/>
        </w:rPr>
      </w:pPr>
      <w:bookmarkStart w:id="8" w:name="_Toc101894446"/>
      <w:r w:rsidRPr="004A3ED7">
        <w:rPr>
          <w:sz w:val="20"/>
          <w:szCs w:val="20"/>
        </w:rPr>
        <w:t>Challenge</w:t>
      </w:r>
      <w:bookmarkEnd w:id="8"/>
    </w:p>
    <w:p w14:paraId="2283CC41" w14:textId="77777777" w:rsidR="00C8575F" w:rsidRPr="004A3ED7" w:rsidRDefault="00C8575F" w:rsidP="00C8575F">
      <w:pPr>
        <w:pStyle w:val="Heading1"/>
        <w:numPr>
          <w:ilvl w:val="0"/>
          <w:numId w:val="0"/>
        </w:numPr>
        <w:ind w:left="113" w:right="113"/>
        <w:rPr>
          <w:b w:val="0"/>
          <w:bCs w:val="0"/>
          <w:sz w:val="20"/>
          <w:szCs w:val="20"/>
        </w:rPr>
      </w:pPr>
      <w:bookmarkStart w:id="9" w:name="_Toc101894447"/>
      <w:r w:rsidRPr="004A3ED7">
        <w:rPr>
          <w:b w:val="0"/>
          <w:bCs w:val="0"/>
          <w:sz w:val="20"/>
          <w:szCs w:val="20"/>
        </w:rPr>
        <w:t>To design a bone graft using electrical signals generated when the bone is loaded/unloaded which is able to monitor BMP-2 activity and bone formation in situ.</w:t>
      </w:r>
      <w:bookmarkEnd w:id="9"/>
    </w:p>
    <w:p w14:paraId="353F975B" w14:textId="77777777" w:rsidR="00C8575F" w:rsidRPr="004A3ED7" w:rsidRDefault="00C8575F" w:rsidP="00C8575F">
      <w:pPr>
        <w:pStyle w:val="Heading1"/>
        <w:numPr>
          <w:ilvl w:val="0"/>
          <w:numId w:val="0"/>
        </w:numPr>
        <w:ind w:left="113" w:right="113"/>
        <w:rPr>
          <w:sz w:val="20"/>
          <w:szCs w:val="20"/>
        </w:rPr>
      </w:pPr>
    </w:p>
    <w:p w14:paraId="639E4B4F" w14:textId="77777777" w:rsidR="00C8575F" w:rsidRPr="004A3ED7" w:rsidRDefault="00C8575F" w:rsidP="00C8575F">
      <w:pPr>
        <w:pStyle w:val="Heading1"/>
        <w:numPr>
          <w:ilvl w:val="0"/>
          <w:numId w:val="0"/>
        </w:numPr>
        <w:ind w:left="113" w:right="113"/>
        <w:rPr>
          <w:sz w:val="20"/>
          <w:szCs w:val="20"/>
        </w:rPr>
      </w:pPr>
      <w:bookmarkStart w:id="10" w:name="_Toc101894448"/>
      <w:r w:rsidRPr="004A3ED7">
        <w:rPr>
          <w:sz w:val="20"/>
          <w:szCs w:val="20"/>
        </w:rPr>
        <w:t xml:space="preserve">Learning </w:t>
      </w:r>
      <w:r>
        <w:rPr>
          <w:sz w:val="20"/>
          <w:szCs w:val="20"/>
        </w:rPr>
        <w:t>f</w:t>
      </w:r>
      <w:r w:rsidRPr="004A3ED7">
        <w:rPr>
          <w:sz w:val="20"/>
          <w:szCs w:val="20"/>
        </w:rPr>
        <w:t>ramework</w:t>
      </w:r>
      <w:bookmarkEnd w:id="10"/>
    </w:p>
    <w:p w14:paraId="4ABBF9F4" w14:textId="77777777" w:rsidR="00C8575F" w:rsidRPr="004A3ED7" w:rsidRDefault="00C8575F" w:rsidP="00C8575F">
      <w:pPr>
        <w:pStyle w:val="Heading1"/>
        <w:numPr>
          <w:ilvl w:val="0"/>
          <w:numId w:val="0"/>
        </w:numPr>
        <w:ind w:left="113" w:right="113"/>
        <w:rPr>
          <w:b w:val="0"/>
          <w:bCs w:val="0"/>
          <w:sz w:val="20"/>
          <w:szCs w:val="20"/>
        </w:rPr>
      </w:pPr>
      <w:bookmarkStart w:id="11" w:name="_Toc101894449"/>
      <w:r w:rsidRPr="004A3ED7">
        <w:rPr>
          <w:b w:val="0"/>
          <w:bCs w:val="0"/>
          <w:sz w:val="20"/>
          <w:szCs w:val="20"/>
        </w:rPr>
        <w:t>Reading the Bone Tissue Engineering chapters and related literature will help you to understand:</w:t>
      </w:r>
      <w:bookmarkEnd w:id="11"/>
      <w:r w:rsidRPr="004A3ED7">
        <w:rPr>
          <w:b w:val="0"/>
          <w:bCs w:val="0"/>
          <w:sz w:val="20"/>
          <w:szCs w:val="20"/>
        </w:rPr>
        <w:t xml:space="preserve"> </w:t>
      </w:r>
    </w:p>
    <w:p w14:paraId="2870E0D5" w14:textId="77777777" w:rsidR="00C8575F" w:rsidRPr="004A3ED7" w:rsidRDefault="00C8575F" w:rsidP="006A76F1">
      <w:pPr>
        <w:pStyle w:val="Heading1"/>
        <w:numPr>
          <w:ilvl w:val="0"/>
          <w:numId w:val="6"/>
        </w:numPr>
        <w:ind w:right="113"/>
        <w:rPr>
          <w:b w:val="0"/>
          <w:bCs w:val="0"/>
          <w:sz w:val="20"/>
          <w:szCs w:val="20"/>
        </w:rPr>
      </w:pPr>
      <w:bookmarkStart w:id="12" w:name="_Toc101894450"/>
      <w:r w:rsidRPr="004A3ED7">
        <w:rPr>
          <w:b w:val="0"/>
          <w:bCs w:val="0"/>
          <w:sz w:val="20"/>
          <w:szCs w:val="20"/>
        </w:rPr>
        <w:t>Critical size bone defects.</w:t>
      </w:r>
      <w:bookmarkEnd w:id="12"/>
    </w:p>
    <w:p w14:paraId="0D6E0108" w14:textId="77777777" w:rsidR="00C8575F" w:rsidRPr="004A3ED7" w:rsidRDefault="00C8575F" w:rsidP="006A76F1">
      <w:pPr>
        <w:pStyle w:val="Heading1"/>
        <w:numPr>
          <w:ilvl w:val="0"/>
          <w:numId w:val="6"/>
        </w:numPr>
        <w:ind w:right="113"/>
        <w:rPr>
          <w:b w:val="0"/>
          <w:bCs w:val="0"/>
          <w:sz w:val="20"/>
          <w:szCs w:val="20"/>
        </w:rPr>
      </w:pPr>
      <w:bookmarkStart w:id="13" w:name="_Toc101894451"/>
      <w:r w:rsidRPr="004A3ED7">
        <w:rPr>
          <w:b w:val="0"/>
          <w:bCs w:val="0"/>
          <w:sz w:val="20"/>
          <w:szCs w:val="20"/>
        </w:rPr>
        <w:t>Graft materials used to treat large bone defects.</w:t>
      </w:r>
      <w:bookmarkEnd w:id="13"/>
    </w:p>
    <w:p w14:paraId="502A457B" w14:textId="77777777" w:rsidR="00C8575F" w:rsidRPr="004A3ED7" w:rsidRDefault="00C8575F" w:rsidP="006A76F1">
      <w:pPr>
        <w:pStyle w:val="Heading1"/>
        <w:numPr>
          <w:ilvl w:val="0"/>
          <w:numId w:val="6"/>
        </w:numPr>
        <w:ind w:right="113"/>
        <w:rPr>
          <w:b w:val="0"/>
          <w:bCs w:val="0"/>
          <w:sz w:val="20"/>
          <w:szCs w:val="20"/>
        </w:rPr>
      </w:pPr>
      <w:bookmarkStart w:id="14" w:name="_Toc101894452"/>
      <w:r w:rsidRPr="004A3ED7">
        <w:rPr>
          <w:b w:val="0"/>
          <w:bCs w:val="0"/>
          <w:sz w:val="20"/>
          <w:szCs w:val="20"/>
        </w:rPr>
        <w:t>The use of BMP-2 as a bone inducing growth factor.</w:t>
      </w:r>
      <w:bookmarkEnd w:id="14"/>
    </w:p>
    <w:p w14:paraId="00B854A8" w14:textId="77777777" w:rsidR="00C8575F" w:rsidRDefault="00C8575F" w:rsidP="00C8575F">
      <w:pPr>
        <w:pStyle w:val="Heading1"/>
        <w:numPr>
          <w:ilvl w:val="0"/>
          <w:numId w:val="0"/>
        </w:numPr>
        <w:ind w:left="113" w:right="113"/>
        <w:rPr>
          <w:b w:val="0"/>
          <w:bCs w:val="0"/>
          <w:sz w:val="20"/>
          <w:szCs w:val="20"/>
        </w:rPr>
      </w:pPr>
    </w:p>
    <w:p w14:paraId="3A9463C2" w14:textId="77777777" w:rsidR="00C8575F" w:rsidRPr="004A3ED7" w:rsidRDefault="00C8575F" w:rsidP="00C8575F">
      <w:pPr>
        <w:pStyle w:val="Heading1"/>
        <w:numPr>
          <w:ilvl w:val="0"/>
          <w:numId w:val="0"/>
        </w:numPr>
        <w:ind w:left="113" w:right="113"/>
        <w:rPr>
          <w:b w:val="0"/>
          <w:bCs w:val="0"/>
          <w:sz w:val="20"/>
          <w:szCs w:val="20"/>
        </w:rPr>
      </w:pPr>
      <w:bookmarkStart w:id="15" w:name="_Toc101894453"/>
      <w:r w:rsidRPr="004A3ED7">
        <w:rPr>
          <w:b w:val="0"/>
          <w:bCs w:val="0"/>
          <w:sz w:val="20"/>
          <w:szCs w:val="20"/>
        </w:rPr>
        <w:t>For a more focused examination of the challenge, read scientific literature and create a mind map to include information about the following:</w:t>
      </w:r>
      <w:bookmarkEnd w:id="15"/>
      <w:r w:rsidRPr="004A3ED7">
        <w:rPr>
          <w:b w:val="0"/>
          <w:bCs w:val="0"/>
          <w:sz w:val="20"/>
          <w:szCs w:val="20"/>
        </w:rPr>
        <w:t xml:space="preserve"> </w:t>
      </w:r>
    </w:p>
    <w:p w14:paraId="69C3E231" w14:textId="77777777" w:rsidR="00C8575F" w:rsidRPr="004A3ED7" w:rsidRDefault="00C8575F" w:rsidP="006A76F1">
      <w:pPr>
        <w:pStyle w:val="Heading1"/>
        <w:numPr>
          <w:ilvl w:val="0"/>
          <w:numId w:val="6"/>
        </w:numPr>
        <w:ind w:right="113"/>
        <w:rPr>
          <w:b w:val="0"/>
          <w:bCs w:val="0"/>
          <w:sz w:val="20"/>
          <w:szCs w:val="20"/>
        </w:rPr>
      </w:pPr>
      <w:bookmarkStart w:id="16" w:name="_Toc101894454"/>
      <w:r w:rsidRPr="004A3ED7">
        <w:rPr>
          <w:b w:val="0"/>
          <w:bCs w:val="0"/>
          <w:sz w:val="20"/>
          <w:szCs w:val="20"/>
        </w:rPr>
        <w:t>Bioelectronics and which biomaterials are conducive to biosensors.</w:t>
      </w:r>
      <w:bookmarkEnd w:id="16"/>
    </w:p>
    <w:p w14:paraId="1AC95981" w14:textId="77777777" w:rsidR="00C8575F" w:rsidRPr="004A3ED7" w:rsidRDefault="00C8575F" w:rsidP="006A76F1">
      <w:pPr>
        <w:pStyle w:val="Heading1"/>
        <w:numPr>
          <w:ilvl w:val="0"/>
          <w:numId w:val="6"/>
        </w:numPr>
        <w:ind w:right="113"/>
        <w:rPr>
          <w:b w:val="0"/>
          <w:bCs w:val="0"/>
          <w:sz w:val="20"/>
          <w:szCs w:val="20"/>
        </w:rPr>
      </w:pPr>
      <w:bookmarkStart w:id="17" w:name="_Toc101894455"/>
      <w:r w:rsidRPr="004A3ED7">
        <w:rPr>
          <w:b w:val="0"/>
          <w:bCs w:val="0"/>
          <w:sz w:val="20"/>
          <w:szCs w:val="20"/>
        </w:rPr>
        <w:t>Manufacturing of  bioelectronic sensors.</w:t>
      </w:r>
      <w:bookmarkEnd w:id="17"/>
    </w:p>
    <w:p w14:paraId="397B6C53" w14:textId="77777777" w:rsidR="00C8575F" w:rsidRPr="004A3ED7" w:rsidRDefault="00C8575F" w:rsidP="006A76F1">
      <w:pPr>
        <w:pStyle w:val="Heading1"/>
        <w:numPr>
          <w:ilvl w:val="0"/>
          <w:numId w:val="6"/>
        </w:numPr>
        <w:ind w:right="113"/>
        <w:rPr>
          <w:b w:val="0"/>
          <w:bCs w:val="0"/>
          <w:sz w:val="20"/>
          <w:szCs w:val="20"/>
        </w:rPr>
      </w:pPr>
      <w:bookmarkStart w:id="18" w:name="_Toc101894456"/>
      <w:r w:rsidRPr="004A3ED7">
        <w:rPr>
          <w:b w:val="0"/>
          <w:bCs w:val="0"/>
          <w:sz w:val="20"/>
          <w:szCs w:val="20"/>
        </w:rPr>
        <w:t>Current techniques used to study the release of BMP-2 in tissue microenvironment.</w:t>
      </w:r>
      <w:bookmarkEnd w:id="18"/>
    </w:p>
    <w:p w14:paraId="4EF78A69" w14:textId="77777777" w:rsidR="00C8575F" w:rsidRPr="004A3ED7" w:rsidRDefault="00C8575F" w:rsidP="006A76F1">
      <w:pPr>
        <w:pStyle w:val="Heading1"/>
        <w:numPr>
          <w:ilvl w:val="0"/>
          <w:numId w:val="6"/>
        </w:numPr>
        <w:ind w:right="113"/>
        <w:rPr>
          <w:b w:val="0"/>
          <w:bCs w:val="0"/>
          <w:sz w:val="20"/>
          <w:szCs w:val="20"/>
        </w:rPr>
      </w:pPr>
      <w:bookmarkStart w:id="19" w:name="_Toc101894457"/>
      <w:r w:rsidRPr="004A3ED7">
        <w:rPr>
          <w:b w:val="0"/>
          <w:bCs w:val="0"/>
          <w:sz w:val="20"/>
          <w:szCs w:val="20"/>
        </w:rPr>
        <w:t>Biomarkers in the tissue microenvironment to monitor BMP-2 activity</w:t>
      </w:r>
      <w:bookmarkEnd w:id="19"/>
    </w:p>
    <w:p w14:paraId="0985CB52" w14:textId="77777777" w:rsidR="00C8575F" w:rsidRDefault="00C8575F" w:rsidP="00C8575F">
      <w:pPr>
        <w:pStyle w:val="Heading1"/>
        <w:numPr>
          <w:ilvl w:val="0"/>
          <w:numId w:val="0"/>
        </w:numPr>
        <w:ind w:left="113" w:right="113"/>
        <w:rPr>
          <w:sz w:val="20"/>
          <w:szCs w:val="20"/>
        </w:rPr>
      </w:pPr>
    </w:p>
    <w:p w14:paraId="6CD5AEDA" w14:textId="77777777" w:rsidR="00C8575F" w:rsidRPr="004A3ED7" w:rsidRDefault="00C8575F" w:rsidP="00C8575F">
      <w:pPr>
        <w:pStyle w:val="Heading1"/>
        <w:numPr>
          <w:ilvl w:val="0"/>
          <w:numId w:val="0"/>
        </w:numPr>
        <w:ind w:left="113" w:right="113"/>
        <w:rPr>
          <w:sz w:val="20"/>
          <w:szCs w:val="20"/>
        </w:rPr>
      </w:pPr>
      <w:bookmarkStart w:id="20" w:name="_Toc101894458"/>
      <w:r w:rsidRPr="004A3ED7">
        <w:rPr>
          <w:sz w:val="20"/>
          <w:szCs w:val="20"/>
        </w:rPr>
        <w:t xml:space="preserve">End </w:t>
      </w:r>
      <w:r>
        <w:rPr>
          <w:sz w:val="20"/>
          <w:szCs w:val="20"/>
        </w:rPr>
        <w:t>p</w:t>
      </w:r>
      <w:r w:rsidRPr="004A3ED7">
        <w:rPr>
          <w:sz w:val="20"/>
          <w:szCs w:val="20"/>
        </w:rPr>
        <w:t>roduct</w:t>
      </w:r>
      <w:bookmarkEnd w:id="20"/>
    </w:p>
    <w:p w14:paraId="5CA1C586" w14:textId="261E1C77" w:rsidR="00C8575F" w:rsidRPr="00533E19" w:rsidRDefault="00C8575F" w:rsidP="00C8575F">
      <w:pPr>
        <w:pStyle w:val="Heading1"/>
        <w:numPr>
          <w:ilvl w:val="0"/>
          <w:numId w:val="0"/>
        </w:numPr>
        <w:ind w:left="113" w:right="113"/>
        <w:contextualSpacing/>
        <w:rPr>
          <w:rFonts w:cs="Arial"/>
          <w:b w:val="0"/>
          <w:bCs w:val="0"/>
          <w:sz w:val="20"/>
          <w:szCs w:val="20"/>
        </w:rPr>
      </w:pPr>
      <w:bookmarkStart w:id="21" w:name="_Hlk102417052"/>
      <w:r w:rsidRPr="00533E19">
        <w:rPr>
          <w:rFonts w:eastAsiaTheme="minorHAnsi" w:cs="Arial"/>
          <w:b w:val="0"/>
          <w:bCs w:val="0"/>
          <w:sz w:val="20"/>
          <w:szCs w:val="20"/>
        </w:rPr>
        <w:t>A three-minute video explaining the solution of your challenge. Please include your motivation and the steps to execute your solution.</w:t>
      </w:r>
    </w:p>
    <w:p w14:paraId="452387E9" w14:textId="77777777" w:rsidR="00C8575F" w:rsidRPr="00787D36" w:rsidRDefault="00C8575F" w:rsidP="00C8575F">
      <w:pPr>
        <w:spacing w:line="240" w:lineRule="auto"/>
        <w:ind w:left="113" w:right="113"/>
        <w:contextualSpacing/>
        <w:rPr>
          <w:rFonts w:ascii="Corbel" w:hAnsi="Corbel" w:cs="Arial"/>
          <w:sz w:val="20"/>
          <w:szCs w:val="20"/>
        </w:rPr>
      </w:pPr>
    </w:p>
    <w:p w14:paraId="7E1C45BA" w14:textId="4BA7A488" w:rsidR="00B675F9" w:rsidRPr="00C8575F" w:rsidRDefault="00C8575F" w:rsidP="00C8575F">
      <w:pPr>
        <w:spacing w:line="240" w:lineRule="auto"/>
        <w:ind w:left="113" w:right="113"/>
        <w:contextualSpacing/>
        <w:rPr>
          <w:rFonts w:ascii="Corbel" w:hAnsi="Corbel" w:cs="Arial"/>
          <w:sz w:val="20"/>
          <w:szCs w:val="20"/>
        </w:rPr>
      </w:pPr>
      <w:r w:rsidRPr="00787D36">
        <w:rPr>
          <w:rFonts w:ascii="Corbel" w:hAnsi="Corbel" w:cs="Arial"/>
          <w:sz w:val="20"/>
          <w:szCs w:val="20"/>
        </w:rPr>
        <w:t xml:space="preserve">© Jan de Boer. CBL available for classroom use and CBL videos and can be found at </w:t>
      </w:r>
      <w:hyperlink r:id="rId5" w:history="1">
        <w:r w:rsidRPr="00787D36">
          <w:rPr>
            <w:rStyle w:val="Hyperlink"/>
            <w:rFonts w:ascii="Corbel" w:hAnsi="Corbel" w:cs="Arial"/>
            <w:sz w:val="20"/>
            <w:szCs w:val="20"/>
          </w:rPr>
          <w:t>www.jandeboerlab.com/TissueEngineering</w:t>
        </w:r>
      </w:hyperlink>
      <w:r w:rsidRPr="00787D36">
        <w:rPr>
          <w:rFonts w:ascii="Corbel" w:hAnsi="Corbel" w:cs="Arial"/>
          <w:sz w:val="20"/>
          <w:szCs w:val="20"/>
        </w:rPr>
        <w:t>.</w:t>
      </w:r>
      <w:bookmarkEnd w:id="21"/>
    </w:p>
    <w:sectPr w:rsidR="00B675F9" w:rsidRPr="00C8575F"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bullet"/>
      <w:lvlText w:val="■"/>
      <w:lvlJc w:val="left"/>
      <w:pPr>
        <w:tabs>
          <w:tab w:val="num" w:pos="720"/>
        </w:tabs>
        <w:ind w:left="720" w:hanging="360"/>
      </w:pPr>
      <w:rPr>
        <w:rFonts w:ascii="OpenSymbol" w:hAnsi="OpenSymbol" w:cs="OpenSymbol"/>
      </w:rPr>
    </w:lvl>
  </w:abstractNum>
  <w:abstractNum w:abstractNumId="1" w15:restartNumberingAfterBreak="0">
    <w:nsid w:val="08C34C48"/>
    <w:multiLevelType w:val="hybridMultilevel"/>
    <w:tmpl w:val="D4FC7FBE"/>
    <w:lvl w:ilvl="0" w:tplc="AB742910">
      <w:start w:val="1"/>
      <w:numFmt w:val="decimal"/>
      <w:lvlText w:val="%1."/>
      <w:lvlJc w:val="left"/>
      <w:pPr>
        <w:ind w:left="833" w:hanging="360"/>
      </w:pPr>
    </w:lvl>
    <w:lvl w:ilvl="1" w:tplc="04130019">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2" w15:restartNumberingAfterBreak="0">
    <w:nsid w:val="1A1E2F6B"/>
    <w:multiLevelType w:val="hybridMultilevel"/>
    <w:tmpl w:val="302EDCF2"/>
    <w:lvl w:ilvl="0" w:tplc="8A148420">
      <w:start w:val="1"/>
      <w:numFmt w:val="decimal"/>
      <w:lvlText w:val="%1."/>
      <w:lvlJc w:val="left"/>
      <w:pPr>
        <w:ind w:left="833" w:hanging="360"/>
      </w:pPr>
      <w:rPr>
        <w:rFonts w:hint="default"/>
      </w:r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3" w15:restartNumberingAfterBreak="0">
    <w:nsid w:val="315F4C90"/>
    <w:multiLevelType w:val="hybridMultilevel"/>
    <w:tmpl w:val="25E2CD3C"/>
    <w:lvl w:ilvl="0" w:tplc="0413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4"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5F"/>
    <w:rsid w:val="003B204A"/>
    <w:rsid w:val="005744F8"/>
    <w:rsid w:val="006A76F1"/>
    <w:rsid w:val="006D0D1C"/>
    <w:rsid w:val="007467A0"/>
    <w:rsid w:val="008D1A9B"/>
    <w:rsid w:val="00B340C4"/>
    <w:rsid w:val="00B675F9"/>
    <w:rsid w:val="00C8575F"/>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1225"/>
  <w15:chartTrackingRefBased/>
  <w15:docId w15:val="{03AEE2E3-5C8D-4028-B1CA-289F0383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75F"/>
    <w:pPr>
      <w:suppressAutoHyphens/>
      <w:spacing w:after="0" w:line="480" w:lineRule="auto"/>
    </w:pPr>
    <w:rPr>
      <w:rFonts w:ascii="Times New Roman" w:eastAsia="Times New Roman" w:hAnsi="Times New Roman" w:cs="Times New Roman"/>
      <w:sz w:val="24"/>
      <w:szCs w:val="24"/>
      <w:lang w:val="en-US" w:eastAsia="ar-SA"/>
    </w:rPr>
  </w:style>
  <w:style w:type="paragraph" w:styleId="Heading1">
    <w:name w:val="heading 1"/>
    <w:basedOn w:val="Normal"/>
    <w:link w:val="Heading1Char"/>
    <w:uiPriority w:val="99"/>
    <w:qFormat/>
    <w:rsid w:val="003B204A"/>
    <w:pPr>
      <w:numPr>
        <w:numId w:val="2"/>
      </w:numPr>
      <w:spacing w:line="240" w:lineRule="auto"/>
      <w:ind w:hanging="360"/>
      <w:jc w:val="both"/>
      <w:outlineLvl w:val="0"/>
    </w:pPr>
    <w:rPr>
      <w:rFonts w:ascii="Corbel" w:hAnsi="Corbel"/>
      <w:b/>
      <w:bCs/>
      <w:color w:val="000000" w:themeColor="text1"/>
      <w:sz w:val="23"/>
      <w:szCs w:val="23"/>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character" w:styleId="Hyperlink">
    <w:name w:val="Hyperlink"/>
    <w:basedOn w:val="DefaultParagraphFont"/>
    <w:uiPriority w:val="99"/>
    <w:rsid w:val="00C8575F"/>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3</cp:revision>
  <dcterms:created xsi:type="dcterms:W3CDTF">2022-05-17T13:21:00Z</dcterms:created>
  <dcterms:modified xsi:type="dcterms:W3CDTF">2022-11-03T17:00:00Z</dcterms:modified>
</cp:coreProperties>
</file>